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F3A" w:rsidRPr="004A2391" w:rsidRDefault="00060182" w:rsidP="00F122C5">
      <w:pPr>
        <w:jc w:val="center"/>
        <w:rPr>
          <w:b/>
          <w:i/>
          <w:color w:val="000099"/>
          <w:sz w:val="44"/>
          <w:szCs w:val="28"/>
        </w:rPr>
      </w:pPr>
      <w:r>
        <w:rPr>
          <w:noProof/>
        </w:rPr>
        <w:drawing>
          <wp:inline distT="0" distB="0" distL="0" distR="0" wp14:anchorId="7276BDF6" wp14:editId="6B5648E0">
            <wp:extent cx="6181725" cy="866775"/>
            <wp:effectExtent l="0" t="0" r="9525" b="9525"/>
            <wp:docPr id="9" name="Obraz 9" descr="logotypy:&#10;Fundusze Europejskie&#10;Flaga państwowa&#10;Opolskie kwitnące&#10;Unia Europejska (EFRR)" title="logotyp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az 9" descr="logotypy:&#10;Fundusze Europejskie&#10;Flaga państwowa&#10;Opolskie kwitnące&#10;Unia Europejska (EFRR)" title="logotypy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2C5" w:rsidRDefault="00F122C5">
      <w:pPr>
        <w:rPr>
          <w:b/>
        </w:rPr>
      </w:pPr>
    </w:p>
    <w:p w:rsidR="00F41DFA" w:rsidRPr="004A2391" w:rsidRDefault="00F41DFA">
      <w:pPr>
        <w:rPr>
          <w:b/>
        </w:rPr>
      </w:pPr>
    </w:p>
    <w:p w:rsidR="00F122C5" w:rsidRPr="004A2391" w:rsidRDefault="00F122C5">
      <w:pPr>
        <w:rPr>
          <w:b/>
        </w:rPr>
      </w:pPr>
    </w:p>
    <w:p w:rsidR="00223ACF" w:rsidRDefault="00223ACF" w:rsidP="00223ACF">
      <w:pPr>
        <w:spacing w:after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ZAŁĄCZNIK NR 8</w:t>
      </w:r>
    </w:p>
    <w:p w:rsidR="00223ACF" w:rsidRDefault="00223ACF" w:rsidP="00223ACF">
      <w:pPr>
        <w:spacing w:after="240"/>
        <w:ind w:left="1418" w:hanging="1418"/>
        <w:jc w:val="center"/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 xml:space="preserve">LISTA WSKAŹNIKÓW NA POZIOMIE PROJEKTU </w:t>
      </w:r>
    </w:p>
    <w:p w:rsidR="00223ACF" w:rsidRDefault="00223ACF" w:rsidP="00223ACF">
      <w:pPr>
        <w:spacing w:after="240"/>
        <w:ind w:left="1418" w:hanging="1418"/>
        <w:jc w:val="center"/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 xml:space="preserve">DLA DZIAŁANIA </w:t>
      </w:r>
    </w:p>
    <w:p w:rsidR="00223ACF" w:rsidRDefault="00223ACF" w:rsidP="00223ACF">
      <w:pPr>
        <w:spacing w:after="240"/>
        <w:ind w:left="1418" w:hanging="1418"/>
        <w:jc w:val="center"/>
        <w:rPr>
          <w:rFonts w:cs="Arial"/>
          <w:b/>
          <w:color w:val="000000"/>
          <w:sz w:val="44"/>
          <w:szCs w:val="44"/>
          <w:lang w:eastAsia="en-US"/>
        </w:rPr>
      </w:pPr>
      <w:r>
        <w:rPr>
          <w:b/>
          <w:color w:val="000000"/>
          <w:sz w:val="44"/>
          <w:szCs w:val="44"/>
        </w:rPr>
        <w:t>5.</w:t>
      </w:r>
      <w:r w:rsidR="002D358D">
        <w:rPr>
          <w:b/>
          <w:color w:val="000000"/>
          <w:sz w:val="44"/>
          <w:szCs w:val="44"/>
        </w:rPr>
        <w:t>4</w:t>
      </w:r>
      <w:r>
        <w:rPr>
          <w:b/>
          <w:color w:val="000000"/>
          <w:sz w:val="44"/>
          <w:szCs w:val="44"/>
        </w:rPr>
        <w:t xml:space="preserve"> </w:t>
      </w:r>
      <w:r w:rsidR="002D358D">
        <w:rPr>
          <w:b/>
          <w:i/>
          <w:color w:val="000000"/>
          <w:sz w:val="44"/>
          <w:szCs w:val="44"/>
        </w:rPr>
        <w:t>Gospodarka wod</w:t>
      </w:r>
      <w:bookmarkStart w:id="0" w:name="_GoBack"/>
      <w:bookmarkEnd w:id="0"/>
      <w:r w:rsidR="002D358D">
        <w:rPr>
          <w:b/>
          <w:i/>
          <w:color w:val="000000"/>
          <w:sz w:val="44"/>
          <w:szCs w:val="44"/>
        </w:rPr>
        <w:t>no-ściekowa</w:t>
      </w:r>
    </w:p>
    <w:p w:rsidR="00223ACF" w:rsidRDefault="00223ACF" w:rsidP="00223ACF">
      <w:pPr>
        <w:spacing w:after="0"/>
        <w:rPr>
          <w:rFonts w:cs="Times New Roman"/>
          <w:b/>
          <w:color w:val="000000"/>
          <w:sz w:val="24"/>
        </w:rPr>
      </w:pPr>
    </w:p>
    <w:p w:rsidR="00223ACF" w:rsidRDefault="00223ACF" w:rsidP="00223ACF">
      <w:pPr>
        <w:spacing w:after="0"/>
        <w:jc w:val="center"/>
        <w:rPr>
          <w:b/>
        </w:rPr>
      </w:pPr>
    </w:p>
    <w:p w:rsidR="00223ACF" w:rsidRDefault="00223ACF" w:rsidP="00223ACF">
      <w:pPr>
        <w:spacing w:after="0"/>
        <w:jc w:val="center"/>
        <w:rPr>
          <w:b/>
        </w:rPr>
      </w:pPr>
    </w:p>
    <w:p w:rsidR="00223ACF" w:rsidRDefault="00223ACF" w:rsidP="00223ACF">
      <w:pPr>
        <w:spacing w:after="0"/>
        <w:jc w:val="center"/>
        <w:rPr>
          <w:b/>
        </w:rPr>
      </w:pPr>
    </w:p>
    <w:p w:rsidR="00223ACF" w:rsidRDefault="00223ACF" w:rsidP="00223ACF">
      <w:pPr>
        <w:spacing w:after="0"/>
        <w:rPr>
          <w:b/>
        </w:rPr>
      </w:pPr>
    </w:p>
    <w:p w:rsidR="00223ACF" w:rsidRPr="006D0D3F" w:rsidRDefault="00223ACF" w:rsidP="00223ACF">
      <w:pPr>
        <w:spacing w:after="0"/>
        <w:jc w:val="center"/>
        <w:rPr>
          <w:b/>
          <w:sz w:val="24"/>
          <w:szCs w:val="24"/>
        </w:rPr>
      </w:pPr>
      <w:r w:rsidRPr="006D0D3F">
        <w:rPr>
          <w:b/>
          <w:sz w:val="24"/>
          <w:szCs w:val="24"/>
        </w:rPr>
        <w:t>Wersja 1</w:t>
      </w:r>
    </w:p>
    <w:p w:rsidR="00223ACF" w:rsidRPr="006D0D3F" w:rsidRDefault="00223ACF" w:rsidP="00223ACF">
      <w:pPr>
        <w:spacing w:after="0" w:line="240" w:lineRule="auto"/>
        <w:jc w:val="center"/>
        <w:rPr>
          <w:b/>
          <w:sz w:val="24"/>
          <w:szCs w:val="24"/>
        </w:rPr>
      </w:pPr>
      <w:r w:rsidRPr="006D0D3F">
        <w:rPr>
          <w:b/>
          <w:sz w:val="24"/>
          <w:szCs w:val="24"/>
        </w:rPr>
        <w:t xml:space="preserve">Opole, </w:t>
      </w:r>
      <w:r w:rsidR="00603850" w:rsidRPr="006D0D3F">
        <w:rPr>
          <w:b/>
          <w:sz w:val="24"/>
          <w:szCs w:val="24"/>
        </w:rPr>
        <w:t>kwiecień</w:t>
      </w:r>
      <w:r w:rsidRPr="006D0D3F">
        <w:rPr>
          <w:b/>
          <w:sz w:val="24"/>
          <w:szCs w:val="24"/>
        </w:rPr>
        <w:t xml:space="preserve"> 201</w:t>
      </w:r>
      <w:r w:rsidR="00603850" w:rsidRPr="006D0D3F">
        <w:rPr>
          <w:b/>
          <w:sz w:val="24"/>
          <w:szCs w:val="24"/>
        </w:rPr>
        <w:t>8</w:t>
      </w:r>
      <w:r w:rsidRPr="006D0D3F">
        <w:rPr>
          <w:b/>
          <w:sz w:val="24"/>
          <w:szCs w:val="24"/>
        </w:rPr>
        <w:t xml:space="preserve"> r.</w:t>
      </w:r>
    </w:p>
    <w:p w:rsidR="00F122C5" w:rsidRPr="004A2391" w:rsidRDefault="00F122C5">
      <w:pPr>
        <w:rPr>
          <w:b/>
        </w:rPr>
      </w:pPr>
    </w:p>
    <w:p w:rsidR="00A72B86" w:rsidRPr="00A635F2" w:rsidRDefault="00F122C5" w:rsidP="00A72B86">
      <w:pPr>
        <w:spacing w:after="60"/>
        <w:rPr>
          <w:i/>
          <w:sz w:val="24"/>
        </w:rPr>
      </w:pPr>
      <w:r w:rsidRPr="004A2391">
        <w:rPr>
          <w:b/>
        </w:rPr>
        <w:br w:type="page"/>
      </w:r>
      <w:r w:rsidR="00A72B86" w:rsidRPr="00A635F2">
        <w:rPr>
          <w:b/>
          <w:sz w:val="24"/>
        </w:rPr>
        <w:lastRenderedPageBreak/>
        <w:t xml:space="preserve">Tabela 1. </w:t>
      </w:r>
      <w:r w:rsidR="00A72B86" w:rsidRPr="00A635F2">
        <w:rPr>
          <w:i/>
          <w:sz w:val="24"/>
        </w:rPr>
        <w:t>Zestawienie wskaźników EFRR na poziomie projektu RPO WO 2014-2020</w:t>
      </w:r>
    </w:p>
    <w:tbl>
      <w:tblPr>
        <w:tblStyle w:val="Tabela-Siatka"/>
        <w:tblW w:w="14586" w:type="dxa"/>
        <w:tblBorders>
          <w:top w:val="single" w:sz="12" w:space="0" w:color="33CC33"/>
          <w:left w:val="single" w:sz="12" w:space="0" w:color="33CC33"/>
          <w:bottom w:val="single" w:sz="12" w:space="0" w:color="33CC33"/>
          <w:right w:val="single" w:sz="12" w:space="0" w:color="33CC33"/>
          <w:insideH w:val="single" w:sz="4" w:space="0" w:color="33CC33"/>
          <w:insideV w:val="single" w:sz="4" w:space="0" w:color="33CC33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2977"/>
        <w:gridCol w:w="1276"/>
        <w:gridCol w:w="1276"/>
        <w:gridCol w:w="1275"/>
        <w:gridCol w:w="1276"/>
        <w:gridCol w:w="5954"/>
      </w:tblGrid>
      <w:tr w:rsidR="00A72B86" w:rsidRPr="004A2391" w:rsidTr="001A27ED">
        <w:trPr>
          <w:tblHeader/>
        </w:trPr>
        <w:tc>
          <w:tcPr>
            <w:tcW w:w="552" w:type="dxa"/>
            <w:tcBorders>
              <w:top w:val="single" w:sz="8" w:space="0" w:color="33CC33"/>
              <w:bottom w:val="single" w:sz="12" w:space="0" w:color="33CC33"/>
              <w:right w:val="single" w:sz="12" w:space="0" w:color="33CC33"/>
            </w:tcBorders>
            <w:shd w:val="clear" w:color="auto" w:fill="F2F2F2"/>
            <w:vAlign w:val="center"/>
          </w:tcPr>
          <w:p w:rsidR="00A72B86" w:rsidRPr="00A635F2" w:rsidRDefault="00A72B86" w:rsidP="001A27ED">
            <w:pPr>
              <w:spacing w:before="80" w:after="80"/>
              <w:rPr>
                <w:b/>
                <w:color w:val="000099"/>
                <w:sz w:val="24"/>
                <w:szCs w:val="24"/>
              </w:rPr>
            </w:pPr>
            <w:r w:rsidRPr="00A635F2">
              <w:rPr>
                <w:b/>
                <w:color w:val="000099"/>
                <w:sz w:val="24"/>
                <w:szCs w:val="24"/>
              </w:rPr>
              <w:t>Lp.</w:t>
            </w:r>
          </w:p>
        </w:tc>
        <w:tc>
          <w:tcPr>
            <w:tcW w:w="2977" w:type="dxa"/>
            <w:tcBorders>
              <w:top w:val="single" w:sz="8" w:space="0" w:color="33CC33"/>
              <w:left w:val="single" w:sz="12" w:space="0" w:color="33CC33"/>
              <w:bottom w:val="single" w:sz="12" w:space="0" w:color="33CC33"/>
              <w:right w:val="single" w:sz="12" w:space="0" w:color="33CC33"/>
            </w:tcBorders>
            <w:shd w:val="clear" w:color="auto" w:fill="F2F2F2"/>
            <w:vAlign w:val="center"/>
          </w:tcPr>
          <w:p w:rsidR="00A72B86" w:rsidRPr="00A635F2" w:rsidRDefault="00A72B86" w:rsidP="001A27ED">
            <w:pPr>
              <w:spacing w:before="80" w:after="80"/>
              <w:rPr>
                <w:b/>
                <w:color w:val="000099"/>
                <w:sz w:val="24"/>
                <w:szCs w:val="24"/>
              </w:rPr>
            </w:pPr>
            <w:r w:rsidRPr="00A635F2">
              <w:rPr>
                <w:b/>
                <w:color w:val="000099"/>
                <w:sz w:val="24"/>
                <w:szCs w:val="24"/>
              </w:rPr>
              <w:t>Nazwa wskaźnika</w:t>
            </w:r>
          </w:p>
        </w:tc>
        <w:tc>
          <w:tcPr>
            <w:tcW w:w="1276" w:type="dxa"/>
            <w:tcBorders>
              <w:top w:val="single" w:sz="8" w:space="0" w:color="33CC33"/>
              <w:left w:val="single" w:sz="12" w:space="0" w:color="33CC33"/>
              <w:bottom w:val="single" w:sz="12" w:space="0" w:color="33CC33"/>
              <w:right w:val="single" w:sz="12" w:space="0" w:color="33CC33"/>
            </w:tcBorders>
            <w:shd w:val="clear" w:color="auto" w:fill="F2F2F2"/>
            <w:vAlign w:val="center"/>
          </w:tcPr>
          <w:p w:rsidR="00A72B86" w:rsidRPr="00A635F2" w:rsidRDefault="00A72B86" w:rsidP="001A27ED">
            <w:pPr>
              <w:spacing w:before="80" w:after="80"/>
              <w:rPr>
                <w:b/>
                <w:color w:val="000099"/>
                <w:sz w:val="24"/>
                <w:szCs w:val="24"/>
              </w:rPr>
            </w:pPr>
            <w:r w:rsidRPr="00A635F2">
              <w:rPr>
                <w:b/>
                <w:color w:val="000099"/>
                <w:sz w:val="24"/>
                <w:szCs w:val="24"/>
              </w:rPr>
              <w:t>Jednostka miary</w:t>
            </w:r>
          </w:p>
        </w:tc>
        <w:tc>
          <w:tcPr>
            <w:tcW w:w="1276" w:type="dxa"/>
            <w:tcBorders>
              <w:top w:val="single" w:sz="8" w:space="0" w:color="33CC33"/>
              <w:left w:val="single" w:sz="12" w:space="0" w:color="33CC33"/>
              <w:bottom w:val="single" w:sz="12" w:space="0" w:color="33CC33"/>
              <w:right w:val="single" w:sz="12" w:space="0" w:color="33CC33"/>
            </w:tcBorders>
            <w:shd w:val="clear" w:color="auto" w:fill="F2F2F2"/>
            <w:vAlign w:val="center"/>
          </w:tcPr>
          <w:p w:rsidR="00A72B86" w:rsidRPr="00A635F2" w:rsidRDefault="00A72B86" w:rsidP="001A27ED">
            <w:pPr>
              <w:spacing w:before="80" w:after="80"/>
              <w:rPr>
                <w:b/>
                <w:color w:val="000099"/>
                <w:sz w:val="24"/>
                <w:szCs w:val="24"/>
              </w:rPr>
            </w:pPr>
            <w:r w:rsidRPr="00A635F2">
              <w:rPr>
                <w:b/>
                <w:color w:val="000099"/>
                <w:sz w:val="24"/>
                <w:szCs w:val="24"/>
              </w:rPr>
              <w:t>Rodzaj wskaźnika</w:t>
            </w:r>
          </w:p>
        </w:tc>
        <w:tc>
          <w:tcPr>
            <w:tcW w:w="1275" w:type="dxa"/>
            <w:tcBorders>
              <w:top w:val="single" w:sz="8" w:space="0" w:color="33CC33"/>
              <w:left w:val="single" w:sz="12" w:space="0" w:color="33CC33"/>
              <w:bottom w:val="single" w:sz="12" w:space="0" w:color="33CC33"/>
              <w:right w:val="single" w:sz="12" w:space="0" w:color="33CC33"/>
            </w:tcBorders>
            <w:shd w:val="clear" w:color="auto" w:fill="F2F2F2"/>
            <w:vAlign w:val="center"/>
          </w:tcPr>
          <w:p w:rsidR="00A72B86" w:rsidRPr="00A635F2" w:rsidRDefault="00A72B86" w:rsidP="001A27ED">
            <w:pPr>
              <w:spacing w:before="80" w:after="80"/>
              <w:rPr>
                <w:b/>
                <w:color w:val="000099"/>
                <w:sz w:val="24"/>
                <w:szCs w:val="24"/>
              </w:rPr>
            </w:pPr>
            <w:r w:rsidRPr="00A635F2">
              <w:rPr>
                <w:b/>
                <w:color w:val="000099"/>
                <w:sz w:val="24"/>
                <w:szCs w:val="24"/>
              </w:rPr>
              <w:t>Typ wskaźnika</w:t>
            </w:r>
          </w:p>
        </w:tc>
        <w:tc>
          <w:tcPr>
            <w:tcW w:w="1276" w:type="dxa"/>
            <w:tcBorders>
              <w:top w:val="single" w:sz="8" w:space="0" w:color="33CC33"/>
              <w:left w:val="single" w:sz="12" w:space="0" w:color="33CC33"/>
              <w:bottom w:val="single" w:sz="12" w:space="0" w:color="33CC33"/>
              <w:right w:val="single" w:sz="12" w:space="0" w:color="33CC33"/>
            </w:tcBorders>
            <w:shd w:val="clear" w:color="auto" w:fill="F2F2F2"/>
            <w:vAlign w:val="center"/>
          </w:tcPr>
          <w:p w:rsidR="00A72B86" w:rsidRPr="00A635F2" w:rsidRDefault="00A72B86" w:rsidP="001A27ED">
            <w:pPr>
              <w:spacing w:before="80" w:after="80"/>
              <w:rPr>
                <w:b/>
                <w:color w:val="000099"/>
                <w:sz w:val="24"/>
                <w:szCs w:val="24"/>
              </w:rPr>
            </w:pPr>
            <w:r w:rsidRPr="00A635F2">
              <w:rPr>
                <w:b/>
                <w:color w:val="000099"/>
                <w:sz w:val="24"/>
                <w:szCs w:val="24"/>
              </w:rPr>
              <w:t>Inne uwagi</w:t>
            </w:r>
          </w:p>
        </w:tc>
        <w:tc>
          <w:tcPr>
            <w:tcW w:w="5954" w:type="dxa"/>
            <w:tcBorders>
              <w:top w:val="single" w:sz="8" w:space="0" w:color="33CC33"/>
              <w:left w:val="single" w:sz="12" w:space="0" w:color="33CC33"/>
              <w:bottom w:val="single" w:sz="12" w:space="0" w:color="33CC33"/>
            </w:tcBorders>
            <w:shd w:val="clear" w:color="auto" w:fill="F2F2F2"/>
            <w:vAlign w:val="center"/>
          </w:tcPr>
          <w:p w:rsidR="00A72B86" w:rsidRPr="00A635F2" w:rsidRDefault="00A72B86" w:rsidP="001A27ED">
            <w:pPr>
              <w:spacing w:before="80" w:after="80"/>
              <w:rPr>
                <w:b/>
                <w:color w:val="000099"/>
                <w:sz w:val="24"/>
                <w:szCs w:val="24"/>
              </w:rPr>
            </w:pPr>
            <w:r w:rsidRPr="00A635F2">
              <w:rPr>
                <w:b/>
                <w:color w:val="000099"/>
                <w:sz w:val="24"/>
                <w:szCs w:val="24"/>
              </w:rPr>
              <w:t>Definicja</w:t>
            </w:r>
          </w:p>
        </w:tc>
      </w:tr>
      <w:tr w:rsidR="00A72B86" w:rsidRPr="004A2391" w:rsidTr="001A27ED">
        <w:tc>
          <w:tcPr>
            <w:tcW w:w="14586" w:type="dxa"/>
            <w:gridSpan w:val="7"/>
            <w:tcBorders>
              <w:top w:val="single" w:sz="12" w:space="0" w:color="33CC33"/>
              <w:bottom w:val="single" w:sz="12" w:space="0" w:color="33CC33"/>
            </w:tcBorders>
            <w:shd w:val="clear" w:color="auto" w:fill="FFFFFF" w:themeFill="background1"/>
          </w:tcPr>
          <w:p w:rsidR="00A72B86" w:rsidRPr="00A635F2" w:rsidRDefault="00A72B86" w:rsidP="001A27ED">
            <w:pPr>
              <w:spacing w:before="80" w:after="80"/>
              <w:rPr>
                <w:b/>
                <w:color w:val="000099"/>
                <w:sz w:val="24"/>
                <w:szCs w:val="24"/>
              </w:rPr>
            </w:pPr>
            <w:r w:rsidRPr="005046F5">
              <w:rPr>
                <w:b/>
                <w:color w:val="000099"/>
                <w:sz w:val="28"/>
                <w:szCs w:val="24"/>
              </w:rPr>
              <w:t>Wskaźniki horyzontalne</w:t>
            </w:r>
          </w:p>
        </w:tc>
      </w:tr>
      <w:tr w:rsidR="00A72B86" w:rsidRPr="004A2391" w:rsidTr="001A27ED">
        <w:tc>
          <w:tcPr>
            <w:tcW w:w="552" w:type="dxa"/>
            <w:tcBorders>
              <w:top w:val="single" w:sz="12" w:space="0" w:color="33CC33"/>
            </w:tcBorders>
            <w:shd w:val="clear" w:color="auto" w:fill="FFFFFF" w:themeFill="background1"/>
            <w:vAlign w:val="center"/>
          </w:tcPr>
          <w:p w:rsidR="00A72B86" w:rsidRPr="00A635F2" w:rsidRDefault="00A72B86" w:rsidP="001A27ED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single" w:sz="12" w:space="0" w:color="33CC33"/>
            </w:tcBorders>
            <w:shd w:val="clear" w:color="auto" w:fill="FFFFFF" w:themeFill="background1"/>
            <w:vAlign w:val="center"/>
          </w:tcPr>
          <w:p w:rsidR="00A72B86" w:rsidRPr="00A635F2" w:rsidRDefault="00A72B86" w:rsidP="001A27ED">
            <w:pPr>
              <w:spacing w:before="80" w:after="80"/>
              <w:rPr>
                <w:i/>
                <w:sz w:val="24"/>
                <w:szCs w:val="24"/>
              </w:rPr>
            </w:pPr>
            <w:r w:rsidRPr="00A635F2">
              <w:rPr>
                <w:i/>
                <w:sz w:val="24"/>
                <w:szCs w:val="24"/>
              </w:rPr>
              <w:t>Liczba obiektów dostosowanych</w:t>
            </w:r>
            <w:r>
              <w:rPr>
                <w:i/>
                <w:sz w:val="24"/>
                <w:szCs w:val="24"/>
              </w:rPr>
              <w:t xml:space="preserve"> do potrzeb osób </w:t>
            </w:r>
            <w:r w:rsidRPr="00A635F2">
              <w:rPr>
                <w:i/>
                <w:sz w:val="24"/>
                <w:szCs w:val="24"/>
              </w:rPr>
              <w:t>z niepełnosprawnościami</w:t>
            </w:r>
          </w:p>
        </w:tc>
        <w:tc>
          <w:tcPr>
            <w:tcW w:w="1276" w:type="dxa"/>
            <w:tcBorders>
              <w:top w:val="single" w:sz="12" w:space="0" w:color="33CC33"/>
            </w:tcBorders>
            <w:shd w:val="clear" w:color="auto" w:fill="FFFFFF" w:themeFill="background1"/>
            <w:vAlign w:val="center"/>
          </w:tcPr>
          <w:p w:rsidR="00A72B86" w:rsidRPr="00A635F2" w:rsidRDefault="00A72B86" w:rsidP="001A27ED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szt.</w:t>
            </w:r>
          </w:p>
        </w:tc>
        <w:tc>
          <w:tcPr>
            <w:tcW w:w="1276" w:type="dxa"/>
            <w:tcBorders>
              <w:top w:val="single" w:sz="12" w:space="0" w:color="33CC33"/>
            </w:tcBorders>
            <w:shd w:val="clear" w:color="auto" w:fill="FFFFFF" w:themeFill="background1"/>
            <w:vAlign w:val="center"/>
          </w:tcPr>
          <w:p w:rsidR="00A72B86" w:rsidRPr="00A635F2" w:rsidRDefault="00A72B86" w:rsidP="001A27ED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produkt</w:t>
            </w:r>
          </w:p>
        </w:tc>
        <w:tc>
          <w:tcPr>
            <w:tcW w:w="1275" w:type="dxa"/>
            <w:tcBorders>
              <w:top w:val="single" w:sz="12" w:space="0" w:color="33CC33"/>
            </w:tcBorders>
            <w:shd w:val="clear" w:color="auto" w:fill="FFFFFF" w:themeFill="background1"/>
            <w:vAlign w:val="center"/>
          </w:tcPr>
          <w:p w:rsidR="00A72B86" w:rsidRPr="00A635F2" w:rsidRDefault="00A72B86" w:rsidP="001A27ED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kluczowy</w:t>
            </w:r>
          </w:p>
        </w:tc>
        <w:tc>
          <w:tcPr>
            <w:tcW w:w="1276" w:type="dxa"/>
            <w:tcBorders>
              <w:top w:val="single" w:sz="12" w:space="0" w:color="33CC33"/>
            </w:tcBorders>
            <w:shd w:val="clear" w:color="auto" w:fill="FFFFFF" w:themeFill="background1"/>
            <w:vAlign w:val="center"/>
          </w:tcPr>
          <w:p w:rsidR="00A72B86" w:rsidRPr="00A635F2" w:rsidRDefault="00A72B86" w:rsidP="001A27ED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-</w:t>
            </w:r>
          </w:p>
          <w:p w:rsidR="00A72B86" w:rsidRPr="00A635F2" w:rsidRDefault="00A72B86" w:rsidP="001A27ED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12" w:space="0" w:color="33CC33"/>
            </w:tcBorders>
            <w:shd w:val="clear" w:color="auto" w:fill="FFFFFF" w:themeFill="background1"/>
            <w:vAlign w:val="center"/>
          </w:tcPr>
          <w:p w:rsidR="00A72B86" w:rsidRPr="00A635F2" w:rsidRDefault="00A72B86" w:rsidP="001A27ED">
            <w:pPr>
              <w:tabs>
                <w:tab w:val="left" w:pos="3402"/>
                <w:tab w:val="left" w:pos="5103"/>
              </w:tabs>
              <w:spacing w:before="60" w:after="60"/>
              <w:ind w:left="-6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Wskaźnik odnosi się do liczby obiektów, które zaopatrzono w specjalne podjazdy, windy, urządzenia głośnomówiące, bądź inne </w:t>
            </w:r>
            <w:r w:rsidRPr="00A635F2">
              <w:rPr>
                <w:sz w:val="24"/>
                <w:szCs w:val="24"/>
              </w:rPr>
              <w:t>rozwiązania umożliwiające dostęp</w:t>
            </w: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(tj. usunięcie barier w dostępie, w szczególności barier archi</w:t>
            </w: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tektonicznych) do tych obiektów </w:t>
            </w: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i poruszanie się po nich osobom </w:t>
            </w: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z </w:t>
            </w: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>niepełnosprawnościami ruchowymi czy sensorycznymi.</w:t>
            </w:r>
          </w:p>
          <w:p w:rsidR="00A72B86" w:rsidRPr="00A635F2" w:rsidRDefault="00A72B86" w:rsidP="001A27ED">
            <w:pPr>
              <w:tabs>
                <w:tab w:val="left" w:pos="3402"/>
                <w:tab w:val="left" w:pos="5103"/>
              </w:tabs>
              <w:spacing w:before="60" w:after="60"/>
              <w:ind w:left="-6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>Jako obiekty budowlane należy rozumieć konstrukcje połączone z gruntem w sposób trwały, wykonane z materiałów budowlanych i elementów składowych, będące wynikiem prac budowlanych (wg. def. PKOB).</w:t>
            </w:r>
          </w:p>
          <w:p w:rsidR="00A72B86" w:rsidRPr="00A635F2" w:rsidRDefault="00A72B86" w:rsidP="001A27ED">
            <w:pPr>
              <w:tabs>
                <w:tab w:val="left" w:pos="3402"/>
                <w:tab w:val="left" w:pos="5103"/>
              </w:tabs>
              <w:spacing w:before="60" w:after="60"/>
              <w:ind w:left="-6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Należy podać liczbę obiektów, w których zastosowano rozwiązania umożliwiające dostęp osobom </w:t>
            </w: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br/>
            </w: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>z niepełnosprawnościami ruchowymi czy sensorycznymi lub zaopatrzonych w sprzęt, a nie liczbę sprzętów, urządzeń itp.</w:t>
            </w:r>
          </w:p>
          <w:p w:rsidR="00A72B86" w:rsidRPr="00A635F2" w:rsidRDefault="00A72B86" w:rsidP="001A27ED">
            <w:pPr>
              <w:tabs>
                <w:tab w:val="left" w:pos="3402"/>
                <w:tab w:val="left" w:pos="5103"/>
              </w:tabs>
              <w:spacing w:before="60" w:after="60"/>
              <w:ind w:left="-6"/>
              <w:rPr>
                <w:rFonts w:eastAsiaTheme="minorHAnsi"/>
                <w:sz w:val="24"/>
                <w:szCs w:val="24"/>
                <w:lang w:eastAsia="en-US"/>
              </w:rPr>
            </w:pP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Jeśli instytucja, zakład itp. składa się z kilku obiektów, należy zliczyć wszystkie, które dostosowano do potrzeb osób z </w:t>
            </w:r>
            <w:r w:rsidRPr="00A635F2">
              <w:rPr>
                <w:rFonts w:eastAsiaTheme="minorHAnsi"/>
                <w:sz w:val="24"/>
                <w:szCs w:val="24"/>
                <w:lang w:eastAsia="en-US"/>
              </w:rPr>
              <w:t>niepełnosprawnościami.</w:t>
            </w:r>
          </w:p>
          <w:p w:rsidR="00A72B86" w:rsidRPr="00A635F2" w:rsidRDefault="00A72B86" w:rsidP="001A27ED">
            <w:pPr>
              <w:tabs>
                <w:tab w:val="left" w:pos="3402"/>
                <w:tab w:val="left" w:pos="5103"/>
              </w:tabs>
              <w:spacing w:before="60" w:after="60"/>
              <w:ind w:left="-6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Wskaźnik mierzony w momencie rozliczenia wydatku związanego z dostosowaniem obiektów do potrzeb osób </w:t>
            </w: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br/>
              <w:t>z niepełnosprawnościami w ramach danego projektu.</w:t>
            </w:r>
          </w:p>
          <w:p w:rsidR="00A72B86" w:rsidRPr="00A635F2" w:rsidRDefault="00A72B86" w:rsidP="001A27ED">
            <w:pPr>
              <w:tabs>
                <w:tab w:val="left" w:pos="3402"/>
                <w:tab w:val="left" w:pos="5103"/>
              </w:tabs>
              <w:spacing w:before="60" w:after="60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Do wskaźnika powinny zostać wliczone zarówno obiekty dostosowane w projektach ogólnodostępnych, jak </w:t>
            </w: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br/>
            </w: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lastRenderedPageBreak/>
              <w:t xml:space="preserve">i dedykowanych (zgodnie z kategoryzacją projektów z </w:t>
            </w:r>
            <w:r w:rsidRPr="00A635F2">
              <w:rPr>
                <w:rFonts w:eastAsia="Times New Roman" w:cs="Times New Roman"/>
                <w:i/>
                <w:sz w:val="24"/>
                <w:szCs w:val="24"/>
                <w:lang w:eastAsia="en-US"/>
              </w:rPr>
              <w:t xml:space="preserve">Wytycznych w zakresie realizacji zasady równości szans </w:t>
            </w:r>
            <w:r>
              <w:rPr>
                <w:rFonts w:eastAsia="Times New Roman" w:cs="Times New Roman"/>
                <w:i/>
                <w:sz w:val="24"/>
                <w:szCs w:val="24"/>
                <w:lang w:eastAsia="en-US"/>
              </w:rPr>
              <w:br/>
            </w:r>
            <w:r w:rsidRPr="00A635F2">
              <w:rPr>
                <w:rFonts w:eastAsia="Times New Roman" w:cs="Times New Roman"/>
                <w:i/>
                <w:sz w:val="24"/>
                <w:szCs w:val="24"/>
                <w:lang w:eastAsia="en-US"/>
              </w:rPr>
              <w:t xml:space="preserve">i niedyskryminacji, w tym dostępności dla osób </w:t>
            </w:r>
            <w:r>
              <w:rPr>
                <w:rFonts w:eastAsia="Times New Roman" w:cs="Times New Roman"/>
                <w:i/>
                <w:sz w:val="24"/>
                <w:szCs w:val="24"/>
                <w:lang w:eastAsia="en-US"/>
              </w:rPr>
              <w:br/>
            </w:r>
            <w:r w:rsidRPr="00A635F2">
              <w:rPr>
                <w:rFonts w:eastAsia="Times New Roman" w:cs="Times New Roman"/>
                <w:i/>
                <w:sz w:val="24"/>
                <w:szCs w:val="24"/>
                <w:lang w:eastAsia="en-US"/>
              </w:rPr>
              <w:t>z niepełnosprawnościami oraz zasady równości szans kobiet i mężczyzn w ramach funduszy unijnych na lata 2014-2020</w:t>
            </w: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>).</w:t>
            </w:r>
          </w:p>
        </w:tc>
      </w:tr>
      <w:tr w:rsidR="00A72B86" w:rsidRPr="004A2391" w:rsidTr="001A27ED">
        <w:trPr>
          <w:trHeight w:val="1481"/>
        </w:trPr>
        <w:tc>
          <w:tcPr>
            <w:tcW w:w="552" w:type="dxa"/>
            <w:shd w:val="clear" w:color="auto" w:fill="FFFFFF" w:themeFill="background1"/>
            <w:vAlign w:val="center"/>
          </w:tcPr>
          <w:p w:rsidR="00A72B86" w:rsidRPr="00A635F2" w:rsidRDefault="00A72B86" w:rsidP="001A27ED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A72B86" w:rsidRPr="00A635F2" w:rsidRDefault="00A72B86" w:rsidP="001A27ED">
            <w:pPr>
              <w:spacing w:before="80" w:after="80"/>
              <w:rPr>
                <w:i/>
                <w:sz w:val="24"/>
                <w:szCs w:val="24"/>
              </w:rPr>
            </w:pPr>
            <w:r w:rsidRPr="00A635F2">
              <w:rPr>
                <w:i/>
                <w:sz w:val="24"/>
                <w:szCs w:val="24"/>
              </w:rPr>
              <w:t>Liczba osób objętych szkoleniami / doradztwem w zakresie kompetencji cyfrowych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72B86" w:rsidRPr="00A635F2" w:rsidRDefault="00A72B86" w:rsidP="001A27ED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osoby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72B86" w:rsidRPr="00A635F2" w:rsidRDefault="00A72B86" w:rsidP="001A27ED">
            <w:pPr>
              <w:tabs>
                <w:tab w:val="center" w:pos="4536"/>
                <w:tab w:val="right" w:pos="9072"/>
              </w:tabs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produkt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A72B86" w:rsidRPr="00A635F2" w:rsidRDefault="00A72B86" w:rsidP="001A27ED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kluczowy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72B86" w:rsidRPr="00A635F2" w:rsidRDefault="00A72B86" w:rsidP="001A27ED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-</w:t>
            </w:r>
          </w:p>
        </w:tc>
        <w:tc>
          <w:tcPr>
            <w:tcW w:w="5954" w:type="dxa"/>
            <w:vMerge w:val="restart"/>
            <w:shd w:val="clear" w:color="auto" w:fill="FFFFFF" w:themeFill="background1"/>
            <w:vAlign w:val="center"/>
          </w:tcPr>
          <w:p w:rsidR="00A72B86" w:rsidRPr="00A635F2" w:rsidRDefault="00A72B86" w:rsidP="001A27ED">
            <w:pPr>
              <w:tabs>
                <w:tab w:val="left" w:pos="3402"/>
                <w:tab w:val="left" w:pos="5103"/>
              </w:tabs>
              <w:spacing w:before="60" w:after="60"/>
              <w:ind w:left="-6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Wskaźnik mierzy liczbę osób objętych szkoleniami / doradztwem w zakresie nabywania / doskonalenia umiejętności warunkujących efektywne korzystanie </w:t>
            </w: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br/>
            </w: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z mediów elektronicznych tj. m.in. korzystania </w:t>
            </w: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br/>
            </w: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z komputera, różnych rodzajów oprogramowania, internetu oraz kompetencji ściśle informatycznych </w:t>
            </w: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br/>
            </w: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>(np. programowanie, zarządzanie bazami danych, administracja sieciami, administracja witrynami internetowymi).</w:t>
            </w:r>
          </w:p>
          <w:p w:rsidR="00A72B86" w:rsidRPr="00A635F2" w:rsidRDefault="00A72B86" w:rsidP="001A27ED">
            <w:pPr>
              <w:tabs>
                <w:tab w:val="left" w:pos="3402"/>
                <w:tab w:val="left" w:pos="5103"/>
              </w:tabs>
              <w:spacing w:before="60" w:after="60"/>
              <w:ind w:left="-6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>Wskaźnik ma agregować wszystkie osoby, które skorzystały ze wsparcia w zakresie TIK we wszystkich programach i projektach, także tych, gdzie szkolenie dotycz</w:t>
            </w: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y obsługi specyficznego systemu </w:t>
            </w: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teleinformatycznego, którego wdrożenia dotyczy projekt. </w:t>
            </w:r>
          </w:p>
          <w:p w:rsidR="00A72B86" w:rsidRPr="00A635F2" w:rsidRDefault="00A72B86" w:rsidP="001A27ED">
            <w:pPr>
              <w:tabs>
                <w:tab w:val="left" w:pos="3402"/>
                <w:tab w:val="left" w:pos="5103"/>
              </w:tabs>
              <w:spacing w:before="60" w:after="60"/>
              <w:ind w:left="-6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>Do wskaźnika powinni zostać wliczeni wszyscy uczestnicy projektów zawierających określony rodzaj wsparcia, w tym również np. uczniowie nabywający kompetencje w ramach zajęć szkolnych, jeśli wsparcie to dotyczy technologii informacyjno-komunikacyjnych.</w:t>
            </w:r>
          </w:p>
          <w:p w:rsidR="00A72B86" w:rsidRPr="00A635F2" w:rsidRDefault="00A72B86" w:rsidP="001A27ED">
            <w:pPr>
              <w:tabs>
                <w:tab w:val="left" w:pos="3402"/>
                <w:tab w:val="left" w:pos="5103"/>
              </w:tabs>
              <w:spacing w:before="60" w:after="60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Identyfikacja charakteru i zakresu nabywanych kompetencji będzie możliwa dzięki możliwości </w:t>
            </w: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lastRenderedPageBreak/>
              <w:t>pogrupowania wskaźnika według programów, osi priorytetowych i priorytetów inwestycyjnych.</w:t>
            </w:r>
          </w:p>
        </w:tc>
      </w:tr>
      <w:tr w:rsidR="00A72B86" w:rsidRPr="004A2391" w:rsidTr="001A27ED">
        <w:trPr>
          <w:trHeight w:val="1828"/>
        </w:trPr>
        <w:tc>
          <w:tcPr>
            <w:tcW w:w="552" w:type="dxa"/>
            <w:shd w:val="clear" w:color="auto" w:fill="FFFFFF" w:themeFill="background1"/>
            <w:vAlign w:val="center"/>
          </w:tcPr>
          <w:p w:rsidR="00A72B86" w:rsidRPr="00A635F2" w:rsidRDefault="00A72B86" w:rsidP="001A27ED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2a.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A72B86" w:rsidRPr="00A635F2" w:rsidRDefault="00A72B86" w:rsidP="001A27ED">
            <w:pPr>
              <w:spacing w:before="80" w:after="80"/>
              <w:rPr>
                <w:i/>
                <w:sz w:val="24"/>
                <w:szCs w:val="24"/>
              </w:rPr>
            </w:pPr>
            <w:r w:rsidRPr="00A635F2">
              <w:rPr>
                <w:i/>
                <w:sz w:val="24"/>
                <w:szCs w:val="24"/>
              </w:rPr>
              <w:t>Liczba osób objętych szkoleniami / doradztwem w zakresie kompetencji cyfrowych</w:t>
            </w:r>
            <w:r w:rsidRPr="00A635F2">
              <w:rPr>
                <w:i/>
                <w:sz w:val="24"/>
                <w:szCs w:val="24"/>
              </w:rPr>
              <w:br/>
              <w:t>- kobiety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72B86" w:rsidRPr="00A635F2" w:rsidRDefault="00A72B86" w:rsidP="001A27ED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osoby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72B86" w:rsidRPr="00A635F2" w:rsidRDefault="00A72B86" w:rsidP="001A27ED">
            <w:pPr>
              <w:tabs>
                <w:tab w:val="center" w:pos="4536"/>
                <w:tab w:val="right" w:pos="9072"/>
              </w:tabs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produkt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A72B86" w:rsidRPr="00A635F2" w:rsidRDefault="00A72B86" w:rsidP="001A27ED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kluczowy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72B86" w:rsidRPr="00A635F2" w:rsidRDefault="00A72B86" w:rsidP="001A27ED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-</w:t>
            </w:r>
          </w:p>
        </w:tc>
        <w:tc>
          <w:tcPr>
            <w:tcW w:w="5954" w:type="dxa"/>
            <w:vMerge/>
            <w:shd w:val="clear" w:color="auto" w:fill="FFFFFF" w:themeFill="background1"/>
            <w:vAlign w:val="center"/>
          </w:tcPr>
          <w:p w:rsidR="00A72B86" w:rsidRPr="00A635F2" w:rsidRDefault="00A72B86" w:rsidP="001A27ED">
            <w:pPr>
              <w:tabs>
                <w:tab w:val="left" w:pos="3402"/>
                <w:tab w:val="left" w:pos="5103"/>
              </w:tabs>
              <w:ind w:left="-8"/>
              <w:contextualSpacing/>
              <w:rPr>
                <w:rFonts w:eastAsia="Times New Roman" w:cs="Times New Roman"/>
                <w:sz w:val="24"/>
                <w:szCs w:val="24"/>
                <w:lang w:eastAsia="en-US"/>
              </w:rPr>
            </w:pPr>
          </w:p>
        </w:tc>
      </w:tr>
      <w:tr w:rsidR="00A72B86" w:rsidRPr="004A2391" w:rsidTr="001A27ED">
        <w:tc>
          <w:tcPr>
            <w:tcW w:w="552" w:type="dxa"/>
            <w:shd w:val="clear" w:color="auto" w:fill="FFFFFF" w:themeFill="background1"/>
            <w:vAlign w:val="center"/>
          </w:tcPr>
          <w:p w:rsidR="00A72B86" w:rsidRPr="00A635F2" w:rsidRDefault="00A72B86" w:rsidP="001A27ED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2b.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A72B86" w:rsidRPr="00A635F2" w:rsidRDefault="00A72B86" w:rsidP="001A27ED">
            <w:pPr>
              <w:spacing w:before="80" w:after="80"/>
              <w:rPr>
                <w:i/>
                <w:sz w:val="24"/>
                <w:szCs w:val="24"/>
              </w:rPr>
            </w:pPr>
            <w:r w:rsidRPr="00A635F2">
              <w:rPr>
                <w:i/>
                <w:sz w:val="24"/>
                <w:szCs w:val="24"/>
              </w:rPr>
              <w:t>Liczba osób objętych szkoleniami / doradztwem w zakresie kompetencji cyfrowych</w:t>
            </w:r>
            <w:r w:rsidRPr="00A635F2">
              <w:rPr>
                <w:i/>
                <w:sz w:val="24"/>
                <w:szCs w:val="24"/>
              </w:rPr>
              <w:br/>
              <w:t>- mężczyźni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72B86" w:rsidRPr="00A635F2" w:rsidRDefault="00A72B86" w:rsidP="001A27ED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osoby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72B86" w:rsidRPr="00A635F2" w:rsidRDefault="00A72B86" w:rsidP="001A27ED">
            <w:pPr>
              <w:tabs>
                <w:tab w:val="center" w:pos="4536"/>
                <w:tab w:val="right" w:pos="9072"/>
              </w:tabs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produkt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A72B86" w:rsidRPr="00A635F2" w:rsidRDefault="00A72B86" w:rsidP="001A27ED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kluczowy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72B86" w:rsidRPr="00A635F2" w:rsidRDefault="00A72B86" w:rsidP="001A27ED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-</w:t>
            </w:r>
          </w:p>
        </w:tc>
        <w:tc>
          <w:tcPr>
            <w:tcW w:w="5954" w:type="dxa"/>
            <w:vMerge/>
            <w:shd w:val="clear" w:color="auto" w:fill="FFFFFF" w:themeFill="background1"/>
            <w:vAlign w:val="center"/>
          </w:tcPr>
          <w:p w:rsidR="00A72B86" w:rsidRPr="00A635F2" w:rsidRDefault="00A72B86" w:rsidP="001A27ED">
            <w:pPr>
              <w:tabs>
                <w:tab w:val="left" w:pos="3402"/>
                <w:tab w:val="left" w:pos="5103"/>
              </w:tabs>
              <w:ind w:left="-8"/>
              <w:contextualSpacing/>
              <w:rPr>
                <w:rFonts w:eastAsia="Times New Roman" w:cs="Times New Roman"/>
                <w:sz w:val="24"/>
                <w:szCs w:val="24"/>
                <w:lang w:eastAsia="en-US"/>
              </w:rPr>
            </w:pPr>
          </w:p>
        </w:tc>
      </w:tr>
      <w:tr w:rsidR="00A72B86" w:rsidRPr="004A2391" w:rsidTr="001A27ED">
        <w:trPr>
          <w:trHeight w:val="3184"/>
        </w:trPr>
        <w:tc>
          <w:tcPr>
            <w:tcW w:w="552" w:type="dxa"/>
            <w:shd w:val="clear" w:color="auto" w:fill="FFFFFF" w:themeFill="background1"/>
            <w:vAlign w:val="center"/>
          </w:tcPr>
          <w:p w:rsidR="00A72B86" w:rsidRPr="00A635F2" w:rsidRDefault="00A72B86" w:rsidP="001A27ED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3.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A72B86" w:rsidRPr="00A635F2" w:rsidRDefault="00A72B86" w:rsidP="001A27ED">
            <w:pPr>
              <w:spacing w:before="80" w:after="80"/>
              <w:rPr>
                <w:i/>
                <w:sz w:val="24"/>
                <w:szCs w:val="24"/>
              </w:rPr>
            </w:pPr>
            <w:r w:rsidRPr="00A635F2">
              <w:rPr>
                <w:i/>
                <w:sz w:val="24"/>
                <w:szCs w:val="24"/>
              </w:rPr>
              <w:t xml:space="preserve">Liczba projektów, w których sfinansowano koszty racjonalnych usprawnień dla osób </w:t>
            </w:r>
            <w:r w:rsidRPr="00A635F2">
              <w:rPr>
                <w:i/>
                <w:sz w:val="24"/>
                <w:szCs w:val="24"/>
              </w:rPr>
              <w:br/>
              <w:t>z niepełnosprawnościami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72B86" w:rsidRPr="00A635F2" w:rsidRDefault="00A72B86" w:rsidP="001A27ED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szt.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72B86" w:rsidRPr="00A635F2" w:rsidRDefault="00A72B86" w:rsidP="001A27ED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produkt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A72B86" w:rsidRPr="00A635F2" w:rsidRDefault="00A72B86" w:rsidP="001A27ED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kluczowy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72B86" w:rsidRPr="00A635F2" w:rsidRDefault="00A72B86" w:rsidP="001A27ED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-</w:t>
            </w:r>
          </w:p>
        </w:tc>
        <w:tc>
          <w:tcPr>
            <w:tcW w:w="5954" w:type="dxa"/>
            <w:shd w:val="clear" w:color="auto" w:fill="FFFFFF" w:themeFill="background1"/>
            <w:vAlign w:val="center"/>
          </w:tcPr>
          <w:p w:rsidR="00A72B86" w:rsidRPr="00A635F2" w:rsidRDefault="00A72B86" w:rsidP="001A27ED">
            <w:pPr>
              <w:tabs>
                <w:tab w:val="left" w:pos="3402"/>
                <w:tab w:val="left" w:pos="5103"/>
              </w:tabs>
              <w:spacing w:before="60" w:after="60"/>
              <w:ind w:left="-8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>Racjonalne usprawnienie oznacza konieczne i odpowiednie zmiany oraz dostosowania, nie nakładające nieproporcjonaln</w:t>
            </w: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ego lub nadmiernego obciążenia, </w:t>
            </w: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>rozpatrywane</w:t>
            </w: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osobno dla każdego konkretnego </w:t>
            </w: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przypadku, w celu zapewnienia osobom </w:t>
            </w: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br/>
            </w: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z niepełnosprawnościami możliwości korzystania </w:t>
            </w: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br/>
            </w: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>z wszelkich praw człowieka i podstawowych wolności oraz ich wykonywania na zasadzie równości z innymi osobami.</w:t>
            </w:r>
          </w:p>
          <w:p w:rsidR="00A72B86" w:rsidRPr="00A635F2" w:rsidRDefault="00A72B86" w:rsidP="001A27ED">
            <w:pPr>
              <w:tabs>
                <w:tab w:val="left" w:pos="3402"/>
                <w:tab w:val="left" w:pos="5103"/>
              </w:tabs>
              <w:spacing w:before="60" w:after="60"/>
              <w:ind w:left="-8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>Wskaźnik mierzony w momencie rozliczenia wydatku związanego z racjonalnymi usprawnieniami w ramach danego projektu.</w:t>
            </w:r>
          </w:p>
          <w:p w:rsidR="00A72B86" w:rsidRPr="00A635F2" w:rsidRDefault="00A72B86" w:rsidP="001A27ED">
            <w:pPr>
              <w:tabs>
                <w:tab w:val="left" w:pos="3402"/>
                <w:tab w:val="left" w:pos="5103"/>
              </w:tabs>
              <w:spacing w:before="60" w:after="60"/>
              <w:ind w:left="-8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>Przykłady racjonalnych usprawnień: tłumacz języka migowego, transport niskopodłogowy, dostosowanie infrastruktury (nie tylko budynku, ale też dostosowanie infrastruktury komputerowej np. programy powiększające, mówiące, drukarki materiałów w alfabecie Braille'a), osoby asystujące, odpowiednie dostosowanie wyżywienia.</w:t>
            </w:r>
          </w:p>
          <w:p w:rsidR="00A72B86" w:rsidRPr="00A635F2" w:rsidRDefault="00A72B86" w:rsidP="001A27ED">
            <w:pPr>
              <w:tabs>
                <w:tab w:val="left" w:pos="3402"/>
                <w:tab w:val="left" w:pos="5103"/>
              </w:tabs>
              <w:spacing w:before="60" w:after="60"/>
              <w:ind w:left="-8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>Do wskaźnika powinny zostać wliczone zarówno projekty ogólnodostępne</w:t>
            </w: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, w których sfinansowano koszty </w:t>
            </w: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racjonalnych usprawnień, jak i dedykowane (zgodnie </w:t>
            </w: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br/>
            </w: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z kategoryzacją projektów z </w:t>
            </w:r>
            <w:r w:rsidRPr="00A635F2">
              <w:rPr>
                <w:rFonts w:eastAsia="Times New Roman" w:cs="Times New Roman"/>
                <w:i/>
                <w:sz w:val="24"/>
                <w:szCs w:val="24"/>
                <w:lang w:eastAsia="en-US"/>
              </w:rPr>
              <w:t xml:space="preserve">Wytycznych w zakresie realizacji zasady równości szans </w:t>
            </w:r>
            <w:r>
              <w:rPr>
                <w:rFonts w:eastAsia="Times New Roman" w:cs="Times New Roman"/>
                <w:i/>
                <w:sz w:val="24"/>
                <w:szCs w:val="24"/>
                <w:lang w:eastAsia="en-US"/>
              </w:rPr>
              <w:t xml:space="preserve">i niedyskryminacji, w tym </w:t>
            </w:r>
            <w:r w:rsidRPr="00A635F2">
              <w:rPr>
                <w:rFonts w:eastAsia="Times New Roman" w:cs="Times New Roman"/>
                <w:i/>
                <w:sz w:val="24"/>
                <w:szCs w:val="24"/>
                <w:lang w:eastAsia="en-US"/>
              </w:rPr>
              <w:t>dostępności dla osób z niepełnosprawnościami oraz zasady równości szans kobiet i mężczyzn w ramach funduszy unijnych na lata 2014-2020</w:t>
            </w: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>).</w:t>
            </w:r>
          </w:p>
          <w:p w:rsidR="00A72B86" w:rsidRPr="00A635F2" w:rsidRDefault="00A72B86" w:rsidP="001A27ED">
            <w:pPr>
              <w:tabs>
                <w:tab w:val="left" w:pos="3402"/>
                <w:tab w:val="left" w:pos="5103"/>
              </w:tabs>
              <w:spacing w:before="60" w:after="60"/>
              <w:ind w:left="-8"/>
              <w:rPr>
                <w:rFonts w:eastAsiaTheme="minorHAnsi"/>
                <w:sz w:val="24"/>
                <w:szCs w:val="24"/>
                <w:lang w:eastAsia="en-US"/>
              </w:rPr>
            </w:pP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lastRenderedPageBreak/>
              <w:t xml:space="preserve">Definicja na podstawie: </w:t>
            </w:r>
            <w:r w:rsidRPr="00A635F2">
              <w:rPr>
                <w:rFonts w:eastAsia="Times New Roman" w:cs="Times New Roman"/>
                <w:i/>
                <w:sz w:val="24"/>
                <w:szCs w:val="24"/>
                <w:lang w:eastAsia="en-US"/>
              </w:rPr>
              <w:t>Wytyczne w zakresie realizacji zasady równości szans i niedyskryminacji, w tym dostępności dla osób z niepełnosprawnościami oraz równości szans kobiet i mężczyzn w ramach funduszy unijnych na lata 2014-</w:t>
            </w:r>
            <w:r w:rsidRPr="00A635F2">
              <w:rPr>
                <w:rFonts w:eastAsiaTheme="minorHAnsi"/>
                <w:i/>
                <w:sz w:val="24"/>
                <w:szCs w:val="24"/>
                <w:lang w:eastAsia="en-US"/>
              </w:rPr>
              <w:t>2020</w:t>
            </w:r>
            <w:r w:rsidRPr="00A635F2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  <w:p w:rsidR="00A72B86" w:rsidRPr="00A635F2" w:rsidRDefault="00A72B86" w:rsidP="001A27ED">
            <w:pPr>
              <w:tabs>
                <w:tab w:val="left" w:pos="3402"/>
                <w:tab w:val="left" w:pos="5103"/>
              </w:tabs>
              <w:spacing w:before="60" w:after="60"/>
              <w:ind w:left="-8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A635F2">
              <w:rPr>
                <w:rFonts w:eastAsiaTheme="minorHAnsi"/>
                <w:i/>
                <w:sz w:val="24"/>
                <w:szCs w:val="24"/>
                <w:lang w:eastAsia="en-US"/>
              </w:rPr>
              <w:t>Wyjaśnienie:</w:t>
            </w:r>
            <w:r w:rsidRPr="00A635F2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</w:t>
            </w:r>
            <w:r w:rsidRPr="00A635F2">
              <w:rPr>
                <w:rFonts w:eastAsiaTheme="minorHAnsi"/>
                <w:sz w:val="24"/>
                <w:szCs w:val="24"/>
                <w:lang w:eastAsia="en-US"/>
              </w:rPr>
              <w:t xml:space="preserve">Jeśli projekt spełnia kryteria w/w definicji wnioskodawca powinien wykazać wartość „1”,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br/>
            </w:r>
            <w:r w:rsidRPr="00A635F2">
              <w:rPr>
                <w:rFonts w:eastAsiaTheme="minorHAnsi"/>
                <w:sz w:val="24"/>
                <w:szCs w:val="24"/>
                <w:lang w:eastAsia="en-US"/>
              </w:rPr>
              <w:t xml:space="preserve">w przeciwnym wypadku „0”. W przypadku projektów partnerskich wskaźnik powinien być wykazany wyłącznie przez lidera projektu, bez względu na liczbę partnerów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br/>
            </w:r>
            <w:r w:rsidRPr="00A635F2">
              <w:rPr>
                <w:rFonts w:eastAsiaTheme="minorHAnsi"/>
                <w:sz w:val="24"/>
                <w:szCs w:val="24"/>
                <w:lang w:eastAsia="en-US"/>
              </w:rPr>
              <w:t>w projekcie realizujących wskaźnik.</w:t>
            </w:r>
          </w:p>
        </w:tc>
      </w:tr>
      <w:tr w:rsidR="00A72B86" w:rsidRPr="004A2391" w:rsidTr="001A27ED">
        <w:tc>
          <w:tcPr>
            <w:tcW w:w="552" w:type="dxa"/>
            <w:tcBorders>
              <w:bottom w:val="single" w:sz="4" w:space="0" w:color="33CC33"/>
            </w:tcBorders>
            <w:shd w:val="clear" w:color="auto" w:fill="FFFFFF" w:themeFill="background1"/>
            <w:vAlign w:val="center"/>
          </w:tcPr>
          <w:p w:rsidR="00A72B86" w:rsidRPr="00A635F2" w:rsidRDefault="00A72B86" w:rsidP="001A27ED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2977" w:type="dxa"/>
            <w:tcBorders>
              <w:bottom w:val="single" w:sz="4" w:space="0" w:color="33CC33"/>
            </w:tcBorders>
            <w:shd w:val="clear" w:color="auto" w:fill="FFFFFF" w:themeFill="background1"/>
            <w:vAlign w:val="center"/>
          </w:tcPr>
          <w:p w:rsidR="00A72B86" w:rsidRPr="00A635F2" w:rsidRDefault="00A72B86" w:rsidP="001A27ED">
            <w:pPr>
              <w:spacing w:before="80" w:after="80"/>
              <w:rPr>
                <w:i/>
                <w:sz w:val="24"/>
                <w:szCs w:val="24"/>
              </w:rPr>
            </w:pPr>
            <w:r w:rsidRPr="00A635F2">
              <w:rPr>
                <w:i/>
                <w:sz w:val="24"/>
                <w:szCs w:val="24"/>
              </w:rPr>
              <w:t>Liczba podmiotów wykorzystujących technologie informacyjno-komunikacyjne</w:t>
            </w:r>
          </w:p>
        </w:tc>
        <w:tc>
          <w:tcPr>
            <w:tcW w:w="1276" w:type="dxa"/>
            <w:tcBorders>
              <w:bottom w:val="single" w:sz="4" w:space="0" w:color="33CC33"/>
            </w:tcBorders>
            <w:shd w:val="clear" w:color="auto" w:fill="FFFFFF" w:themeFill="background1"/>
            <w:vAlign w:val="center"/>
          </w:tcPr>
          <w:p w:rsidR="00A72B86" w:rsidRPr="00A635F2" w:rsidRDefault="00A72B86" w:rsidP="001A27ED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szt.</w:t>
            </w:r>
          </w:p>
        </w:tc>
        <w:tc>
          <w:tcPr>
            <w:tcW w:w="1276" w:type="dxa"/>
            <w:tcBorders>
              <w:bottom w:val="single" w:sz="4" w:space="0" w:color="33CC33"/>
            </w:tcBorders>
            <w:shd w:val="clear" w:color="auto" w:fill="FFFFFF" w:themeFill="background1"/>
            <w:vAlign w:val="center"/>
          </w:tcPr>
          <w:p w:rsidR="00A72B86" w:rsidRPr="00A635F2" w:rsidRDefault="00A72B86" w:rsidP="001A27ED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produkt</w:t>
            </w:r>
          </w:p>
        </w:tc>
        <w:tc>
          <w:tcPr>
            <w:tcW w:w="1275" w:type="dxa"/>
            <w:tcBorders>
              <w:bottom w:val="single" w:sz="4" w:space="0" w:color="33CC33"/>
            </w:tcBorders>
            <w:shd w:val="clear" w:color="auto" w:fill="FFFFFF" w:themeFill="background1"/>
            <w:vAlign w:val="center"/>
          </w:tcPr>
          <w:p w:rsidR="00A72B86" w:rsidRPr="00A635F2" w:rsidRDefault="00A72B86" w:rsidP="001A27ED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kluczowy</w:t>
            </w:r>
          </w:p>
        </w:tc>
        <w:tc>
          <w:tcPr>
            <w:tcW w:w="1276" w:type="dxa"/>
            <w:tcBorders>
              <w:bottom w:val="single" w:sz="4" w:space="0" w:color="33CC33"/>
            </w:tcBorders>
            <w:shd w:val="clear" w:color="auto" w:fill="FFFFFF" w:themeFill="background1"/>
            <w:vAlign w:val="center"/>
          </w:tcPr>
          <w:p w:rsidR="00A72B86" w:rsidRPr="00A635F2" w:rsidRDefault="00A72B86" w:rsidP="001A27ED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-</w:t>
            </w:r>
          </w:p>
        </w:tc>
        <w:tc>
          <w:tcPr>
            <w:tcW w:w="5954" w:type="dxa"/>
            <w:tcBorders>
              <w:bottom w:val="single" w:sz="4" w:space="0" w:color="33CC33"/>
            </w:tcBorders>
            <w:shd w:val="clear" w:color="auto" w:fill="FFFFFF" w:themeFill="background1"/>
            <w:vAlign w:val="center"/>
          </w:tcPr>
          <w:p w:rsidR="00A72B86" w:rsidRPr="00A635F2" w:rsidRDefault="00A72B86" w:rsidP="001A27ED">
            <w:pPr>
              <w:tabs>
                <w:tab w:val="left" w:pos="3402"/>
                <w:tab w:val="left" w:pos="5103"/>
              </w:tabs>
              <w:spacing w:before="60" w:after="60"/>
              <w:ind w:left="-8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Wskaźnik mierzy liczbę podmiotów, które w celu realizacji projektu, zainwestowały w technologie informacyjno-komunikacyjne, a w przypadku projektów edukacyjno-szkoleniowych, również podmiotów, które podjęły działania upowszechniające wykorzystanie TIK. </w:t>
            </w:r>
          </w:p>
          <w:p w:rsidR="00A72B86" w:rsidRPr="00A635F2" w:rsidRDefault="00A72B86" w:rsidP="001A27ED">
            <w:pPr>
              <w:tabs>
                <w:tab w:val="left" w:pos="3402"/>
                <w:tab w:val="left" w:pos="5103"/>
              </w:tabs>
              <w:spacing w:before="60" w:after="60"/>
              <w:ind w:left="-8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Przez technologie informacyjno-komunikacyjne (ang. ITC – Information and Communications Technology) należy rozumieć technologie pozyskiwania/ produkcji, gromadzenia /przechowywania, przesyłania, przetwarzania i rozpowszechniania informacji w formie elektronicznej z wykorzystaniem technik cyfrowych </w:t>
            </w: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br/>
            </w: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>i wszelkich narzędzi komunikacji elektronicznej oraz wszelkie działania związane z produkcją i wykorzystaniem urządzeń telekomunikacyjnych i informatycznych oraz usług im towarzy</w:t>
            </w: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szących; działania edukacyjne </w:t>
            </w: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br/>
              <w:t xml:space="preserve">i </w:t>
            </w: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szkoleniowe. </w:t>
            </w:r>
          </w:p>
          <w:p w:rsidR="00A72B86" w:rsidRPr="00A635F2" w:rsidRDefault="00A72B86" w:rsidP="001A27ED">
            <w:pPr>
              <w:tabs>
                <w:tab w:val="left" w:pos="3402"/>
                <w:tab w:val="left" w:pos="5103"/>
              </w:tabs>
              <w:spacing w:before="60" w:after="60"/>
              <w:ind w:left="-8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W zakresie EFS podmioty wykorzystujące TIK należy rozumieć jako podmioty (beneficjenci/partnerzy beneficjentów), które w ramach realizowanego przez nie projektu wspierają wykorzystywanie technik poprzez: </w:t>
            </w: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br/>
            </w: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np. propagowanie / szkolenie / zakup TIK lub podmioty, które otrzymują wsparcie w tym zakresie (uczestnicy projektów). Podmiotu, do którego odnosi się wskaźnik, </w:t>
            </w: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br/>
            </w: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w przypadku gdy nie spełnia definicji uczestnika projektu zgodnie z rozdziałem 3.3 Wytycznych w zakresie monitorowania postępu rzeczowego realizacji programów operacyjnych na lata 2014-2020, nie należy wykazywać </w:t>
            </w: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br/>
            </w: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w module Uczestnicy projektów w SL2014. </w:t>
            </w:r>
          </w:p>
          <w:p w:rsidR="00A72B86" w:rsidRPr="00A635F2" w:rsidRDefault="00A72B86" w:rsidP="001A27ED">
            <w:pPr>
              <w:tabs>
                <w:tab w:val="left" w:pos="3402"/>
                <w:tab w:val="left" w:pos="5103"/>
              </w:tabs>
              <w:spacing w:before="60" w:after="60"/>
              <w:ind w:left="-8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Podmiotami realizującymi projekty TIK mogą być </w:t>
            </w: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br/>
            </w: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m.in. MŚP, duże przedsiębiorstwa, administracja publiczna, w tym jednostki samorządu terytorialnego, NGO, jednostki naukowe, szkoły, które będą wykorzystywać TIK do usprawnienia swojego działania i do prowadzenia relacji z innymi podmiotami. </w:t>
            </w:r>
          </w:p>
          <w:p w:rsidR="00A72B86" w:rsidRPr="00A635F2" w:rsidRDefault="00A72B86" w:rsidP="001A27ED">
            <w:pPr>
              <w:tabs>
                <w:tab w:val="left" w:pos="3402"/>
                <w:tab w:val="left" w:pos="5103"/>
              </w:tabs>
              <w:spacing w:before="60" w:after="60"/>
              <w:ind w:left="-8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>W przypadku, gdy beneficjentem pozostaje jeden podmiot, we wskaź</w:t>
            </w: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niku należy ująć wartość „1”. </w:t>
            </w: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br/>
              <w:t xml:space="preserve">W </w:t>
            </w: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>przypadku gdy projekt jest realizowany przez partnerstwo podmiotów, w wartości wskaźnika należy ująć każdy z podmiotów wchodzących w skład partnerstwa, który wdrożył w swojej działalności narzędzia TIK.</w:t>
            </w:r>
          </w:p>
        </w:tc>
      </w:tr>
      <w:tr w:rsidR="00A72B86" w:rsidRPr="004A2391" w:rsidTr="001A27ED">
        <w:trPr>
          <w:trHeight w:val="6161"/>
        </w:trPr>
        <w:tc>
          <w:tcPr>
            <w:tcW w:w="552" w:type="dxa"/>
            <w:tcBorders>
              <w:top w:val="single" w:sz="4" w:space="0" w:color="33CC33"/>
              <w:bottom w:val="single" w:sz="4" w:space="0" w:color="33CC33"/>
            </w:tcBorders>
            <w:shd w:val="clear" w:color="auto" w:fill="FFFFFF" w:themeFill="background1"/>
            <w:vAlign w:val="center"/>
          </w:tcPr>
          <w:p w:rsidR="00A72B86" w:rsidRPr="00A635F2" w:rsidRDefault="00A72B86" w:rsidP="001A27ED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5.</w:t>
            </w:r>
          </w:p>
        </w:tc>
        <w:tc>
          <w:tcPr>
            <w:tcW w:w="2977" w:type="dxa"/>
            <w:tcBorders>
              <w:top w:val="single" w:sz="4" w:space="0" w:color="33CC33"/>
              <w:bottom w:val="single" w:sz="4" w:space="0" w:color="33CC33"/>
            </w:tcBorders>
            <w:shd w:val="clear" w:color="auto" w:fill="FFFFFF" w:themeFill="background1"/>
            <w:vAlign w:val="center"/>
          </w:tcPr>
          <w:p w:rsidR="00A72B86" w:rsidRPr="00A635F2" w:rsidRDefault="00A72B86" w:rsidP="001A27ED">
            <w:pPr>
              <w:spacing w:before="80" w:after="80"/>
              <w:rPr>
                <w:i/>
                <w:sz w:val="24"/>
                <w:szCs w:val="24"/>
              </w:rPr>
            </w:pPr>
            <w:r w:rsidRPr="00A635F2">
              <w:rPr>
                <w:rFonts w:cs="Arial"/>
                <w:i/>
                <w:sz w:val="24"/>
                <w:szCs w:val="24"/>
              </w:rPr>
              <w:t>Wzrost zatrudnienia we wspieranych przedsiębiorstwach</w:t>
            </w:r>
            <w:r w:rsidRPr="00A635F2">
              <w:rPr>
                <w:rStyle w:val="Odwoanieprzypisudolnego"/>
                <w:rFonts w:cs="Arial"/>
                <w:i/>
                <w:sz w:val="24"/>
                <w:szCs w:val="24"/>
              </w:rPr>
              <w:footnoteReference w:id="1"/>
            </w:r>
          </w:p>
        </w:tc>
        <w:tc>
          <w:tcPr>
            <w:tcW w:w="1276" w:type="dxa"/>
            <w:tcBorders>
              <w:top w:val="single" w:sz="4" w:space="0" w:color="33CC33"/>
              <w:bottom w:val="single" w:sz="4" w:space="0" w:color="33CC33"/>
            </w:tcBorders>
            <w:shd w:val="clear" w:color="auto" w:fill="FFFFFF" w:themeFill="background1"/>
            <w:vAlign w:val="center"/>
          </w:tcPr>
          <w:p w:rsidR="00A72B86" w:rsidRPr="00A635F2" w:rsidRDefault="00A72B86" w:rsidP="001A27ED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EPC</w:t>
            </w:r>
          </w:p>
        </w:tc>
        <w:tc>
          <w:tcPr>
            <w:tcW w:w="1276" w:type="dxa"/>
            <w:tcBorders>
              <w:top w:val="single" w:sz="4" w:space="0" w:color="33CC33"/>
              <w:bottom w:val="single" w:sz="4" w:space="0" w:color="33CC33"/>
            </w:tcBorders>
            <w:shd w:val="clear" w:color="auto" w:fill="FFFFFF" w:themeFill="background1"/>
            <w:vAlign w:val="center"/>
          </w:tcPr>
          <w:p w:rsidR="00A72B86" w:rsidRPr="00A635F2" w:rsidRDefault="00A72B86" w:rsidP="001A27ED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rezultat</w:t>
            </w:r>
          </w:p>
        </w:tc>
        <w:tc>
          <w:tcPr>
            <w:tcW w:w="1275" w:type="dxa"/>
            <w:tcBorders>
              <w:top w:val="single" w:sz="4" w:space="0" w:color="33CC33"/>
              <w:bottom w:val="single" w:sz="4" w:space="0" w:color="33CC33"/>
            </w:tcBorders>
            <w:shd w:val="clear" w:color="auto" w:fill="FFFFFF" w:themeFill="background1"/>
            <w:vAlign w:val="center"/>
          </w:tcPr>
          <w:p w:rsidR="00A72B86" w:rsidRPr="00A635F2" w:rsidRDefault="00A72B86" w:rsidP="001A27ED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kluczowy</w:t>
            </w:r>
          </w:p>
        </w:tc>
        <w:tc>
          <w:tcPr>
            <w:tcW w:w="1276" w:type="dxa"/>
            <w:tcBorders>
              <w:top w:val="single" w:sz="4" w:space="0" w:color="33CC33"/>
              <w:bottom w:val="single" w:sz="4" w:space="0" w:color="33CC33"/>
            </w:tcBorders>
            <w:shd w:val="clear" w:color="auto" w:fill="FFFFFF" w:themeFill="background1"/>
            <w:vAlign w:val="center"/>
          </w:tcPr>
          <w:p w:rsidR="00A72B86" w:rsidRPr="00A635F2" w:rsidRDefault="00A72B86" w:rsidP="001A27ED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Common Indicator</w:t>
            </w:r>
          </w:p>
        </w:tc>
        <w:tc>
          <w:tcPr>
            <w:tcW w:w="5954" w:type="dxa"/>
            <w:vMerge w:val="restart"/>
            <w:tcBorders>
              <w:top w:val="single" w:sz="4" w:space="0" w:color="33CC33"/>
              <w:bottom w:val="single" w:sz="4" w:space="0" w:color="33CC33"/>
            </w:tcBorders>
            <w:shd w:val="clear" w:color="auto" w:fill="FFFFFF" w:themeFill="background1"/>
            <w:vAlign w:val="center"/>
          </w:tcPr>
          <w:p w:rsidR="00A72B86" w:rsidRPr="00A635F2" w:rsidRDefault="00A72B86" w:rsidP="001A27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 w:after="60"/>
              <w:ind w:right="34"/>
              <w:rPr>
                <w:rFonts w:cs="Times New Roman"/>
                <w:sz w:val="24"/>
                <w:szCs w:val="24"/>
              </w:rPr>
            </w:pPr>
            <w:r w:rsidRPr="00A635F2">
              <w:rPr>
                <w:rFonts w:cs="Times New Roman"/>
                <w:sz w:val="24"/>
                <w:szCs w:val="24"/>
              </w:rPr>
              <w:t>Liczba brutto nowych miejsc pracy we wspieranych przedsiębiorstwach w przeliczeniu na pełne etaty na podstawie umowy o pracę (nie dotyczy umów cywilnoprawnych). Zasadniczo wskaźnik "przed-po", który oddaje część wzrostu zatrudnienia będącą bezpośrednią konsekwencją realizacji projektu (pracownicy zatrudnieni do realizacji projektu nie są liczeni). Stanowiska muszą być wypełnione (wolne stanowiska nie są liczone) oraz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A635F2">
              <w:rPr>
                <w:rFonts w:cs="Times New Roman"/>
                <w:sz w:val="24"/>
                <w:szCs w:val="24"/>
              </w:rPr>
              <w:t xml:space="preserve">zwiększać całkowitą liczbę miejsc pracy </w:t>
            </w:r>
            <w:r>
              <w:rPr>
                <w:rFonts w:cs="Times New Roman"/>
                <w:sz w:val="24"/>
                <w:szCs w:val="24"/>
              </w:rPr>
              <w:br/>
              <w:t xml:space="preserve">w </w:t>
            </w:r>
            <w:r w:rsidRPr="00A635F2">
              <w:rPr>
                <w:rFonts w:cs="Times New Roman"/>
                <w:sz w:val="24"/>
                <w:szCs w:val="24"/>
              </w:rPr>
              <w:t xml:space="preserve">przedsiębiorstwie. Jeśli łączne zatrudnienie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A635F2">
              <w:rPr>
                <w:rFonts w:cs="Times New Roman"/>
                <w:sz w:val="24"/>
                <w:szCs w:val="24"/>
              </w:rPr>
              <w:t xml:space="preserve">w przedsiębiorstwie nie zwiększa się, wartość jest równa zero - to wskaźnik jest traktowany jako wyregulowanie,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A635F2">
              <w:rPr>
                <w:rFonts w:cs="Times New Roman"/>
                <w:sz w:val="24"/>
                <w:szCs w:val="24"/>
              </w:rPr>
              <w:t>a nie zwiększenie. Zagwarantowane itp. miejsca pracy nie są wliczone.</w:t>
            </w:r>
          </w:p>
          <w:p w:rsidR="00A72B86" w:rsidRPr="00A635F2" w:rsidRDefault="00A72B86" w:rsidP="001A27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 w:after="60"/>
              <w:ind w:right="34"/>
              <w:rPr>
                <w:rFonts w:cs="Times New Roman"/>
                <w:sz w:val="24"/>
                <w:szCs w:val="24"/>
              </w:rPr>
            </w:pPr>
            <w:r w:rsidRPr="00A635F2">
              <w:rPr>
                <w:rFonts w:cs="Times New Roman"/>
                <w:spacing w:val="-1"/>
                <w:sz w:val="24"/>
                <w:szCs w:val="24"/>
              </w:rPr>
              <w:t>Brutto: Nie licząc pochodzenia zatrudnionego dopóki bezpośrednio przyczynia się do wzrostu całkowitej liczby zatrudnionych w organizacji. Wskaźnik powinien być stosowany, jeśli wzrost zatrudnienia może być wiarygodnie przypisany do wsparcia.</w:t>
            </w:r>
          </w:p>
          <w:p w:rsidR="00A72B86" w:rsidRPr="00A635F2" w:rsidRDefault="00A72B86" w:rsidP="001A27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 w:after="60"/>
              <w:ind w:right="34"/>
              <w:rPr>
                <w:rFonts w:cs="Times New Roman"/>
                <w:sz w:val="24"/>
                <w:szCs w:val="24"/>
              </w:rPr>
            </w:pPr>
            <w:r w:rsidRPr="00A635F2">
              <w:rPr>
                <w:rFonts w:cs="Times New Roman"/>
                <w:sz w:val="24"/>
                <w:szCs w:val="24"/>
              </w:rPr>
              <w:t>Ekwiwalent pełnego czasu pracy: stanowiska mogą być pełnymi etatami, pracą w niepełnym wymiarze czasu pracy lub pracą sezonową. Sezonowe i niepełne etaty zostaną przeliczone na ekwiwalenty pełnego czasu pracy za pomocą standardów ILO/statystycznych/innych.</w:t>
            </w:r>
          </w:p>
          <w:p w:rsidR="00A72B86" w:rsidRPr="00A635F2" w:rsidRDefault="00A72B86" w:rsidP="001A27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 w:after="60"/>
              <w:ind w:right="34"/>
              <w:rPr>
                <w:rFonts w:cs="Times New Roman"/>
                <w:sz w:val="24"/>
                <w:szCs w:val="24"/>
              </w:rPr>
            </w:pPr>
            <w:r w:rsidRPr="00A635F2">
              <w:rPr>
                <w:rFonts w:cs="Times New Roman"/>
                <w:sz w:val="24"/>
                <w:szCs w:val="24"/>
              </w:rPr>
              <w:t>Trwałość: oczekuje się, że stanowiska będą stałe tj. będą trwały odpowiednio długo, w zależności od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A635F2">
              <w:rPr>
                <w:rFonts w:cs="Times New Roman"/>
                <w:sz w:val="24"/>
                <w:szCs w:val="24"/>
              </w:rPr>
              <w:t>charakterystyki przemysłowo-technologicznej: prace sezonowe powinny być cykliczne. Dane liczbowe przedsiębiorstw, które zbankrutowały są zapisywane jako zerowy wzrost zatrudnienia.</w:t>
            </w:r>
          </w:p>
          <w:p w:rsidR="00A72B86" w:rsidRPr="00A635F2" w:rsidRDefault="00A72B86" w:rsidP="001A27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 w:after="60"/>
              <w:rPr>
                <w:rFonts w:cs="Times New Roman"/>
                <w:sz w:val="24"/>
                <w:szCs w:val="24"/>
              </w:rPr>
            </w:pPr>
            <w:r w:rsidRPr="00A635F2">
              <w:rPr>
                <w:rFonts w:cs="Times New Roman"/>
                <w:sz w:val="24"/>
                <w:szCs w:val="24"/>
              </w:rPr>
              <w:t xml:space="preserve">Czas: Dane są zbierane przed rozpoczęciem projektu i po jego zakończeniu; Instytucje Zarządzające mają swobodę </w:t>
            </w:r>
            <w:r w:rsidRPr="00A635F2">
              <w:rPr>
                <w:rFonts w:cs="Times New Roman"/>
                <w:sz w:val="24"/>
                <w:szCs w:val="24"/>
              </w:rPr>
              <w:br/>
              <w:t xml:space="preserve">w określaniu dokładnego czasu. Preferowane jest stosowanie średniego zatrudnienia w oparciu o dane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A635F2">
              <w:rPr>
                <w:rFonts w:cs="Times New Roman"/>
                <w:sz w:val="24"/>
                <w:szCs w:val="24"/>
              </w:rPr>
              <w:t>z 6 miesięcy lub z roku, dla danych dotyczących zatrudnienia w określonych terminach.</w:t>
            </w:r>
          </w:p>
          <w:p w:rsidR="00A72B86" w:rsidRPr="00A635F2" w:rsidRDefault="00A72B86" w:rsidP="001A27ED">
            <w:pPr>
              <w:tabs>
                <w:tab w:val="left" w:pos="3402"/>
                <w:tab w:val="left" w:pos="5103"/>
              </w:tabs>
              <w:spacing w:before="60" w:after="60"/>
              <w:ind w:left="-8"/>
              <w:rPr>
                <w:rFonts w:cs="Times New Roman"/>
                <w:b/>
                <w:sz w:val="24"/>
                <w:szCs w:val="24"/>
              </w:rPr>
            </w:pPr>
            <w:r w:rsidRPr="00A635F2">
              <w:rPr>
                <w:rFonts w:cs="Times New Roman"/>
                <w:b/>
                <w:sz w:val="24"/>
                <w:szCs w:val="24"/>
              </w:rPr>
              <w:t>Dla celów monitoringowych Beneficjent w opisie metodologii wskaźnika (w wierszu pod wskaźnikiem) powinien przedstawić dane dotyczące stanu zatrudnienia w przedsiębiorstwie przed rozpoczęciem realizacji projektu.</w:t>
            </w:r>
          </w:p>
        </w:tc>
      </w:tr>
      <w:tr w:rsidR="00A72B86" w:rsidRPr="004A2391" w:rsidTr="001A27ED">
        <w:trPr>
          <w:trHeight w:val="1543"/>
        </w:trPr>
        <w:tc>
          <w:tcPr>
            <w:tcW w:w="552" w:type="dxa"/>
            <w:tcBorders>
              <w:top w:val="single" w:sz="4" w:space="0" w:color="33CC33"/>
              <w:bottom w:val="single" w:sz="4" w:space="0" w:color="33CC33"/>
            </w:tcBorders>
            <w:shd w:val="clear" w:color="auto" w:fill="FFFFFF" w:themeFill="background1"/>
            <w:vAlign w:val="center"/>
          </w:tcPr>
          <w:p w:rsidR="00A72B86" w:rsidRPr="00A635F2" w:rsidRDefault="00A72B86" w:rsidP="001A27ED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5a.</w:t>
            </w:r>
          </w:p>
        </w:tc>
        <w:tc>
          <w:tcPr>
            <w:tcW w:w="2977" w:type="dxa"/>
            <w:tcBorders>
              <w:top w:val="single" w:sz="4" w:space="0" w:color="33CC33"/>
              <w:bottom w:val="single" w:sz="4" w:space="0" w:color="33CC33"/>
            </w:tcBorders>
            <w:shd w:val="clear" w:color="auto" w:fill="FFFFFF" w:themeFill="background1"/>
            <w:vAlign w:val="center"/>
          </w:tcPr>
          <w:p w:rsidR="00A72B86" w:rsidRPr="00A635F2" w:rsidRDefault="00A72B86" w:rsidP="001A27ED">
            <w:pPr>
              <w:spacing w:before="80" w:after="80"/>
              <w:rPr>
                <w:i/>
                <w:sz w:val="24"/>
                <w:szCs w:val="24"/>
              </w:rPr>
            </w:pPr>
            <w:r w:rsidRPr="00A635F2">
              <w:rPr>
                <w:rFonts w:cs="Arial"/>
                <w:i/>
                <w:sz w:val="24"/>
                <w:szCs w:val="24"/>
              </w:rPr>
              <w:t>Wzrost zatrudnienia we wspieranych przedsiębiorstwach</w:t>
            </w:r>
            <w:r w:rsidRPr="00A635F2">
              <w:rPr>
                <w:rFonts w:cs="Arial"/>
                <w:i/>
                <w:sz w:val="24"/>
                <w:szCs w:val="24"/>
              </w:rPr>
              <w:br/>
              <w:t xml:space="preserve"> – kobiety </w:t>
            </w:r>
            <w:r w:rsidRPr="00A635F2">
              <w:rPr>
                <w:rFonts w:cs="Arial"/>
                <w:i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276" w:type="dxa"/>
            <w:tcBorders>
              <w:top w:val="single" w:sz="4" w:space="0" w:color="33CC33"/>
              <w:bottom w:val="single" w:sz="4" w:space="0" w:color="33CC33"/>
            </w:tcBorders>
            <w:shd w:val="clear" w:color="auto" w:fill="FFFFFF" w:themeFill="background1"/>
            <w:vAlign w:val="center"/>
          </w:tcPr>
          <w:p w:rsidR="00A72B86" w:rsidRPr="00A635F2" w:rsidRDefault="00A72B86" w:rsidP="001A27ED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EPC</w:t>
            </w:r>
          </w:p>
        </w:tc>
        <w:tc>
          <w:tcPr>
            <w:tcW w:w="1276" w:type="dxa"/>
            <w:tcBorders>
              <w:top w:val="single" w:sz="4" w:space="0" w:color="33CC33"/>
              <w:bottom w:val="single" w:sz="4" w:space="0" w:color="33CC33"/>
            </w:tcBorders>
            <w:shd w:val="clear" w:color="auto" w:fill="FFFFFF" w:themeFill="background1"/>
            <w:vAlign w:val="center"/>
          </w:tcPr>
          <w:p w:rsidR="00A72B86" w:rsidRPr="00A635F2" w:rsidRDefault="00A72B86" w:rsidP="001A27ED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rezultat</w:t>
            </w:r>
          </w:p>
        </w:tc>
        <w:tc>
          <w:tcPr>
            <w:tcW w:w="1275" w:type="dxa"/>
            <w:tcBorders>
              <w:top w:val="single" w:sz="4" w:space="0" w:color="33CC33"/>
              <w:bottom w:val="single" w:sz="4" w:space="0" w:color="33CC33"/>
            </w:tcBorders>
            <w:shd w:val="clear" w:color="auto" w:fill="FFFFFF" w:themeFill="background1"/>
            <w:vAlign w:val="center"/>
          </w:tcPr>
          <w:p w:rsidR="00A72B86" w:rsidRPr="00A635F2" w:rsidRDefault="00A72B86" w:rsidP="001A27ED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kluczowy</w:t>
            </w:r>
          </w:p>
        </w:tc>
        <w:tc>
          <w:tcPr>
            <w:tcW w:w="1276" w:type="dxa"/>
            <w:tcBorders>
              <w:top w:val="single" w:sz="4" w:space="0" w:color="33CC33"/>
              <w:bottom w:val="single" w:sz="4" w:space="0" w:color="33CC33"/>
            </w:tcBorders>
            <w:shd w:val="clear" w:color="auto" w:fill="FFFFFF" w:themeFill="background1"/>
            <w:vAlign w:val="center"/>
          </w:tcPr>
          <w:p w:rsidR="00A72B86" w:rsidRPr="00A635F2" w:rsidRDefault="00A72B86" w:rsidP="001A27ED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Common Indicator</w:t>
            </w:r>
          </w:p>
        </w:tc>
        <w:tc>
          <w:tcPr>
            <w:tcW w:w="5954" w:type="dxa"/>
            <w:vMerge/>
            <w:tcBorders>
              <w:top w:val="single" w:sz="4" w:space="0" w:color="33CC33"/>
              <w:bottom w:val="single" w:sz="4" w:space="0" w:color="33CC33"/>
            </w:tcBorders>
            <w:shd w:val="clear" w:color="auto" w:fill="FFFFFF" w:themeFill="background1"/>
            <w:vAlign w:val="center"/>
          </w:tcPr>
          <w:p w:rsidR="00A72B86" w:rsidRPr="00A635F2" w:rsidRDefault="00A72B86" w:rsidP="001A27ED">
            <w:pPr>
              <w:tabs>
                <w:tab w:val="left" w:pos="3402"/>
                <w:tab w:val="left" w:pos="5103"/>
              </w:tabs>
              <w:ind w:left="-8"/>
              <w:contextualSpacing/>
              <w:rPr>
                <w:rFonts w:eastAsia="Times New Roman" w:cs="Times New Roman"/>
                <w:sz w:val="24"/>
                <w:szCs w:val="24"/>
                <w:lang w:eastAsia="en-US"/>
              </w:rPr>
            </w:pPr>
          </w:p>
        </w:tc>
      </w:tr>
      <w:tr w:rsidR="00A72B86" w:rsidRPr="004A2391" w:rsidTr="001A27ED">
        <w:tc>
          <w:tcPr>
            <w:tcW w:w="552" w:type="dxa"/>
            <w:tcBorders>
              <w:top w:val="single" w:sz="4" w:space="0" w:color="33CC33"/>
              <w:bottom w:val="single" w:sz="8" w:space="0" w:color="33CC33"/>
            </w:tcBorders>
            <w:shd w:val="clear" w:color="auto" w:fill="FFFFFF" w:themeFill="background1"/>
            <w:vAlign w:val="center"/>
          </w:tcPr>
          <w:p w:rsidR="00A72B86" w:rsidRPr="00A635F2" w:rsidRDefault="00A72B86" w:rsidP="001A27ED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5b.</w:t>
            </w:r>
          </w:p>
        </w:tc>
        <w:tc>
          <w:tcPr>
            <w:tcW w:w="2977" w:type="dxa"/>
            <w:tcBorders>
              <w:top w:val="single" w:sz="4" w:space="0" w:color="33CC33"/>
              <w:bottom w:val="single" w:sz="8" w:space="0" w:color="33CC33"/>
            </w:tcBorders>
            <w:shd w:val="clear" w:color="auto" w:fill="FFFFFF" w:themeFill="background1"/>
            <w:vAlign w:val="center"/>
          </w:tcPr>
          <w:p w:rsidR="00A72B86" w:rsidRPr="00A635F2" w:rsidRDefault="00A72B86" w:rsidP="001A27ED">
            <w:pPr>
              <w:spacing w:before="80" w:after="80"/>
              <w:rPr>
                <w:i/>
                <w:sz w:val="24"/>
                <w:szCs w:val="24"/>
              </w:rPr>
            </w:pPr>
            <w:r w:rsidRPr="00A635F2">
              <w:rPr>
                <w:rFonts w:cs="Arial"/>
                <w:i/>
                <w:sz w:val="24"/>
                <w:szCs w:val="24"/>
              </w:rPr>
              <w:t xml:space="preserve">Wzrost zatrudnienia we wspieranych przedsiębiorstwach </w:t>
            </w:r>
            <w:r w:rsidRPr="00A635F2">
              <w:rPr>
                <w:rFonts w:cs="Arial"/>
                <w:i/>
                <w:sz w:val="24"/>
                <w:szCs w:val="24"/>
              </w:rPr>
              <w:br/>
              <w:t>– mężczyźni</w:t>
            </w:r>
            <w:r w:rsidRPr="00A635F2">
              <w:rPr>
                <w:rFonts w:cs="Arial"/>
                <w:i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276" w:type="dxa"/>
            <w:tcBorders>
              <w:top w:val="single" w:sz="4" w:space="0" w:color="33CC33"/>
              <w:bottom w:val="single" w:sz="8" w:space="0" w:color="33CC33"/>
            </w:tcBorders>
            <w:shd w:val="clear" w:color="auto" w:fill="FFFFFF" w:themeFill="background1"/>
            <w:vAlign w:val="center"/>
          </w:tcPr>
          <w:p w:rsidR="00A72B86" w:rsidRPr="00A635F2" w:rsidRDefault="00A72B86" w:rsidP="001A27ED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EPC</w:t>
            </w:r>
          </w:p>
        </w:tc>
        <w:tc>
          <w:tcPr>
            <w:tcW w:w="1276" w:type="dxa"/>
            <w:tcBorders>
              <w:top w:val="single" w:sz="4" w:space="0" w:color="33CC33"/>
              <w:bottom w:val="single" w:sz="8" w:space="0" w:color="33CC33"/>
            </w:tcBorders>
            <w:shd w:val="clear" w:color="auto" w:fill="FFFFFF" w:themeFill="background1"/>
            <w:vAlign w:val="center"/>
          </w:tcPr>
          <w:p w:rsidR="00A72B86" w:rsidRPr="00A635F2" w:rsidRDefault="00A72B86" w:rsidP="001A27ED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rezultat</w:t>
            </w:r>
          </w:p>
        </w:tc>
        <w:tc>
          <w:tcPr>
            <w:tcW w:w="1275" w:type="dxa"/>
            <w:tcBorders>
              <w:top w:val="single" w:sz="4" w:space="0" w:color="33CC33"/>
              <w:bottom w:val="single" w:sz="8" w:space="0" w:color="33CC33"/>
            </w:tcBorders>
            <w:shd w:val="clear" w:color="auto" w:fill="FFFFFF" w:themeFill="background1"/>
            <w:vAlign w:val="center"/>
          </w:tcPr>
          <w:p w:rsidR="00A72B86" w:rsidRPr="00A635F2" w:rsidRDefault="00A72B86" w:rsidP="001A27ED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kluczowy</w:t>
            </w:r>
          </w:p>
        </w:tc>
        <w:tc>
          <w:tcPr>
            <w:tcW w:w="1276" w:type="dxa"/>
            <w:tcBorders>
              <w:top w:val="single" w:sz="4" w:space="0" w:color="33CC33"/>
              <w:bottom w:val="single" w:sz="8" w:space="0" w:color="33CC33"/>
            </w:tcBorders>
            <w:shd w:val="clear" w:color="auto" w:fill="FFFFFF" w:themeFill="background1"/>
            <w:vAlign w:val="center"/>
          </w:tcPr>
          <w:p w:rsidR="00A72B86" w:rsidRPr="00A635F2" w:rsidRDefault="00A72B86" w:rsidP="001A27ED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Common Indicator</w:t>
            </w:r>
          </w:p>
        </w:tc>
        <w:tc>
          <w:tcPr>
            <w:tcW w:w="5954" w:type="dxa"/>
            <w:vMerge/>
            <w:tcBorders>
              <w:top w:val="single" w:sz="4" w:space="0" w:color="33CC33"/>
              <w:bottom w:val="single" w:sz="8" w:space="0" w:color="33CC33"/>
            </w:tcBorders>
            <w:shd w:val="clear" w:color="auto" w:fill="FFFFFF" w:themeFill="background1"/>
            <w:vAlign w:val="center"/>
          </w:tcPr>
          <w:p w:rsidR="00A72B86" w:rsidRPr="00A635F2" w:rsidRDefault="00A72B86" w:rsidP="001A27ED">
            <w:pPr>
              <w:tabs>
                <w:tab w:val="left" w:pos="3402"/>
                <w:tab w:val="left" w:pos="5103"/>
              </w:tabs>
              <w:ind w:left="-8"/>
              <w:contextualSpacing/>
              <w:rPr>
                <w:rFonts w:eastAsia="Times New Roman" w:cs="Times New Roman"/>
                <w:sz w:val="24"/>
                <w:szCs w:val="24"/>
                <w:lang w:eastAsia="en-US"/>
              </w:rPr>
            </w:pPr>
          </w:p>
        </w:tc>
      </w:tr>
      <w:tr w:rsidR="00A72B86" w:rsidRPr="004A2391" w:rsidTr="001A27ED">
        <w:trPr>
          <w:trHeight w:val="1692"/>
        </w:trPr>
        <w:tc>
          <w:tcPr>
            <w:tcW w:w="552" w:type="dxa"/>
            <w:tcBorders>
              <w:top w:val="single" w:sz="8" w:space="0" w:color="33CC33"/>
              <w:bottom w:val="single" w:sz="12" w:space="0" w:color="33CC33"/>
            </w:tcBorders>
            <w:shd w:val="clear" w:color="auto" w:fill="FFFFFF" w:themeFill="background1"/>
            <w:vAlign w:val="center"/>
          </w:tcPr>
          <w:p w:rsidR="00A72B86" w:rsidRPr="00A635F2" w:rsidRDefault="00A72B86" w:rsidP="001A27ED">
            <w:pPr>
              <w:spacing w:before="80" w:after="80"/>
              <w:rPr>
                <w:sz w:val="24"/>
                <w:szCs w:val="24"/>
                <w:highlight w:val="red"/>
              </w:rPr>
            </w:pPr>
            <w:r w:rsidRPr="00A635F2">
              <w:rPr>
                <w:sz w:val="24"/>
                <w:szCs w:val="24"/>
              </w:rPr>
              <w:t>6.</w:t>
            </w:r>
          </w:p>
        </w:tc>
        <w:tc>
          <w:tcPr>
            <w:tcW w:w="2977" w:type="dxa"/>
            <w:tcBorders>
              <w:top w:val="single" w:sz="8" w:space="0" w:color="33CC33"/>
              <w:bottom w:val="single" w:sz="12" w:space="0" w:color="33CC33"/>
            </w:tcBorders>
            <w:shd w:val="clear" w:color="auto" w:fill="FFFFFF" w:themeFill="background1"/>
            <w:vAlign w:val="center"/>
          </w:tcPr>
          <w:p w:rsidR="00A72B86" w:rsidRPr="00A635F2" w:rsidRDefault="00A72B86" w:rsidP="001A27ED">
            <w:pPr>
              <w:spacing w:before="80" w:after="80"/>
              <w:rPr>
                <w:i/>
                <w:sz w:val="24"/>
                <w:szCs w:val="24"/>
              </w:rPr>
            </w:pPr>
            <w:r w:rsidRPr="00A635F2">
              <w:rPr>
                <w:i/>
                <w:sz w:val="24"/>
                <w:szCs w:val="24"/>
              </w:rPr>
              <w:t xml:space="preserve">Wzrost zatrudnienia we wspieranych podmiotach (innych </w:t>
            </w:r>
            <w:r>
              <w:rPr>
                <w:i/>
                <w:sz w:val="24"/>
                <w:szCs w:val="24"/>
              </w:rPr>
              <w:t xml:space="preserve">niż </w:t>
            </w:r>
            <w:r w:rsidRPr="00A635F2">
              <w:rPr>
                <w:i/>
                <w:sz w:val="24"/>
                <w:szCs w:val="24"/>
              </w:rPr>
              <w:t>przedsiębiorstwa)</w:t>
            </w:r>
          </w:p>
        </w:tc>
        <w:tc>
          <w:tcPr>
            <w:tcW w:w="1276" w:type="dxa"/>
            <w:tcBorders>
              <w:top w:val="single" w:sz="8" w:space="0" w:color="33CC33"/>
              <w:bottom w:val="single" w:sz="12" w:space="0" w:color="33CC33"/>
            </w:tcBorders>
            <w:shd w:val="clear" w:color="auto" w:fill="FFFFFF" w:themeFill="background1"/>
            <w:vAlign w:val="center"/>
          </w:tcPr>
          <w:p w:rsidR="00A72B86" w:rsidRPr="00A635F2" w:rsidRDefault="00A72B86" w:rsidP="001A27ED">
            <w:pPr>
              <w:tabs>
                <w:tab w:val="center" w:pos="4536"/>
                <w:tab w:val="right" w:pos="9072"/>
              </w:tabs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EPC</w:t>
            </w:r>
          </w:p>
        </w:tc>
        <w:tc>
          <w:tcPr>
            <w:tcW w:w="1276" w:type="dxa"/>
            <w:tcBorders>
              <w:top w:val="single" w:sz="8" w:space="0" w:color="33CC33"/>
              <w:bottom w:val="single" w:sz="12" w:space="0" w:color="33CC33"/>
            </w:tcBorders>
            <w:shd w:val="clear" w:color="auto" w:fill="FFFFFF" w:themeFill="background1"/>
            <w:vAlign w:val="center"/>
          </w:tcPr>
          <w:p w:rsidR="00A72B86" w:rsidRPr="00A635F2" w:rsidRDefault="00A72B86" w:rsidP="001A27ED">
            <w:pPr>
              <w:tabs>
                <w:tab w:val="center" w:pos="4536"/>
                <w:tab w:val="right" w:pos="9072"/>
              </w:tabs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rezultat</w:t>
            </w:r>
          </w:p>
        </w:tc>
        <w:tc>
          <w:tcPr>
            <w:tcW w:w="1275" w:type="dxa"/>
            <w:tcBorders>
              <w:top w:val="single" w:sz="8" w:space="0" w:color="33CC33"/>
              <w:bottom w:val="single" w:sz="12" w:space="0" w:color="33CC33"/>
            </w:tcBorders>
            <w:shd w:val="clear" w:color="auto" w:fill="FFFFFF" w:themeFill="background1"/>
            <w:vAlign w:val="center"/>
          </w:tcPr>
          <w:p w:rsidR="00A72B86" w:rsidRPr="00A635F2" w:rsidRDefault="00A72B86" w:rsidP="001A27ED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kluczowy</w:t>
            </w:r>
          </w:p>
        </w:tc>
        <w:tc>
          <w:tcPr>
            <w:tcW w:w="1276" w:type="dxa"/>
            <w:tcBorders>
              <w:top w:val="single" w:sz="8" w:space="0" w:color="33CC33"/>
              <w:bottom w:val="single" w:sz="12" w:space="0" w:color="33CC33"/>
            </w:tcBorders>
            <w:shd w:val="clear" w:color="auto" w:fill="FFFFFF" w:themeFill="background1"/>
            <w:vAlign w:val="center"/>
          </w:tcPr>
          <w:p w:rsidR="00A72B86" w:rsidRPr="00A635F2" w:rsidRDefault="00A72B86" w:rsidP="001A27ED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-</w:t>
            </w:r>
          </w:p>
        </w:tc>
        <w:tc>
          <w:tcPr>
            <w:tcW w:w="5954" w:type="dxa"/>
            <w:vMerge w:val="restart"/>
            <w:tcBorders>
              <w:top w:val="single" w:sz="8" w:space="0" w:color="33CC33"/>
              <w:bottom w:val="single" w:sz="12" w:space="0" w:color="33CC33"/>
            </w:tcBorders>
            <w:shd w:val="clear" w:color="auto" w:fill="FFFFFF" w:themeFill="background1"/>
            <w:vAlign w:val="center"/>
          </w:tcPr>
          <w:p w:rsidR="00A72B86" w:rsidRPr="00A635F2" w:rsidRDefault="00A72B86" w:rsidP="001A27ED">
            <w:pPr>
              <w:spacing w:before="80" w:after="80"/>
              <w:rPr>
                <w:color w:val="C00000"/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Należy stosować analogiczną definicję jak we wskaźniku „</w:t>
            </w:r>
            <w:r w:rsidRPr="00A635F2">
              <w:rPr>
                <w:i/>
                <w:sz w:val="24"/>
                <w:szCs w:val="24"/>
              </w:rPr>
              <w:t>Wzrost zatrudnienia we wspieranych przedsiębiorstwach</w:t>
            </w:r>
            <w:r w:rsidRPr="00A635F2">
              <w:rPr>
                <w:sz w:val="24"/>
                <w:szCs w:val="24"/>
              </w:rPr>
              <w:t xml:space="preserve">” w odniesieniu do podmiotów innych niż przedsiębiorstwa. </w:t>
            </w:r>
          </w:p>
        </w:tc>
      </w:tr>
      <w:tr w:rsidR="00A72B86" w:rsidRPr="004A2391" w:rsidTr="001A27ED">
        <w:trPr>
          <w:trHeight w:val="1747"/>
        </w:trPr>
        <w:tc>
          <w:tcPr>
            <w:tcW w:w="552" w:type="dxa"/>
            <w:tcBorders>
              <w:top w:val="single" w:sz="12" w:space="0" w:color="33CC33"/>
              <w:bottom w:val="single" w:sz="4" w:space="0" w:color="33CC33"/>
            </w:tcBorders>
            <w:shd w:val="clear" w:color="auto" w:fill="FFFFFF" w:themeFill="background1"/>
            <w:vAlign w:val="center"/>
          </w:tcPr>
          <w:p w:rsidR="00A72B86" w:rsidRPr="00A635F2" w:rsidRDefault="00A72B86" w:rsidP="001A27ED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6a.</w:t>
            </w:r>
          </w:p>
        </w:tc>
        <w:tc>
          <w:tcPr>
            <w:tcW w:w="2977" w:type="dxa"/>
            <w:tcBorders>
              <w:top w:val="single" w:sz="12" w:space="0" w:color="33CC33"/>
              <w:bottom w:val="single" w:sz="4" w:space="0" w:color="33CC33"/>
            </w:tcBorders>
            <w:shd w:val="clear" w:color="auto" w:fill="FFFFFF" w:themeFill="background1"/>
            <w:vAlign w:val="center"/>
          </w:tcPr>
          <w:p w:rsidR="00A72B86" w:rsidRPr="00A635F2" w:rsidRDefault="00A72B86" w:rsidP="001A27ED">
            <w:pPr>
              <w:rPr>
                <w:i/>
                <w:sz w:val="24"/>
                <w:szCs w:val="24"/>
              </w:rPr>
            </w:pPr>
            <w:r w:rsidRPr="00A635F2">
              <w:rPr>
                <w:i/>
                <w:sz w:val="24"/>
                <w:szCs w:val="24"/>
              </w:rPr>
              <w:t>Wzrost zatrudnienia we wspieranych podmiotach (innych niż przedsiębiorstwa)</w:t>
            </w:r>
          </w:p>
          <w:p w:rsidR="00A72B86" w:rsidRPr="00A635F2" w:rsidRDefault="00A72B86" w:rsidP="001A27ED">
            <w:pPr>
              <w:spacing w:before="40"/>
              <w:rPr>
                <w:i/>
                <w:sz w:val="24"/>
                <w:szCs w:val="24"/>
              </w:rPr>
            </w:pPr>
            <w:r w:rsidRPr="00A635F2">
              <w:rPr>
                <w:i/>
                <w:sz w:val="24"/>
                <w:szCs w:val="24"/>
              </w:rPr>
              <w:t>- kobiety</w:t>
            </w:r>
          </w:p>
        </w:tc>
        <w:tc>
          <w:tcPr>
            <w:tcW w:w="1276" w:type="dxa"/>
            <w:tcBorders>
              <w:top w:val="single" w:sz="12" w:space="0" w:color="33CC33"/>
              <w:bottom w:val="single" w:sz="4" w:space="0" w:color="33CC33"/>
            </w:tcBorders>
            <w:shd w:val="clear" w:color="auto" w:fill="FFFFFF" w:themeFill="background1"/>
            <w:vAlign w:val="center"/>
          </w:tcPr>
          <w:p w:rsidR="00A72B86" w:rsidRPr="00A635F2" w:rsidRDefault="00A72B86" w:rsidP="001A27ED">
            <w:pPr>
              <w:tabs>
                <w:tab w:val="center" w:pos="4536"/>
                <w:tab w:val="right" w:pos="9072"/>
              </w:tabs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EPC</w:t>
            </w:r>
          </w:p>
        </w:tc>
        <w:tc>
          <w:tcPr>
            <w:tcW w:w="1276" w:type="dxa"/>
            <w:tcBorders>
              <w:top w:val="single" w:sz="12" w:space="0" w:color="33CC33"/>
              <w:bottom w:val="single" w:sz="4" w:space="0" w:color="33CC33"/>
            </w:tcBorders>
            <w:shd w:val="clear" w:color="auto" w:fill="FFFFFF" w:themeFill="background1"/>
            <w:vAlign w:val="center"/>
          </w:tcPr>
          <w:p w:rsidR="00A72B86" w:rsidRPr="00A635F2" w:rsidRDefault="00A72B86" w:rsidP="001A27ED">
            <w:pPr>
              <w:tabs>
                <w:tab w:val="center" w:pos="4536"/>
                <w:tab w:val="right" w:pos="9072"/>
              </w:tabs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rezultat</w:t>
            </w:r>
          </w:p>
        </w:tc>
        <w:tc>
          <w:tcPr>
            <w:tcW w:w="1275" w:type="dxa"/>
            <w:tcBorders>
              <w:top w:val="single" w:sz="12" w:space="0" w:color="33CC33"/>
              <w:bottom w:val="single" w:sz="4" w:space="0" w:color="33CC33"/>
            </w:tcBorders>
            <w:shd w:val="clear" w:color="auto" w:fill="FFFFFF" w:themeFill="background1"/>
            <w:vAlign w:val="center"/>
          </w:tcPr>
          <w:p w:rsidR="00A72B86" w:rsidRPr="00A635F2" w:rsidRDefault="00A72B86" w:rsidP="001A27ED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kluczowy</w:t>
            </w:r>
          </w:p>
        </w:tc>
        <w:tc>
          <w:tcPr>
            <w:tcW w:w="1276" w:type="dxa"/>
            <w:tcBorders>
              <w:top w:val="single" w:sz="12" w:space="0" w:color="33CC33"/>
              <w:bottom w:val="single" w:sz="4" w:space="0" w:color="33CC33"/>
            </w:tcBorders>
            <w:shd w:val="clear" w:color="auto" w:fill="FFFFFF" w:themeFill="background1"/>
            <w:vAlign w:val="center"/>
          </w:tcPr>
          <w:p w:rsidR="00A72B86" w:rsidRPr="00A635F2" w:rsidRDefault="00A72B86" w:rsidP="001A27ED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-</w:t>
            </w:r>
          </w:p>
        </w:tc>
        <w:tc>
          <w:tcPr>
            <w:tcW w:w="5954" w:type="dxa"/>
            <w:vMerge/>
            <w:tcBorders>
              <w:top w:val="single" w:sz="12" w:space="0" w:color="33CC33"/>
            </w:tcBorders>
            <w:shd w:val="clear" w:color="auto" w:fill="FFFFFF" w:themeFill="background1"/>
            <w:vAlign w:val="center"/>
          </w:tcPr>
          <w:p w:rsidR="00A72B86" w:rsidRPr="00A635F2" w:rsidRDefault="00A72B86" w:rsidP="001A27ED">
            <w:pPr>
              <w:spacing w:before="80" w:after="80"/>
              <w:rPr>
                <w:sz w:val="24"/>
                <w:szCs w:val="24"/>
              </w:rPr>
            </w:pPr>
          </w:p>
        </w:tc>
      </w:tr>
      <w:tr w:rsidR="00A72B86" w:rsidRPr="004A2391" w:rsidTr="001A27ED">
        <w:trPr>
          <w:trHeight w:val="1706"/>
        </w:trPr>
        <w:tc>
          <w:tcPr>
            <w:tcW w:w="552" w:type="dxa"/>
            <w:tcBorders>
              <w:top w:val="single" w:sz="4" w:space="0" w:color="33CC33"/>
              <w:bottom w:val="single" w:sz="4" w:space="0" w:color="33CC33"/>
            </w:tcBorders>
            <w:shd w:val="clear" w:color="auto" w:fill="FFFFFF" w:themeFill="background1"/>
            <w:vAlign w:val="center"/>
          </w:tcPr>
          <w:p w:rsidR="00A72B86" w:rsidRPr="00A635F2" w:rsidRDefault="00A72B86" w:rsidP="001A27ED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6b.</w:t>
            </w:r>
          </w:p>
        </w:tc>
        <w:tc>
          <w:tcPr>
            <w:tcW w:w="2977" w:type="dxa"/>
            <w:tcBorders>
              <w:top w:val="single" w:sz="4" w:space="0" w:color="33CC33"/>
              <w:bottom w:val="single" w:sz="4" w:space="0" w:color="33CC33"/>
            </w:tcBorders>
            <w:shd w:val="clear" w:color="auto" w:fill="FFFFFF" w:themeFill="background1"/>
            <w:vAlign w:val="center"/>
          </w:tcPr>
          <w:p w:rsidR="00A72B86" w:rsidRPr="00A635F2" w:rsidRDefault="00A72B86" w:rsidP="001A27ED">
            <w:pPr>
              <w:rPr>
                <w:i/>
                <w:sz w:val="24"/>
                <w:szCs w:val="24"/>
              </w:rPr>
            </w:pPr>
            <w:r w:rsidRPr="00A635F2">
              <w:rPr>
                <w:i/>
                <w:sz w:val="24"/>
                <w:szCs w:val="24"/>
              </w:rPr>
              <w:t>Wzrost zatrudnienia we wspieranych podmiotach (innych niż przedsiębiorstwa)</w:t>
            </w:r>
          </w:p>
          <w:p w:rsidR="00A72B86" w:rsidRPr="00A635F2" w:rsidRDefault="00A72B86" w:rsidP="001A27ED">
            <w:pPr>
              <w:spacing w:before="40"/>
              <w:rPr>
                <w:i/>
                <w:sz w:val="24"/>
                <w:szCs w:val="24"/>
              </w:rPr>
            </w:pPr>
            <w:r w:rsidRPr="00A635F2">
              <w:rPr>
                <w:i/>
                <w:sz w:val="24"/>
                <w:szCs w:val="24"/>
              </w:rPr>
              <w:t>- mężczyźni</w:t>
            </w:r>
          </w:p>
        </w:tc>
        <w:tc>
          <w:tcPr>
            <w:tcW w:w="1276" w:type="dxa"/>
            <w:tcBorders>
              <w:top w:val="single" w:sz="4" w:space="0" w:color="33CC33"/>
              <w:bottom w:val="single" w:sz="4" w:space="0" w:color="33CC33"/>
            </w:tcBorders>
            <w:shd w:val="clear" w:color="auto" w:fill="FFFFFF" w:themeFill="background1"/>
            <w:vAlign w:val="center"/>
          </w:tcPr>
          <w:p w:rsidR="00A72B86" w:rsidRPr="00A635F2" w:rsidRDefault="00A72B86" w:rsidP="001A27ED">
            <w:pPr>
              <w:tabs>
                <w:tab w:val="center" w:pos="4536"/>
                <w:tab w:val="right" w:pos="9072"/>
              </w:tabs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EPC</w:t>
            </w:r>
          </w:p>
        </w:tc>
        <w:tc>
          <w:tcPr>
            <w:tcW w:w="1276" w:type="dxa"/>
            <w:tcBorders>
              <w:top w:val="single" w:sz="4" w:space="0" w:color="33CC33"/>
              <w:bottom w:val="single" w:sz="4" w:space="0" w:color="33CC33"/>
            </w:tcBorders>
            <w:shd w:val="clear" w:color="auto" w:fill="FFFFFF" w:themeFill="background1"/>
            <w:vAlign w:val="center"/>
          </w:tcPr>
          <w:p w:rsidR="00A72B86" w:rsidRPr="00A635F2" w:rsidRDefault="00A72B86" w:rsidP="001A27ED">
            <w:pPr>
              <w:tabs>
                <w:tab w:val="center" w:pos="4536"/>
                <w:tab w:val="right" w:pos="9072"/>
              </w:tabs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rezultat</w:t>
            </w:r>
          </w:p>
        </w:tc>
        <w:tc>
          <w:tcPr>
            <w:tcW w:w="1275" w:type="dxa"/>
            <w:tcBorders>
              <w:top w:val="single" w:sz="4" w:space="0" w:color="33CC33"/>
              <w:bottom w:val="single" w:sz="4" w:space="0" w:color="33CC33"/>
            </w:tcBorders>
            <w:shd w:val="clear" w:color="auto" w:fill="FFFFFF" w:themeFill="background1"/>
            <w:vAlign w:val="center"/>
          </w:tcPr>
          <w:p w:rsidR="00A72B86" w:rsidRPr="00A635F2" w:rsidRDefault="00A72B86" w:rsidP="001A27ED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kluczowy</w:t>
            </w:r>
          </w:p>
        </w:tc>
        <w:tc>
          <w:tcPr>
            <w:tcW w:w="1276" w:type="dxa"/>
            <w:tcBorders>
              <w:top w:val="single" w:sz="4" w:space="0" w:color="33CC33"/>
              <w:bottom w:val="single" w:sz="4" w:space="0" w:color="33CC33"/>
            </w:tcBorders>
            <w:shd w:val="clear" w:color="auto" w:fill="FFFFFF" w:themeFill="background1"/>
            <w:vAlign w:val="center"/>
          </w:tcPr>
          <w:p w:rsidR="00A72B86" w:rsidRPr="00A635F2" w:rsidRDefault="00A72B86" w:rsidP="001A27ED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-</w:t>
            </w:r>
          </w:p>
        </w:tc>
        <w:tc>
          <w:tcPr>
            <w:tcW w:w="5954" w:type="dxa"/>
            <w:vMerge/>
            <w:shd w:val="clear" w:color="auto" w:fill="FFFFFF" w:themeFill="background1"/>
            <w:vAlign w:val="center"/>
          </w:tcPr>
          <w:p w:rsidR="00A72B86" w:rsidRPr="00A635F2" w:rsidRDefault="00A72B86" w:rsidP="001A27ED">
            <w:pPr>
              <w:spacing w:before="80" w:after="80"/>
              <w:rPr>
                <w:sz w:val="24"/>
                <w:szCs w:val="24"/>
              </w:rPr>
            </w:pPr>
          </w:p>
        </w:tc>
      </w:tr>
      <w:tr w:rsidR="00A72B86" w:rsidRPr="004A2391" w:rsidTr="001A27ED">
        <w:trPr>
          <w:trHeight w:val="1484"/>
        </w:trPr>
        <w:tc>
          <w:tcPr>
            <w:tcW w:w="552" w:type="dxa"/>
            <w:tcBorders>
              <w:top w:val="single" w:sz="4" w:space="0" w:color="33CC33"/>
            </w:tcBorders>
            <w:shd w:val="clear" w:color="auto" w:fill="FFFFFF" w:themeFill="background1"/>
            <w:vAlign w:val="center"/>
          </w:tcPr>
          <w:p w:rsidR="00A72B86" w:rsidRPr="00A635F2" w:rsidRDefault="00A72B86" w:rsidP="001A27ED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7.</w:t>
            </w:r>
          </w:p>
        </w:tc>
        <w:tc>
          <w:tcPr>
            <w:tcW w:w="2977" w:type="dxa"/>
            <w:tcBorders>
              <w:top w:val="single" w:sz="4" w:space="0" w:color="33CC33"/>
            </w:tcBorders>
            <w:shd w:val="clear" w:color="auto" w:fill="FFFFFF" w:themeFill="background1"/>
            <w:vAlign w:val="center"/>
          </w:tcPr>
          <w:p w:rsidR="00A72B86" w:rsidRPr="00A635F2" w:rsidRDefault="00A72B86" w:rsidP="001A27ED">
            <w:pPr>
              <w:spacing w:before="80" w:after="80"/>
              <w:rPr>
                <w:i/>
                <w:sz w:val="24"/>
                <w:szCs w:val="24"/>
              </w:rPr>
            </w:pPr>
            <w:r w:rsidRPr="00A635F2">
              <w:rPr>
                <w:i/>
                <w:sz w:val="24"/>
                <w:szCs w:val="24"/>
              </w:rPr>
              <w:t>Liczba utrzymanych miejsc pracy</w:t>
            </w:r>
          </w:p>
        </w:tc>
        <w:tc>
          <w:tcPr>
            <w:tcW w:w="1276" w:type="dxa"/>
            <w:tcBorders>
              <w:top w:val="single" w:sz="4" w:space="0" w:color="33CC33"/>
            </w:tcBorders>
            <w:shd w:val="clear" w:color="auto" w:fill="FFFFFF" w:themeFill="background1"/>
            <w:vAlign w:val="center"/>
          </w:tcPr>
          <w:p w:rsidR="00A72B86" w:rsidRPr="00A635F2" w:rsidRDefault="00A72B86" w:rsidP="001A27ED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EPC</w:t>
            </w:r>
          </w:p>
        </w:tc>
        <w:tc>
          <w:tcPr>
            <w:tcW w:w="1276" w:type="dxa"/>
            <w:tcBorders>
              <w:top w:val="single" w:sz="4" w:space="0" w:color="33CC33"/>
            </w:tcBorders>
            <w:shd w:val="clear" w:color="auto" w:fill="FFFFFF" w:themeFill="background1"/>
            <w:vAlign w:val="center"/>
          </w:tcPr>
          <w:p w:rsidR="00A72B86" w:rsidRPr="00A635F2" w:rsidRDefault="00A72B86" w:rsidP="001A27ED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rezultat</w:t>
            </w:r>
          </w:p>
        </w:tc>
        <w:tc>
          <w:tcPr>
            <w:tcW w:w="1275" w:type="dxa"/>
            <w:tcBorders>
              <w:top w:val="single" w:sz="4" w:space="0" w:color="33CC33"/>
            </w:tcBorders>
            <w:shd w:val="clear" w:color="auto" w:fill="FFFFFF" w:themeFill="background1"/>
            <w:vAlign w:val="center"/>
          </w:tcPr>
          <w:p w:rsidR="00A72B86" w:rsidRPr="00A635F2" w:rsidRDefault="00A72B86" w:rsidP="001A27ED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kluczowy</w:t>
            </w:r>
          </w:p>
        </w:tc>
        <w:tc>
          <w:tcPr>
            <w:tcW w:w="1276" w:type="dxa"/>
            <w:tcBorders>
              <w:top w:val="single" w:sz="4" w:space="0" w:color="33CC33"/>
            </w:tcBorders>
            <w:shd w:val="clear" w:color="auto" w:fill="FFFFFF" w:themeFill="background1"/>
            <w:vAlign w:val="center"/>
          </w:tcPr>
          <w:p w:rsidR="00A72B86" w:rsidRPr="00A635F2" w:rsidRDefault="00A72B86" w:rsidP="001A27ED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-</w:t>
            </w:r>
          </w:p>
        </w:tc>
        <w:tc>
          <w:tcPr>
            <w:tcW w:w="5954" w:type="dxa"/>
            <w:vMerge w:val="restart"/>
            <w:shd w:val="clear" w:color="auto" w:fill="FFFFFF" w:themeFill="background1"/>
            <w:vAlign w:val="center"/>
          </w:tcPr>
          <w:p w:rsidR="00A72B86" w:rsidRPr="00A635F2" w:rsidRDefault="00A72B86" w:rsidP="001A27ED">
            <w:pPr>
              <w:pStyle w:val="Default"/>
              <w:spacing w:before="60" w:after="60"/>
              <w:rPr>
                <w:rFonts w:asciiTheme="minorHAnsi" w:hAnsiTheme="minorHAnsi"/>
              </w:rPr>
            </w:pPr>
            <w:r w:rsidRPr="00A635F2">
              <w:rPr>
                <w:rFonts w:asciiTheme="minorHAnsi" w:hAnsiTheme="minorHAnsi"/>
              </w:rPr>
              <w:t xml:space="preserve">Wskaźnik służy do pomiaru liczby miejsc pracy, które zostały utrzymane w wyniku wsparcia, w ciągu pełnego roku kalendarzowego od zakończenia realizacji projektu, </w:t>
            </w:r>
            <w:r>
              <w:rPr>
                <w:rFonts w:asciiTheme="minorHAnsi" w:hAnsiTheme="minorHAnsi"/>
              </w:rPr>
              <w:br/>
            </w:r>
            <w:r w:rsidRPr="00A635F2">
              <w:rPr>
                <w:rFonts w:asciiTheme="minorHAnsi" w:hAnsiTheme="minorHAnsi"/>
              </w:rPr>
              <w:t xml:space="preserve">a które byłyby zlikwidowane, gdyby tego wsparcia Beneficjent nie uzyskał. Etaty muszą być obsadzone (nieobsadzonych etatów się nie wlicza). Prace sezonowe </w:t>
            </w:r>
            <w:r>
              <w:rPr>
                <w:rFonts w:asciiTheme="minorHAnsi" w:hAnsiTheme="minorHAnsi"/>
              </w:rPr>
              <w:br/>
            </w:r>
            <w:r w:rsidRPr="00A635F2">
              <w:rPr>
                <w:rFonts w:asciiTheme="minorHAnsi" w:hAnsiTheme="minorHAnsi"/>
              </w:rPr>
              <w:t xml:space="preserve">i niepełnowymiarowe należy przeliczyć na ekwiwalent pełnego czasu pracy. </w:t>
            </w:r>
          </w:p>
          <w:p w:rsidR="00A72B86" w:rsidRPr="00A635F2" w:rsidRDefault="00A72B86" w:rsidP="001A27ED">
            <w:pPr>
              <w:pStyle w:val="Default"/>
              <w:spacing w:before="60" w:after="60"/>
              <w:rPr>
                <w:rFonts w:asciiTheme="minorHAnsi" w:hAnsiTheme="minorHAnsi"/>
              </w:rPr>
            </w:pPr>
            <w:r w:rsidRPr="00A635F2">
              <w:rPr>
                <w:rFonts w:asciiTheme="minorHAnsi" w:hAnsiTheme="minorHAnsi"/>
              </w:rPr>
              <w:t xml:space="preserve">Zatrudnienie w ekwiwalentach pełnego czasu pracy ustala się na podstawie proporcji czasu przepracowanego przez poszczególnych pracowników w ciągu roku sprawozdawczego w stosunku do pełnego czasu pracy obowiązującego w danej instytucji. </w:t>
            </w:r>
          </w:p>
          <w:p w:rsidR="00A72B86" w:rsidRPr="00A635F2" w:rsidRDefault="00A72B86" w:rsidP="001A27ED">
            <w:pPr>
              <w:pStyle w:val="Default"/>
              <w:spacing w:before="60" w:after="60"/>
              <w:rPr>
                <w:rFonts w:asciiTheme="minorHAnsi" w:hAnsiTheme="minorHAnsi"/>
              </w:rPr>
            </w:pPr>
            <w:r w:rsidRPr="00A635F2">
              <w:rPr>
                <w:rFonts w:asciiTheme="minorHAnsi" w:hAnsiTheme="minorHAnsi"/>
              </w:rPr>
              <w:t xml:space="preserve">W przypadku osób wykonujących daną działalność na podstawie umowy zlecenia, umowy o dzieło lub samozatrudnienia – do wyliczenia EPC podajemy: pełny, faktyczny czas pracy w roku sprawozdawczym „ze wszystkich umów”, podany, jako odpowiedni ułamek rocznego czasu pracy. </w:t>
            </w:r>
          </w:p>
          <w:p w:rsidR="00A72B86" w:rsidRPr="00A635F2" w:rsidRDefault="00A72B86" w:rsidP="001A27ED">
            <w:pPr>
              <w:spacing w:before="60" w:after="6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W celu weryfikacji, czy utrzymano wymaganą liczbę nowych miejsc pracy, należy porównać poziom wyjściowy zatrudnienia (na moment złożenia wniosku aplikacyjnego), z poziomem zatrudnienia w okresie utrzymania nowych miejsc pracy.</w:t>
            </w:r>
          </w:p>
          <w:p w:rsidR="00A72B86" w:rsidRPr="00A635F2" w:rsidRDefault="00A72B86" w:rsidP="001A27ED">
            <w:pPr>
              <w:spacing w:before="60" w:after="60"/>
              <w:rPr>
                <w:i/>
                <w:color w:val="C00000"/>
                <w:sz w:val="24"/>
                <w:szCs w:val="24"/>
              </w:rPr>
            </w:pPr>
            <w:r w:rsidRPr="00A635F2">
              <w:rPr>
                <w:i/>
                <w:sz w:val="24"/>
                <w:szCs w:val="24"/>
              </w:rPr>
              <w:t>[Definicja opracowana przez IZ RPO WO 2014-2020]</w:t>
            </w:r>
          </w:p>
        </w:tc>
      </w:tr>
      <w:tr w:rsidR="00A72B86" w:rsidRPr="004A2391" w:rsidTr="001A27ED">
        <w:trPr>
          <w:trHeight w:val="1185"/>
        </w:trPr>
        <w:tc>
          <w:tcPr>
            <w:tcW w:w="552" w:type="dxa"/>
            <w:tcBorders>
              <w:top w:val="single" w:sz="4" w:space="0" w:color="33CC33"/>
            </w:tcBorders>
            <w:shd w:val="clear" w:color="auto" w:fill="FFFFFF" w:themeFill="background1"/>
            <w:vAlign w:val="center"/>
          </w:tcPr>
          <w:p w:rsidR="00A72B86" w:rsidRPr="00A635F2" w:rsidRDefault="00A72B86" w:rsidP="001A27ED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7a.</w:t>
            </w:r>
          </w:p>
        </w:tc>
        <w:tc>
          <w:tcPr>
            <w:tcW w:w="2977" w:type="dxa"/>
            <w:tcBorders>
              <w:top w:val="single" w:sz="4" w:space="0" w:color="33CC33"/>
            </w:tcBorders>
            <w:shd w:val="clear" w:color="auto" w:fill="FFFFFF" w:themeFill="background1"/>
            <w:vAlign w:val="center"/>
          </w:tcPr>
          <w:p w:rsidR="00A72B86" w:rsidRPr="00A635F2" w:rsidRDefault="00A72B86" w:rsidP="001A27ED">
            <w:pPr>
              <w:rPr>
                <w:i/>
                <w:sz w:val="24"/>
                <w:szCs w:val="24"/>
              </w:rPr>
            </w:pPr>
            <w:r w:rsidRPr="00A635F2">
              <w:rPr>
                <w:i/>
                <w:sz w:val="24"/>
                <w:szCs w:val="24"/>
              </w:rPr>
              <w:t>Liczba utrzymanych miejsc pracy</w:t>
            </w:r>
          </w:p>
          <w:p w:rsidR="00A72B86" w:rsidRPr="00A635F2" w:rsidRDefault="00A72B86" w:rsidP="001A27ED">
            <w:pPr>
              <w:spacing w:before="40"/>
              <w:rPr>
                <w:i/>
                <w:sz w:val="24"/>
                <w:szCs w:val="24"/>
              </w:rPr>
            </w:pPr>
            <w:r w:rsidRPr="00A635F2">
              <w:rPr>
                <w:i/>
                <w:sz w:val="24"/>
                <w:szCs w:val="24"/>
              </w:rPr>
              <w:t>- kobiety</w:t>
            </w:r>
          </w:p>
        </w:tc>
        <w:tc>
          <w:tcPr>
            <w:tcW w:w="1276" w:type="dxa"/>
            <w:tcBorders>
              <w:top w:val="single" w:sz="4" w:space="0" w:color="33CC33"/>
            </w:tcBorders>
            <w:shd w:val="clear" w:color="auto" w:fill="FFFFFF" w:themeFill="background1"/>
            <w:vAlign w:val="center"/>
          </w:tcPr>
          <w:p w:rsidR="00A72B86" w:rsidRPr="00A635F2" w:rsidRDefault="00A72B86" w:rsidP="001A27ED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EPC</w:t>
            </w:r>
          </w:p>
        </w:tc>
        <w:tc>
          <w:tcPr>
            <w:tcW w:w="1276" w:type="dxa"/>
            <w:tcBorders>
              <w:top w:val="single" w:sz="4" w:space="0" w:color="33CC33"/>
            </w:tcBorders>
            <w:shd w:val="clear" w:color="auto" w:fill="FFFFFF" w:themeFill="background1"/>
            <w:vAlign w:val="center"/>
          </w:tcPr>
          <w:p w:rsidR="00A72B86" w:rsidRPr="00A635F2" w:rsidRDefault="00A72B86" w:rsidP="001A27ED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rezultat</w:t>
            </w:r>
          </w:p>
        </w:tc>
        <w:tc>
          <w:tcPr>
            <w:tcW w:w="1275" w:type="dxa"/>
            <w:tcBorders>
              <w:top w:val="single" w:sz="4" w:space="0" w:color="33CC33"/>
            </w:tcBorders>
            <w:shd w:val="clear" w:color="auto" w:fill="FFFFFF" w:themeFill="background1"/>
            <w:vAlign w:val="center"/>
          </w:tcPr>
          <w:p w:rsidR="00A72B86" w:rsidRPr="00A635F2" w:rsidRDefault="00A72B86" w:rsidP="001A27ED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kluczowy</w:t>
            </w:r>
          </w:p>
        </w:tc>
        <w:tc>
          <w:tcPr>
            <w:tcW w:w="1276" w:type="dxa"/>
            <w:tcBorders>
              <w:top w:val="single" w:sz="4" w:space="0" w:color="33CC33"/>
            </w:tcBorders>
            <w:shd w:val="clear" w:color="auto" w:fill="FFFFFF" w:themeFill="background1"/>
            <w:vAlign w:val="center"/>
          </w:tcPr>
          <w:p w:rsidR="00A72B86" w:rsidRPr="00A635F2" w:rsidRDefault="00A72B86" w:rsidP="001A27ED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-</w:t>
            </w:r>
          </w:p>
        </w:tc>
        <w:tc>
          <w:tcPr>
            <w:tcW w:w="5954" w:type="dxa"/>
            <w:vMerge/>
            <w:shd w:val="clear" w:color="auto" w:fill="FFFFFF" w:themeFill="background1"/>
            <w:vAlign w:val="center"/>
          </w:tcPr>
          <w:p w:rsidR="00A72B86" w:rsidRPr="00A635F2" w:rsidRDefault="00A72B86" w:rsidP="001A27ED">
            <w:pPr>
              <w:spacing w:before="80" w:after="80"/>
              <w:rPr>
                <w:i/>
                <w:color w:val="C00000"/>
                <w:sz w:val="24"/>
                <w:szCs w:val="24"/>
              </w:rPr>
            </w:pPr>
          </w:p>
        </w:tc>
      </w:tr>
      <w:tr w:rsidR="00A72B86" w:rsidRPr="004A2391" w:rsidTr="001A27ED">
        <w:tc>
          <w:tcPr>
            <w:tcW w:w="552" w:type="dxa"/>
            <w:tcBorders>
              <w:top w:val="single" w:sz="4" w:space="0" w:color="33CC33"/>
            </w:tcBorders>
            <w:shd w:val="clear" w:color="auto" w:fill="FFFFFF" w:themeFill="background1"/>
            <w:vAlign w:val="center"/>
          </w:tcPr>
          <w:p w:rsidR="00A72B86" w:rsidRPr="00A635F2" w:rsidRDefault="00A72B86" w:rsidP="001A27ED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7b.</w:t>
            </w:r>
          </w:p>
        </w:tc>
        <w:tc>
          <w:tcPr>
            <w:tcW w:w="2977" w:type="dxa"/>
            <w:tcBorders>
              <w:top w:val="single" w:sz="4" w:space="0" w:color="33CC33"/>
            </w:tcBorders>
            <w:shd w:val="clear" w:color="auto" w:fill="FFFFFF" w:themeFill="background1"/>
            <w:vAlign w:val="center"/>
          </w:tcPr>
          <w:p w:rsidR="00A72B86" w:rsidRPr="00A635F2" w:rsidRDefault="00A72B86" w:rsidP="001A27ED">
            <w:pPr>
              <w:rPr>
                <w:i/>
                <w:sz w:val="24"/>
                <w:szCs w:val="24"/>
              </w:rPr>
            </w:pPr>
            <w:r w:rsidRPr="00A635F2">
              <w:rPr>
                <w:i/>
                <w:sz w:val="24"/>
                <w:szCs w:val="24"/>
              </w:rPr>
              <w:t>Liczba utrzymanych miejsc pracy</w:t>
            </w:r>
          </w:p>
          <w:p w:rsidR="00A72B86" w:rsidRPr="00A635F2" w:rsidRDefault="00A72B86" w:rsidP="001A27ED">
            <w:pPr>
              <w:spacing w:before="40"/>
              <w:rPr>
                <w:i/>
                <w:sz w:val="24"/>
                <w:szCs w:val="24"/>
              </w:rPr>
            </w:pPr>
            <w:r w:rsidRPr="00A635F2">
              <w:rPr>
                <w:i/>
                <w:sz w:val="24"/>
                <w:szCs w:val="24"/>
              </w:rPr>
              <w:t>- mężczyźni</w:t>
            </w:r>
          </w:p>
        </w:tc>
        <w:tc>
          <w:tcPr>
            <w:tcW w:w="1276" w:type="dxa"/>
            <w:tcBorders>
              <w:top w:val="single" w:sz="4" w:space="0" w:color="33CC33"/>
            </w:tcBorders>
            <w:shd w:val="clear" w:color="auto" w:fill="FFFFFF" w:themeFill="background1"/>
            <w:vAlign w:val="center"/>
          </w:tcPr>
          <w:p w:rsidR="00A72B86" w:rsidRPr="00A635F2" w:rsidRDefault="00A72B86" w:rsidP="001A27ED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EPC</w:t>
            </w:r>
          </w:p>
        </w:tc>
        <w:tc>
          <w:tcPr>
            <w:tcW w:w="1276" w:type="dxa"/>
            <w:tcBorders>
              <w:top w:val="single" w:sz="4" w:space="0" w:color="33CC33"/>
            </w:tcBorders>
            <w:shd w:val="clear" w:color="auto" w:fill="FFFFFF" w:themeFill="background1"/>
            <w:vAlign w:val="center"/>
          </w:tcPr>
          <w:p w:rsidR="00A72B86" w:rsidRPr="00A635F2" w:rsidRDefault="00A72B86" w:rsidP="001A27ED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rezultat</w:t>
            </w:r>
          </w:p>
        </w:tc>
        <w:tc>
          <w:tcPr>
            <w:tcW w:w="1275" w:type="dxa"/>
            <w:tcBorders>
              <w:top w:val="single" w:sz="4" w:space="0" w:color="33CC33"/>
            </w:tcBorders>
            <w:shd w:val="clear" w:color="auto" w:fill="FFFFFF" w:themeFill="background1"/>
            <w:vAlign w:val="center"/>
          </w:tcPr>
          <w:p w:rsidR="00A72B86" w:rsidRPr="00A635F2" w:rsidRDefault="00A72B86" w:rsidP="001A27ED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kluczowy</w:t>
            </w:r>
          </w:p>
        </w:tc>
        <w:tc>
          <w:tcPr>
            <w:tcW w:w="1276" w:type="dxa"/>
            <w:tcBorders>
              <w:top w:val="single" w:sz="4" w:space="0" w:color="33CC33"/>
            </w:tcBorders>
            <w:shd w:val="clear" w:color="auto" w:fill="FFFFFF" w:themeFill="background1"/>
            <w:vAlign w:val="center"/>
          </w:tcPr>
          <w:p w:rsidR="00A72B86" w:rsidRPr="00A635F2" w:rsidRDefault="00A72B86" w:rsidP="001A27ED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-</w:t>
            </w:r>
          </w:p>
        </w:tc>
        <w:tc>
          <w:tcPr>
            <w:tcW w:w="5954" w:type="dxa"/>
            <w:vMerge/>
            <w:shd w:val="clear" w:color="auto" w:fill="FFFFFF" w:themeFill="background1"/>
            <w:vAlign w:val="center"/>
          </w:tcPr>
          <w:p w:rsidR="00A72B86" w:rsidRPr="00A635F2" w:rsidRDefault="00A72B86" w:rsidP="001A27ED">
            <w:pPr>
              <w:spacing w:before="80" w:after="80"/>
              <w:rPr>
                <w:i/>
                <w:color w:val="C00000"/>
                <w:sz w:val="24"/>
                <w:szCs w:val="24"/>
              </w:rPr>
            </w:pPr>
          </w:p>
        </w:tc>
      </w:tr>
      <w:tr w:rsidR="00A72B86" w:rsidRPr="004A2391" w:rsidTr="001A27ED">
        <w:trPr>
          <w:trHeight w:val="1455"/>
        </w:trPr>
        <w:tc>
          <w:tcPr>
            <w:tcW w:w="552" w:type="dxa"/>
            <w:tcBorders>
              <w:bottom w:val="single" w:sz="8" w:space="0" w:color="33CC33"/>
            </w:tcBorders>
            <w:shd w:val="clear" w:color="auto" w:fill="FFFFFF" w:themeFill="background1"/>
            <w:vAlign w:val="center"/>
          </w:tcPr>
          <w:p w:rsidR="00A72B86" w:rsidRPr="00A635F2" w:rsidRDefault="00A72B86" w:rsidP="001A27ED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8.</w:t>
            </w:r>
          </w:p>
        </w:tc>
        <w:tc>
          <w:tcPr>
            <w:tcW w:w="2977" w:type="dxa"/>
            <w:tcBorders>
              <w:bottom w:val="single" w:sz="8" w:space="0" w:color="33CC33"/>
            </w:tcBorders>
            <w:shd w:val="clear" w:color="auto" w:fill="FFFFFF" w:themeFill="background1"/>
            <w:vAlign w:val="center"/>
          </w:tcPr>
          <w:p w:rsidR="00A72B86" w:rsidRPr="00A635F2" w:rsidRDefault="00A72B86" w:rsidP="001A27ED">
            <w:pPr>
              <w:spacing w:before="80" w:after="80"/>
              <w:rPr>
                <w:i/>
                <w:sz w:val="24"/>
                <w:szCs w:val="24"/>
              </w:rPr>
            </w:pPr>
            <w:r w:rsidRPr="00A635F2">
              <w:rPr>
                <w:i/>
                <w:sz w:val="24"/>
                <w:szCs w:val="24"/>
              </w:rPr>
              <w:t>Liczba nowo utworzonych miejsc pracy - pozostałe formy</w:t>
            </w:r>
          </w:p>
        </w:tc>
        <w:tc>
          <w:tcPr>
            <w:tcW w:w="1276" w:type="dxa"/>
            <w:tcBorders>
              <w:bottom w:val="single" w:sz="8" w:space="0" w:color="33CC33"/>
            </w:tcBorders>
            <w:shd w:val="clear" w:color="auto" w:fill="FFFFFF" w:themeFill="background1"/>
            <w:vAlign w:val="center"/>
          </w:tcPr>
          <w:p w:rsidR="00A72B86" w:rsidRPr="00A635F2" w:rsidRDefault="00A72B86" w:rsidP="001A27ED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EPC</w:t>
            </w:r>
          </w:p>
        </w:tc>
        <w:tc>
          <w:tcPr>
            <w:tcW w:w="1276" w:type="dxa"/>
            <w:tcBorders>
              <w:bottom w:val="single" w:sz="8" w:space="0" w:color="33CC33"/>
            </w:tcBorders>
            <w:shd w:val="clear" w:color="auto" w:fill="FFFFFF" w:themeFill="background1"/>
            <w:vAlign w:val="center"/>
          </w:tcPr>
          <w:p w:rsidR="00A72B86" w:rsidRPr="00A635F2" w:rsidRDefault="00A72B86" w:rsidP="001A27ED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rezultat</w:t>
            </w:r>
          </w:p>
        </w:tc>
        <w:tc>
          <w:tcPr>
            <w:tcW w:w="1275" w:type="dxa"/>
            <w:tcBorders>
              <w:bottom w:val="single" w:sz="8" w:space="0" w:color="33CC33"/>
            </w:tcBorders>
            <w:shd w:val="clear" w:color="auto" w:fill="FFFFFF" w:themeFill="background1"/>
            <w:vAlign w:val="center"/>
          </w:tcPr>
          <w:p w:rsidR="00A72B86" w:rsidRPr="00A635F2" w:rsidRDefault="00A72B86" w:rsidP="001A27ED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kluczowy</w:t>
            </w:r>
          </w:p>
        </w:tc>
        <w:tc>
          <w:tcPr>
            <w:tcW w:w="1276" w:type="dxa"/>
            <w:tcBorders>
              <w:bottom w:val="single" w:sz="8" w:space="0" w:color="33CC33"/>
            </w:tcBorders>
            <w:shd w:val="clear" w:color="auto" w:fill="FFFFFF" w:themeFill="background1"/>
            <w:vAlign w:val="center"/>
          </w:tcPr>
          <w:p w:rsidR="00A72B86" w:rsidRPr="00A635F2" w:rsidRDefault="00A72B86" w:rsidP="001A27ED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-</w:t>
            </w:r>
          </w:p>
        </w:tc>
        <w:tc>
          <w:tcPr>
            <w:tcW w:w="5954" w:type="dxa"/>
            <w:vMerge w:val="restart"/>
            <w:shd w:val="clear" w:color="auto" w:fill="FFFFFF" w:themeFill="background1"/>
            <w:vAlign w:val="center"/>
          </w:tcPr>
          <w:p w:rsidR="00A72B86" w:rsidRPr="00A635F2" w:rsidRDefault="00A72B86" w:rsidP="001A27ED">
            <w:pPr>
              <w:pStyle w:val="Default"/>
              <w:rPr>
                <w:rFonts w:asciiTheme="minorHAnsi" w:hAnsiTheme="minorHAnsi"/>
              </w:rPr>
            </w:pPr>
            <w:r w:rsidRPr="00A635F2">
              <w:rPr>
                <w:rFonts w:asciiTheme="minorHAnsi" w:hAnsiTheme="minorHAnsi"/>
              </w:rPr>
              <w:t xml:space="preserve">Wskaźnik służy do pomiaru liczby pracowników zatrudnionych bezpośrednio w efekcie realizacji projektu, pracujących </w:t>
            </w:r>
            <w:r w:rsidRPr="00A635F2">
              <w:rPr>
                <w:rFonts w:asciiTheme="minorHAnsi" w:hAnsiTheme="minorHAnsi"/>
                <w:b/>
                <w:bCs/>
              </w:rPr>
              <w:t xml:space="preserve">na podstawie umów cywilnoprawnych </w:t>
            </w:r>
            <w:r>
              <w:rPr>
                <w:rFonts w:asciiTheme="minorHAnsi" w:hAnsiTheme="minorHAnsi"/>
                <w:b/>
                <w:bCs/>
              </w:rPr>
              <w:br/>
            </w:r>
            <w:r w:rsidRPr="00A635F2">
              <w:rPr>
                <w:rFonts w:asciiTheme="minorHAnsi" w:hAnsiTheme="minorHAnsi"/>
              </w:rPr>
              <w:t xml:space="preserve">tj.: umów o dzieło, umów zlecenia </w:t>
            </w:r>
            <w:r w:rsidRPr="00A635F2">
              <w:rPr>
                <w:rFonts w:asciiTheme="minorHAnsi" w:hAnsiTheme="minorHAnsi"/>
                <w:b/>
                <w:bCs/>
              </w:rPr>
              <w:t xml:space="preserve">czy samozatrudnienia </w:t>
            </w:r>
            <w:r w:rsidRPr="00A635F2">
              <w:rPr>
                <w:rFonts w:asciiTheme="minorHAnsi" w:hAnsiTheme="minorHAnsi"/>
              </w:rPr>
              <w:t xml:space="preserve">– kontraktu, jak i pracujących </w:t>
            </w:r>
            <w:r w:rsidRPr="00A635F2">
              <w:rPr>
                <w:rFonts w:asciiTheme="minorHAnsi" w:hAnsiTheme="minorHAnsi"/>
                <w:b/>
                <w:bCs/>
              </w:rPr>
              <w:t>na podstawie umów o pracę na czas określony</w:t>
            </w:r>
            <w:r w:rsidRPr="00A635F2">
              <w:rPr>
                <w:rFonts w:asciiTheme="minorHAnsi" w:hAnsiTheme="minorHAnsi"/>
              </w:rPr>
              <w:t xml:space="preserve">, </w:t>
            </w:r>
            <w:r w:rsidRPr="00A635F2">
              <w:rPr>
                <w:rFonts w:asciiTheme="minorHAnsi" w:hAnsiTheme="minorHAnsi"/>
                <w:b/>
                <w:bCs/>
              </w:rPr>
              <w:t xml:space="preserve">zarówno w przedsiębiorstwach </w:t>
            </w:r>
            <w:r w:rsidRPr="00A635F2">
              <w:rPr>
                <w:rFonts w:asciiTheme="minorHAnsi" w:hAnsiTheme="minorHAnsi"/>
              </w:rPr>
              <w:t xml:space="preserve">jak </w:t>
            </w:r>
            <w:r>
              <w:rPr>
                <w:rFonts w:asciiTheme="minorHAnsi" w:hAnsiTheme="minorHAnsi"/>
              </w:rPr>
              <w:br/>
            </w:r>
            <w:r w:rsidRPr="00A635F2">
              <w:rPr>
                <w:rFonts w:asciiTheme="minorHAnsi" w:hAnsiTheme="minorHAnsi"/>
              </w:rPr>
              <w:t xml:space="preserve">i pozostałych </w:t>
            </w:r>
            <w:r w:rsidRPr="00A635F2">
              <w:rPr>
                <w:rFonts w:asciiTheme="minorHAnsi" w:hAnsiTheme="minorHAnsi"/>
                <w:b/>
                <w:bCs/>
              </w:rPr>
              <w:t>podmiotach niebędących przedsiębiorstwami</w:t>
            </w:r>
            <w:r w:rsidRPr="00A635F2">
              <w:rPr>
                <w:rFonts w:asciiTheme="minorHAnsi" w:hAnsiTheme="minorHAnsi"/>
              </w:rPr>
              <w:t xml:space="preserve">. </w:t>
            </w:r>
          </w:p>
          <w:p w:rsidR="00A72B86" w:rsidRPr="00A635F2" w:rsidRDefault="00A72B86" w:rsidP="001A27ED">
            <w:pPr>
              <w:pStyle w:val="Default"/>
              <w:rPr>
                <w:rFonts w:asciiTheme="minorHAnsi" w:hAnsiTheme="minorHAnsi"/>
              </w:rPr>
            </w:pPr>
            <w:r w:rsidRPr="00A635F2">
              <w:rPr>
                <w:rFonts w:asciiTheme="minorHAnsi" w:hAnsiTheme="minorHAnsi"/>
              </w:rPr>
              <w:t>Zatrudnienie w ekwiwalentach pełnego czasu pracy ustala się na podstawie proporcji czasu przepracowanego przez poszczególnych pracowników w ciągu roku sprawozdawczego w stosunku do pełnego czasu pracy obowiązującego w danej instytucji.</w:t>
            </w:r>
          </w:p>
          <w:p w:rsidR="00A72B86" w:rsidRPr="00A635F2" w:rsidRDefault="00A72B86" w:rsidP="001A27ED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W przypadku osób wykonujących daną działalność na podstawie umowy zlecenia, umowy o dzieło lub samozatrudnienia – do wyliczenia EPC podajemy: pełny, faktyczny czas pracy w roku sprawozdawczym „ze wszystkich umów”, podany, jako odpowiedni ułamek rocznego czasu pracy.</w:t>
            </w:r>
          </w:p>
          <w:p w:rsidR="00A72B86" w:rsidRPr="00A635F2" w:rsidRDefault="00A72B86" w:rsidP="001A27ED">
            <w:pPr>
              <w:spacing w:before="80" w:after="80"/>
              <w:rPr>
                <w:i/>
                <w:color w:val="C00000"/>
                <w:sz w:val="24"/>
                <w:szCs w:val="24"/>
              </w:rPr>
            </w:pPr>
            <w:r w:rsidRPr="00A635F2">
              <w:rPr>
                <w:i/>
                <w:sz w:val="24"/>
                <w:szCs w:val="24"/>
              </w:rPr>
              <w:t>[Definicja opracowana przez IZ RPO WO 2014-2020]</w:t>
            </w:r>
          </w:p>
        </w:tc>
      </w:tr>
      <w:tr w:rsidR="00A72B86" w:rsidRPr="004A2391" w:rsidTr="001A27ED">
        <w:trPr>
          <w:trHeight w:val="1395"/>
        </w:trPr>
        <w:tc>
          <w:tcPr>
            <w:tcW w:w="552" w:type="dxa"/>
            <w:tcBorders>
              <w:top w:val="single" w:sz="8" w:space="0" w:color="33CC33"/>
              <w:bottom w:val="single" w:sz="8" w:space="0" w:color="33CC33"/>
            </w:tcBorders>
            <w:shd w:val="clear" w:color="auto" w:fill="FFFFFF" w:themeFill="background1"/>
            <w:vAlign w:val="center"/>
          </w:tcPr>
          <w:p w:rsidR="00A72B86" w:rsidRPr="00A635F2" w:rsidRDefault="00A72B86" w:rsidP="001A27ED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8a.</w:t>
            </w:r>
          </w:p>
        </w:tc>
        <w:tc>
          <w:tcPr>
            <w:tcW w:w="2977" w:type="dxa"/>
            <w:tcBorders>
              <w:top w:val="single" w:sz="8" w:space="0" w:color="33CC33"/>
              <w:bottom w:val="single" w:sz="8" w:space="0" w:color="33CC33"/>
            </w:tcBorders>
            <w:shd w:val="clear" w:color="auto" w:fill="FFFFFF" w:themeFill="background1"/>
            <w:vAlign w:val="center"/>
          </w:tcPr>
          <w:p w:rsidR="00A72B86" w:rsidRPr="00A635F2" w:rsidRDefault="00A72B86" w:rsidP="001A27ED">
            <w:pPr>
              <w:rPr>
                <w:i/>
                <w:sz w:val="24"/>
                <w:szCs w:val="24"/>
              </w:rPr>
            </w:pPr>
            <w:r w:rsidRPr="00A635F2">
              <w:rPr>
                <w:i/>
                <w:sz w:val="24"/>
                <w:szCs w:val="24"/>
              </w:rPr>
              <w:t>Liczba nowo utworzonych miejsc pracy - pozostałe formy</w:t>
            </w:r>
          </w:p>
          <w:p w:rsidR="00A72B86" w:rsidRPr="00A635F2" w:rsidRDefault="00A72B86" w:rsidP="001A27ED">
            <w:pPr>
              <w:spacing w:before="40"/>
              <w:rPr>
                <w:i/>
                <w:sz w:val="24"/>
                <w:szCs w:val="24"/>
              </w:rPr>
            </w:pPr>
            <w:r w:rsidRPr="00A635F2">
              <w:rPr>
                <w:i/>
                <w:sz w:val="24"/>
                <w:szCs w:val="24"/>
              </w:rPr>
              <w:t>- kobiety</w:t>
            </w:r>
          </w:p>
        </w:tc>
        <w:tc>
          <w:tcPr>
            <w:tcW w:w="1276" w:type="dxa"/>
            <w:tcBorders>
              <w:top w:val="single" w:sz="4" w:space="0" w:color="33CC33"/>
            </w:tcBorders>
            <w:shd w:val="clear" w:color="auto" w:fill="FFFFFF" w:themeFill="background1"/>
            <w:vAlign w:val="center"/>
          </w:tcPr>
          <w:p w:rsidR="00A72B86" w:rsidRPr="00A635F2" w:rsidRDefault="00A72B86" w:rsidP="001A27ED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EPC</w:t>
            </w:r>
          </w:p>
        </w:tc>
        <w:tc>
          <w:tcPr>
            <w:tcW w:w="1276" w:type="dxa"/>
            <w:tcBorders>
              <w:top w:val="single" w:sz="4" w:space="0" w:color="33CC33"/>
            </w:tcBorders>
            <w:shd w:val="clear" w:color="auto" w:fill="FFFFFF" w:themeFill="background1"/>
            <w:vAlign w:val="center"/>
          </w:tcPr>
          <w:p w:rsidR="00A72B86" w:rsidRPr="00A635F2" w:rsidRDefault="00A72B86" w:rsidP="001A27ED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rezultat</w:t>
            </w:r>
          </w:p>
        </w:tc>
        <w:tc>
          <w:tcPr>
            <w:tcW w:w="1275" w:type="dxa"/>
            <w:tcBorders>
              <w:top w:val="single" w:sz="4" w:space="0" w:color="33CC33"/>
            </w:tcBorders>
            <w:shd w:val="clear" w:color="auto" w:fill="FFFFFF" w:themeFill="background1"/>
            <w:vAlign w:val="center"/>
          </w:tcPr>
          <w:p w:rsidR="00A72B86" w:rsidRPr="00A635F2" w:rsidRDefault="00A72B86" w:rsidP="001A27ED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kluczowy</w:t>
            </w:r>
          </w:p>
        </w:tc>
        <w:tc>
          <w:tcPr>
            <w:tcW w:w="1276" w:type="dxa"/>
            <w:tcBorders>
              <w:top w:val="single" w:sz="4" w:space="0" w:color="33CC33"/>
            </w:tcBorders>
            <w:shd w:val="clear" w:color="auto" w:fill="FFFFFF" w:themeFill="background1"/>
            <w:vAlign w:val="center"/>
          </w:tcPr>
          <w:p w:rsidR="00A72B86" w:rsidRPr="00A635F2" w:rsidRDefault="00A72B86" w:rsidP="001A27ED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-</w:t>
            </w:r>
          </w:p>
        </w:tc>
        <w:tc>
          <w:tcPr>
            <w:tcW w:w="5954" w:type="dxa"/>
            <w:vMerge/>
            <w:shd w:val="clear" w:color="auto" w:fill="FFFFFF" w:themeFill="background1"/>
            <w:vAlign w:val="center"/>
          </w:tcPr>
          <w:p w:rsidR="00A72B86" w:rsidRPr="00A635F2" w:rsidRDefault="00A72B86" w:rsidP="001A27ED">
            <w:pPr>
              <w:spacing w:before="80" w:after="80"/>
              <w:rPr>
                <w:i/>
                <w:color w:val="C00000"/>
                <w:sz w:val="24"/>
                <w:szCs w:val="24"/>
              </w:rPr>
            </w:pPr>
          </w:p>
        </w:tc>
      </w:tr>
      <w:tr w:rsidR="00A72B86" w:rsidRPr="004A2391" w:rsidTr="001A27ED">
        <w:trPr>
          <w:trHeight w:val="4388"/>
        </w:trPr>
        <w:tc>
          <w:tcPr>
            <w:tcW w:w="552" w:type="dxa"/>
            <w:tcBorders>
              <w:top w:val="single" w:sz="8" w:space="0" w:color="33CC33"/>
              <w:bottom w:val="single" w:sz="12" w:space="0" w:color="33CC33"/>
            </w:tcBorders>
            <w:shd w:val="clear" w:color="auto" w:fill="FFFFFF" w:themeFill="background1"/>
            <w:vAlign w:val="center"/>
          </w:tcPr>
          <w:p w:rsidR="00A72B86" w:rsidRPr="00A635F2" w:rsidRDefault="00A72B86" w:rsidP="001A27ED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8b.</w:t>
            </w:r>
          </w:p>
        </w:tc>
        <w:tc>
          <w:tcPr>
            <w:tcW w:w="2977" w:type="dxa"/>
            <w:tcBorders>
              <w:top w:val="single" w:sz="8" w:space="0" w:color="33CC33"/>
              <w:bottom w:val="single" w:sz="12" w:space="0" w:color="33CC33"/>
            </w:tcBorders>
            <w:shd w:val="clear" w:color="auto" w:fill="FFFFFF" w:themeFill="background1"/>
            <w:vAlign w:val="center"/>
          </w:tcPr>
          <w:p w:rsidR="00A72B86" w:rsidRPr="00A635F2" w:rsidRDefault="00A72B86" w:rsidP="001A27ED">
            <w:pPr>
              <w:rPr>
                <w:i/>
                <w:sz w:val="24"/>
                <w:szCs w:val="24"/>
              </w:rPr>
            </w:pPr>
            <w:r w:rsidRPr="00A635F2">
              <w:rPr>
                <w:i/>
                <w:sz w:val="24"/>
                <w:szCs w:val="24"/>
              </w:rPr>
              <w:t>Liczba nowo utworzonych miejsc pracy - pozostałe formy</w:t>
            </w:r>
          </w:p>
          <w:p w:rsidR="00A72B86" w:rsidRPr="00A635F2" w:rsidRDefault="00A72B86" w:rsidP="001A27ED">
            <w:pPr>
              <w:spacing w:before="40"/>
              <w:rPr>
                <w:i/>
                <w:sz w:val="24"/>
                <w:szCs w:val="24"/>
              </w:rPr>
            </w:pPr>
            <w:r w:rsidRPr="00A635F2">
              <w:rPr>
                <w:i/>
                <w:sz w:val="24"/>
                <w:szCs w:val="24"/>
              </w:rPr>
              <w:t>- mężczyźni</w:t>
            </w:r>
          </w:p>
        </w:tc>
        <w:tc>
          <w:tcPr>
            <w:tcW w:w="1276" w:type="dxa"/>
            <w:tcBorders>
              <w:top w:val="single" w:sz="4" w:space="0" w:color="33CC33"/>
            </w:tcBorders>
            <w:shd w:val="clear" w:color="auto" w:fill="FFFFFF" w:themeFill="background1"/>
            <w:vAlign w:val="center"/>
          </w:tcPr>
          <w:p w:rsidR="00A72B86" w:rsidRPr="00A635F2" w:rsidRDefault="00A72B86" w:rsidP="001A27ED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EPC</w:t>
            </w:r>
          </w:p>
        </w:tc>
        <w:tc>
          <w:tcPr>
            <w:tcW w:w="1276" w:type="dxa"/>
            <w:tcBorders>
              <w:top w:val="single" w:sz="4" w:space="0" w:color="33CC33"/>
            </w:tcBorders>
            <w:shd w:val="clear" w:color="auto" w:fill="FFFFFF" w:themeFill="background1"/>
            <w:vAlign w:val="center"/>
          </w:tcPr>
          <w:p w:rsidR="00A72B86" w:rsidRPr="00A635F2" w:rsidRDefault="00A72B86" w:rsidP="001A27ED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rezultat</w:t>
            </w:r>
          </w:p>
        </w:tc>
        <w:tc>
          <w:tcPr>
            <w:tcW w:w="1275" w:type="dxa"/>
            <w:tcBorders>
              <w:top w:val="single" w:sz="4" w:space="0" w:color="33CC33"/>
            </w:tcBorders>
            <w:shd w:val="clear" w:color="auto" w:fill="FFFFFF" w:themeFill="background1"/>
            <w:vAlign w:val="center"/>
          </w:tcPr>
          <w:p w:rsidR="00A72B86" w:rsidRPr="00A635F2" w:rsidRDefault="00A72B86" w:rsidP="001A27ED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kluczowy</w:t>
            </w:r>
          </w:p>
        </w:tc>
        <w:tc>
          <w:tcPr>
            <w:tcW w:w="1276" w:type="dxa"/>
            <w:tcBorders>
              <w:top w:val="single" w:sz="4" w:space="0" w:color="33CC33"/>
            </w:tcBorders>
            <w:shd w:val="clear" w:color="auto" w:fill="FFFFFF" w:themeFill="background1"/>
            <w:vAlign w:val="center"/>
          </w:tcPr>
          <w:p w:rsidR="00A72B86" w:rsidRPr="00A635F2" w:rsidRDefault="00A72B86" w:rsidP="001A27ED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-</w:t>
            </w:r>
          </w:p>
        </w:tc>
        <w:tc>
          <w:tcPr>
            <w:tcW w:w="5954" w:type="dxa"/>
            <w:vMerge/>
            <w:tcBorders>
              <w:bottom w:val="single" w:sz="12" w:space="0" w:color="33CC33"/>
            </w:tcBorders>
            <w:shd w:val="clear" w:color="auto" w:fill="FFFFFF" w:themeFill="background1"/>
            <w:vAlign w:val="center"/>
          </w:tcPr>
          <w:p w:rsidR="00A72B86" w:rsidRPr="00A635F2" w:rsidRDefault="00A72B86" w:rsidP="001A27ED">
            <w:pPr>
              <w:spacing w:before="80" w:after="80"/>
              <w:rPr>
                <w:i/>
                <w:color w:val="C00000"/>
                <w:sz w:val="24"/>
                <w:szCs w:val="24"/>
              </w:rPr>
            </w:pPr>
          </w:p>
        </w:tc>
      </w:tr>
      <w:tr w:rsidR="00A72B86" w:rsidRPr="004A2391" w:rsidTr="001A27ED">
        <w:tc>
          <w:tcPr>
            <w:tcW w:w="14586" w:type="dxa"/>
            <w:gridSpan w:val="7"/>
            <w:tcBorders>
              <w:top w:val="single" w:sz="12" w:space="0" w:color="33CC33"/>
              <w:bottom w:val="single" w:sz="12" w:space="0" w:color="33CC33"/>
            </w:tcBorders>
            <w:shd w:val="clear" w:color="auto" w:fill="D9D9D9" w:themeFill="background1" w:themeFillShade="D9"/>
            <w:vAlign w:val="center"/>
          </w:tcPr>
          <w:p w:rsidR="00A72B86" w:rsidRPr="00A635F2" w:rsidRDefault="00A72B86" w:rsidP="001A27ED">
            <w:pPr>
              <w:spacing w:before="80" w:after="80"/>
              <w:rPr>
                <w:b/>
                <w:i/>
                <w:color w:val="FF0000"/>
                <w:sz w:val="24"/>
                <w:szCs w:val="24"/>
              </w:rPr>
            </w:pPr>
            <w:r w:rsidRPr="00A635F2">
              <w:rPr>
                <w:i/>
                <w:color w:val="000099"/>
                <w:sz w:val="24"/>
                <w:szCs w:val="24"/>
              </w:rPr>
              <w:t xml:space="preserve">Oś priorytetowa </w:t>
            </w:r>
            <w:r>
              <w:rPr>
                <w:i/>
                <w:color w:val="000099"/>
                <w:sz w:val="24"/>
                <w:szCs w:val="24"/>
              </w:rPr>
              <w:t>V</w:t>
            </w:r>
            <w:r w:rsidRPr="00A635F2">
              <w:rPr>
                <w:i/>
                <w:color w:val="000099"/>
                <w:sz w:val="24"/>
                <w:szCs w:val="24"/>
              </w:rPr>
              <w:t xml:space="preserve"> </w:t>
            </w:r>
            <w:r w:rsidRPr="00554A00">
              <w:rPr>
                <w:b/>
                <w:i/>
                <w:color w:val="000099"/>
                <w:sz w:val="24"/>
                <w:szCs w:val="24"/>
              </w:rPr>
              <w:t>Ochrona środowiska, dziedzictwa kulturowego i naturalnego</w:t>
            </w:r>
          </w:p>
        </w:tc>
      </w:tr>
      <w:tr w:rsidR="00A72B86" w:rsidRPr="004A2391" w:rsidTr="001A27ED">
        <w:tc>
          <w:tcPr>
            <w:tcW w:w="14586" w:type="dxa"/>
            <w:gridSpan w:val="7"/>
            <w:tcBorders>
              <w:top w:val="single" w:sz="12" w:space="0" w:color="33CC33"/>
              <w:bottom w:val="single" w:sz="12" w:space="0" w:color="33CC33"/>
            </w:tcBorders>
            <w:shd w:val="clear" w:color="auto" w:fill="EAF1DD"/>
            <w:vAlign w:val="center"/>
          </w:tcPr>
          <w:p w:rsidR="00A72B86" w:rsidRPr="00A635F2" w:rsidRDefault="00A72B86" w:rsidP="001A27ED">
            <w:pPr>
              <w:spacing w:before="80" w:after="80"/>
              <w:rPr>
                <w:i/>
                <w:color w:val="000099"/>
                <w:sz w:val="24"/>
                <w:szCs w:val="24"/>
              </w:rPr>
            </w:pPr>
            <w:r w:rsidRPr="00554A00">
              <w:rPr>
                <w:i/>
                <w:color w:val="000099"/>
                <w:sz w:val="24"/>
              </w:rPr>
              <w:t xml:space="preserve">Działanie 5.4 </w:t>
            </w:r>
            <w:r w:rsidRPr="00554A00">
              <w:rPr>
                <w:b/>
                <w:i/>
                <w:color w:val="000099"/>
                <w:sz w:val="24"/>
              </w:rPr>
              <w:t>Gospodarka wodno-ściekowa</w:t>
            </w:r>
          </w:p>
        </w:tc>
      </w:tr>
      <w:tr w:rsidR="00A72B86" w:rsidRPr="004A2391" w:rsidTr="001A27ED">
        <w:tc>
          <w:tcPr>
            <w:tcW w:w="552" w:type="dxa"/>
            <w:tcBorders>
              <w:top w:val="single" w:sz="12" w:space="0" w:color="33CC33"/>
            </w:tcBorders>
            <w:vAlign w:val="center"/>
          </w:tcPr>
          <w:p w:rsidR="00A72B86" w:rsidRPr="00A635F2" w:rsidRDefault="00A72B86" w:rsidP="001A27ED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single" w:sz="12" w:space="0" w:color="33CC33"/>
            </w:tcBorders>
            <w:vAlign w:val="center"/>
          </w:tcPr>
          <w:p w:rsidR="00A72B86" w:rsidRPr="00554A00" w:rsidRDefault="00A72B86" w:rsidP="001A27ED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  <w:r w:rsidRPr="00554A00">
              <w:rPr>
                <w:rFonts w:cs="Times New Roman"/>
                <w:i/>
                <w:sz w:val="24"/>
                <w:szCs w:val="24"/>
              </w:rPr>
              <w:t>Długość wybudowanej kanalizacji sanitarnej</w:t>
            </w:r>
          </w:p>
        </w:tc>
        <w:tc>
          <w:tcPr>
            <w:tcW w:w="1276" w:type="dxa"/>
            <w:tcBorders>
              <w:top w:val="single" w:sz="12" w:space="0" w:color="33CC33"/>
            </w:tcBorders>
            <w:vAlign w:val="center"/>
          </w:tcPr>
          <w:p w:rsidR="00A72B86" w:rsidRPr="00554A00" w:rsidRDefault="00A72B86" w:rsidP="001A27ED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  <w:r w:rsidRPr="00554A00">
              <w:rPr>
                <w:rFonts w:cs="Arial"/>
                <w:sz w:val="24"/>
                <w:szCs w:val="24"/>
              </w:rPr>
              <w:t>km</w:t>
            </w:r>
          </w:p>
        </w:tc>
        <w:tc>
          <w:tcPr>
            <w:tcW w:w="1276" w:type="dxa"/>
            <w:tcBorders>
              <w:top w:val="single" w:sz="12" w:space="0" w:color="33CC33"/>
            </w:tcBorders>
            <w:vAlign w:val="center"/>
          </w:tcPr>
          <w:p w:rsidR="00A72B86" w:rsidRPr="00554A00" w:rsidRDefault="00A72B86" w:rsidP="001A27ED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554A00">
              <w:rPr>
                <w:sz w:val="24"/>
                <w:szCs w:val="24"/>
              </w:rPr>
              <w:t>produkt</w:t>
            </w:r>
          </w:p>
        </w:tc>
        <w:tc>
          <w:tcPr>
            <w:tcW w:w="1275" w:type="dxa"/>
            <w:tcBorders>
              <w:top w:val="single" w:sz="12" w:space="0" w:color="33CC33"/>
            </w:tcBorders>
            <w:vAlign w:val="center"/>
          </w:tcPr>
          <w:p w:rsidR="00A72B86" w:rsidRPr="00554A00" w:rsidRDefault="00A72B86" w:rsidP="001A27ED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554A00">
              <w:rPr>
                <w:sz w:val="24"/>
                <w:szCs w:val="24"/>
              </w:rPr>
              <w:t>kluczowy</w:t>
            </w:r>
          </w:p>
        </w:tc>
        <w:tc>
          <w:tcPr>
            <w:tcW w:w="1276" w:type="dxa"/>
            <w:tcBorders>
              <w:top w:val="single" w:sz="12" w:space="0" w:color="33CC33"/>
            </w:tcBorders>
            <w:vAlign w:val="center"/>
          </w:tcPr>
          <w:p w:rsidR="00A72B86" w:rsidRPr="00554A00" w:rsidRDefault="00A72B86" w:rsidP="001A27ED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554A00">
              <w:rPr>
                <w:sz w:val="24"/>
                <w:szCs w:val="24"/>
              </w:rPr>
              <w:t>Wskaźnik z ram wykonania</w:t>
            </w:r>
          </w:p>
        </w:tc>
        <w:tc>
          <w:tcPr>
            <w:tcW w:w="5954" w:type="dxa"/>
            <w:tcBorders>
              <w:top w:val="single" w:sz="12" w:space="0" w:color="33CC33"/>
            </w:tcBorders>
            <w:vAlign w:val="center"/>
          </w:tcPr>
          <w:p w:rsidR="00A72B86" w:rsidRPr="00554A00" w:rsidRDefault="00A72B86" w:rsidP="001A27ED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 w:val="24"/>
                <w:szCs w:val="24"/>
              </w:rPr>
            </w:pPr>
            <w:r w:rsidRPr="00554A00">
              <w:rPr>
                <w:rFonts w:cs="Times New Roman"/>
                <w:sz w:val="24"/>
                <w:szCs w:val="24"/>
              </w:rPr>
              <w:t xml:space="preserve">Łączna długość wybudowanego w ramach projektu przewodu kanalizacyjnego wraz z uzbrojeniem i urządzeniami oraz z przyłączami (w zależności od tego, czy przyłącza są w danym programie kosztem kwalifikowanym), którym odprowadzane są ścieki. </w:t>
            </w:r>
          </w:p>
          <w:p w:rsidR="00A72B86" w:rsidRPr="00554A00" w:rsidRDefault="00A72B86" w:rsidP="001A27ED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 w:val="24"/>
                <w:szCs w:val="24"/>
              </w:rPr>
            </w:pPr>
            <w:r w:rsidRPr="00554A00">
              <w:rPr>
                <w:rFonts w:cs="Times New Roman"/>
                <w:sz w:val="24"/>
                <w:szCs w:val="24"/>
              </w:rPr>
              <w:t xml:space="preserve">Przez budowę sieci kanalizacji należy rozumieć jej budowę od podstaw. Poprzez rozbudowę - utworzenie nowego odcinka już istniejącego przewodu kanalizacyjnego.  </w:t>
            </w:r>
          </w:p>
          <w:p w:rsidR="00A72B86" w:rsidRPr="00554A00" w:rsidRDefault="00A72B86" w:rsidP="001A27ED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 w:val="24"/>
                <w:szCs w:val="24"/>
              </w:rPr>
            </w:pPr>
            <w:r w:rsidRPr="00554A00">
              <w:rPr>
                <w:rFonts w:cs="Times New Roman"/>
                <w:sz w:val="24"/>
                <w:szCs w:val="24"/>
              </w:rPr>
              <w:t xml:space="preserve">Zgodnie z art. 2 ustawy z dnia 7 czerwca 2001 r.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554A00">
              <w:rPr>
                <w:rFonts w:cs="Times New Roman"/>
                <w:sz w:val="24"/>
                <w:szCs w:val="24"/>
              </w:rPr>
              <w:t xml:space="preserve">o zbiorowym zaopatrzeniu w wodę i zbiorowym odprowadzaniu ścieków przez przyłącze kanalizacyjne rozumie się odcinek przewodu łączącego wewnętrzną instalację kanalizacyjną w nieruchomości odbiorcy usług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554A00">
              <w:rPr>
                <w:rFonts w:cs="Times New Roman"/>
                <w:sz w:val="24"/>
                <w:szCs w:val="24"/>
              </w:rPr>
              <w:t xml:space="preserve">z siecią kanalizacyjną za pierwszą studzienką, licząc od strony budynku, a w przypadku jej braku do granicy nieruchomości gruntowej.  </w:t>
            </w:r>
          </w:p>
          <w:p w:rsidR="00A72B86" w:rsidRPr="00554A00" w:rsidRDefault="00A72B86" w:rsidP="001A27ED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 w:val="24"/>
                <w:szCs w:val="24"/>
              </w:rPr>
            </w:pPr>
            <w:r w:rsidRPr="00554A00">
              <w:rPr>
                <w:rFonts w:cs="Times New Roman"/>
                <w:sz w:val="24"/>
                <w:szCs w:val="24"/>
              </w:rPr>
              <w:t>Zakres wsparcia zgodny z UP i zapisami linii demarkacyjnej dla PI 6.2.</w:t>
            </w:r>
          </w:p>
        </w:tc>
      </w:tr>
      <w:tr w:rsidR="00A72B86" w:rsidRPr="004A2391" w:rsidTr="001A27ED">
        <w:tc>
          <w:tcPr>
            <w:tcW w:w="552" w:type="dxa"/>
            <w:vAlign w:val="center"/>
          </w:tcPr>
          <w:p w:rsidR="00A72B86" w:rsidRPr="00A635F2" w:rsidRDefault="00A72B86" w:rsidP="001A27ED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2.</w:t>
            </w:r>
          </w:p>
        </w:tc>
        <w:tc>
          <w:tcPr>
            <w:tcW w:w="2977" w:type="dxa"/>
            <w:vAlign w:val="center"/>
          </w:tcPr>
          <w:p w:rsidR="00A72B86" w:rsidRPr="00554A00" w:rsidRDefault="00A72B86" w:rsidP="001A27ED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  <w:r w:rsidRPr="00554A00">
              <w:rPr>
                <w:rFonts w:cs="Times New Roman"/>
                <w:i/>
                <w:sz w:val="24"/>
                <w:szCs w:val="24"/>
              </w:rPr>
              <w:t>Długość przebudowanej kanalizacji sanitarnej</w:t>
            </w:r>
          </w:p>
        </w:tc>
        <w:tc>
          <w:tcPr>
            <w:tcW w:w="1276" w:type="dxa"/>
            <w:vAlign w:val="center"/>
          </w:tcPr>
          <w:p w:rsidR="00A72B86" w:rsidRPr="00554A00" w:rsidRDefault="00A72B86" w:rsidP="001A27ED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  <w:r w:rsidRPr="00554A00">
              <w:rPr>
                <w:rFonts w:cs="Arial"/>
                <w:sz w:val="24"/>
                <w:szCs w:val="24"/>
              </w:rPr>
              <w:t>km</w:t>
            </w:r>
          </w:p>
        </w:tc>
        <w:tc>
          <w:tcPr>
            <w:tcW w:w="1276" w:type="dxa"/>
            <w:vAlign w:val="center"/>
          </w:tcPr>
          <w:p w:rsidR="00A72B86" w:rsidRPr="00554A00" w:rsidRDefault="00A72B86" w:rsidP="001A27ED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554A00">
              <w:rPr>
                <w:sz w:val="24"/>
                <w:szCs w:val="24"/>
              </w:rPr>
              <w:t>produkt</w:t>
            </w:r>
          </w:p>
        </w:tc>
        <w:tc>
          <w:tcPr>
            <w:tcW w:w="1275" w:type="dxa"/>
            <w:vAlign w:val="center"/>
          </w:tcPr>
          <w:p w:rsidR="00A72B86" w:rsidRPr="00554A00" w:rsidRDefault="00A72B86" w:rsidP="001A27ED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554A00">
              <w:rPr>
                <w:sz w:val="24"/>
                <w:szCs w:val="24"/>
              </w:rPr>
              <w:t>kluczowy</w:t>
            </w:r>
          </w:p>
        </w:tc>
        <w:tc>
          <w:tcPr>
            <w:tcW w:w="1276" w:type="dxa"/>
            <w:vAlign w:val="center"/>
          </w:tcPr>
          <w:p w:rsidR="00A72B86" w:rsidRPr="00554A00" w:rsidRDefault="00A72B86" w:rsidP="001A27ED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554A00">
              <w:rPr>
                <w:sz w:val="24"/>
                <w:szCs w:val="24"/>
              </w:rPr>
              <w:t>Wskaźnik z ram wykonania</w:t>
            </w:r>
          </w:p>
        </w:tc>
        <w:tc>
          <w:tcPr>
            <w:tcW w:w="5954" w:type="dxa"/>
            <w:vAlign w:val="center"/>
          </w:tcPr>
          <w:p w:rsidR="00A72B86" w:rsidRPr="00554A00" w:rsidRDefault="00A72B86" w:rsidP="001A27ED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 w:val="24"/>
                <w:szCs w:val="24"/>
              </w:rPr>
            </w:pPr>
            <w:r w:rsidRPr="00554A00">
              <w:rPr>
                <w:rFonts w:cs="Times New Roman"/>
                <w:sz w:val="24"/>
                <w:szCs w:val="24"/>
              </w:rPr>
              <w:t xml:space="preserve">Łączna długość przebudowanego w ramach projektu przewodu kanalizacyjnego wraz z uzbrojeniem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554A00">
              <w:rPr>
                <w:rFonts w:cs="Times New Roman"/>
                <w:sz w:val="24"/>
                <w:szCs w:val="24"/>
              </w:rPr>
              <w:t xml:space="preserve">i urządzeniami oraz z przyłączami (w zależności od tego, czy przyłącza są w danym programie kosztem kwalifikowanym), którym odprowadzane są ścieki. </w:t>
            </w:r>
          </w:p>
          <w:p w:rsidR="00A72B86" w:rsidRPr="00554A00" w:rsidRDefault="00A72B86" w:rsidP="001A27ED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 w:val="24"/>
                <w:szCs w:val="24"/>
              </w:rPr>
            </w:pPr>
            <w:r w:rsidRPr="00554A00">
              <w:rPr>
                <w:rFonts w:cs="Times New Roman"/>
                <w:sz w:val="24"/>
                <w:szCs w:val="24"/>
              </w:rPr>
              <w:t xml:space="preserve">Zgodnie z art. 2 ustawy z dnia 7 czerwca 2001 r.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554A00">
              <w:rPr>
                <w:rFonts w:cs="Times New Roman"/>
                <w:sz w:val="24"/>
                <w:szCs w:val="24"/>
              </w:rPr>
              <w:t xml:space="preserve">o zbiorowym zaopatrzeniu w wodę i zbiorowym odprowadzaniu ścieków przez przyłącze kanalizacyjne rozumie się odcinek przewodu łączącego wewnętrzną instalację kanalizacyjną w nieruchomości odbiorcy usług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554A00">
              <w:rPr>
                <w:rFonts w:cs="Times New Roman"/>
                <w:sz w:val="24"/>
                <w:szCs w:val="24"/>
              </w:rPr>
              <w:t xml:space="preserve">z siecią kanalizacyjną za pierwszą studzienką, licząc od strony budynku, a w przypadku jej braku do granicy nieruchomości gruntowej. Definicja opracowana na bazie Ustawy o zbiorowym zaopatrzeniu w wodę i zbiorowym odprowadzaniu ścieków z dn. 7 czerwca 2001 r.  </w:t>
            </w:r>
          </w:p>
          <w:p w:rsidR="00A72B86" w:rsidRPr="00554A00" w:rsidRDefault="00A72B86" w:rsidP="001A27ED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 w:val="24"/>
                <w:szCs w:val="24"/>
              </w:rPr>
            </w:pPr>
            <w:r w:rsidRPr="00554A00">
              <w:rPr>
                <w:rFonts w:cs="Times New Roman"/>
                <w:sz w:val="24"/>
                <w:szCs w:val="24"/>
              </w:rPr>
              <w:t>Zakres wsparcia zgodny z UP i zapisami linii demarkacyjnej dla PI 6.2.</w:t>
            </w:r>
          </w:p>
        </w:tc>
      </w:tr>
      <w:tr w:rsidR="00A72B86" w:rsidRPr="004A2391" w:rsidTr="001A27ED">
        <w:tc>
          <w:tcPr>
            <w:tcW w:w="552" w:type="dxa"/>
            <w:vAlign w:val="center"/>
          </w:tcPr>
          <w:p w:rsidR="00A72B86" w:rsidRPr="00A635F2" w:rsidRDefault="00A72B86" w:rsidP="001A27ED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3.</w:t>
            </w:r>
          </w:p>
        </w:tc>
        <w:tc>
          <w:tcPr>
            <w:tcW w:w="2977" w:type="dxa"/>
            <w:vAlign w:val="center"/>
          </w:tcPr>
          <w:p w:rsidR="00A72B86" w:rsidRPr="00554A00" w:rsidRDefault="00A72B86" w:rsidP="001A27ED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  <w:r w:rsidRPr="00554A00">
              <w:rPr>
                <w:rFonts w:cs="Times New Roman"/>
                <w:i/>
                <w:sz w:val="24"/>
                <w:szCs w:val="24"/>
              </w:rPr>
              <w:t>Długość wyremontowanej kanalizacji sanitarnej</w:t>
            </w:r>
          </w:p>
        </w:tc>
        <w:tc>
          <w:tcPr>
            <w:tcW w:w="1276" w:type="dxa"/>
            <w:vAlign w:val="center"/>
          </w:tcPr>
          <w:p w:rsidR="00A72B86" w:rsidRPr="00554A00" w:rsidRDefault="00A72B86" w:rsidP="001A27ED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  <w:r w:rsidRPr="00554A00">
              <w:rPr>
                <w:rFonts w:cs="Arial"/>
                <w:sz w:val="24"/>
                <w:szCs w:val="24"/>
              </w:rPr>
              <w:t>km</w:t>
            </w:r>
          </w:p>
        </w:tc>
        <w:tc>
          <w:tcPr>
            <w:tcW w:w="1276" w:type="dxa"/>
            <w:vAlign w:val="center"/>
          </w:tcPr>
          <w:p w:rsidR="00A72B86" w:rsidRPr="00554A00" w:rsidRDefault="00A72B86" w:rsidP="001A27ED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554A00">
              <w:rPr>
                <w:sz w:val="24"/>
                <w:szCs w:val="24"/>
              </w:rPr>
              <w:t>produkt</w:t>
            </w:r>
          </w:p>
        </w:tc>
        <w:tc>
          <w:tcPr>
            <w:tcW w:w="1275" w:type="dxa"/>
            <w:vAlign w:val="center"/>
          </w:tcPr>
          <w:p w:rsidR="00A72B86" w:rsidRPr="00554A00" w:rsidRDefault="00A72B86" w:rsidP="001A27ED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554A00">
              <w:rPr>
                <w:sz w:val="24"/>
                <w:szCs w:val="24"/>
              </w:rPr>
              <w:t>kluczowy</w:t>
            </w:r>
          </w:p>
        </w:tc>
        <w:tc>
          <w:tcPr>
            <w:tcW w:w="1276" w:type="dxa"/>
            <w:vAlign w:val="center"/>
          </w:tcPr>
          <w:p w:rsidR="00A72B86" w:rsidRPr="00554A00" w:rsidRDefault="00A72B86" w:rsidP="001A27ED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554A00">
              <w:rPr>
                <w:sz w:val="24"/>
                <w:szCs w:val="24"/>
              </w:rPr>
              <w:t>Wskaźnik z ram wykonania</w:t>
            </w:r>
          </w:p>
        </w:tc>
        <w:tc>
          <w:tcPr>
            <w:tcW w:w="5954" w:type="dxa"/>
            <w:vAlign w:val="center"/>
          </w:tcPr>
          <w:p w:rsidR="00A72B86" w:rsidRPr="00554A00" w:rsidRDefault="00A72B86" w:rsidP="001A27ED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 w:val="24"/>
                <w:szCs w:val="24"/>
              </w:rPr>
            </w:pPr>
            <w:r w:rsidRPr="00554A00">
              <w:rPr>
                <w:rFonts w:cs="Times New Roman"/>
                <w:sz w:val="24"/>
                <w:szCs w:val="24"/>
              </w:rPr>
              <w:t xml:space="preserve">Łączna długość wyremontowanego w ramach projektu przewodu kanalizacyjnego wraz z uzbrojeniem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554A00">
              <w:rPr>
                <w:rFonts w:cs="Times New Roman"/>
                <w:sz w:val="24"/>
                <w:szCs w:val="24"/>
              </w:rPr>
              <w:t xml:space="preserve">i urządzeniami oraz z przyłączami (w zależności od tego, czy przyłącza są w danym programie kosztem kwalifikowanym), którym odprowadzane są ścieki. </w:t>
            </w:r>
          </w:p>
          <w:p w:rsidR="00A72B86" w:rsidRPr="00554A00" w:rsidRDefault="00A72B86" w:rsidP="001A27ED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 w:val="24"/>
                <w:szCs w:val="24"/>
              </w:rPr>
            </w:pPr>
            <w:r w:rsidRPr="00554A00">
              <w:rPr>
                <w:rFonts w:cs="Times New Roman"/>
                <w:sz w:val="24"/>
                <w:szCs w:val="24"/>
              </w:rPr>
              <w:t xml:space="preserve">Zgodnie z art. 2 ustawy z dnia 7 czerwca 2001 r.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554A00">
              <w:rPr>
                <w:rFonts w:cs="Times New Roman"/>
                <w:sz w:val="24"/>
                <w:szCs w:val="24"/>
              </w:rPr>
              <w:t xml:space="preserve">o zbiorowym zaopatrzeniu w wodę i zbiorowym odprowadzaniu ścieków przez przyłącze kanalizacyjne rozumie się odcinek przewodu łączącego wewnętrzną instalację kanalizacyjną w nieruchomości odbiorcy usług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554A00">
              <w:rPr>
                <w:rFonts w:cs="Times New Roman"/>
                <w:sz w:val="24"/>
                <w:szCs w:val="24"/>
              </w:rPr>
              <w:t xml:space="preserve">z siecią kanalizacyjną za pierwszą studzienką, licząc od strony budynku, a w przypadku jej braku do granicy nieruchomości gruntowej. Definicja opracowana na bazie Ustawy o zbiorowym zaopatrzeniu w wodę i zbiorowym odprowadzaniu ścieków z dn. 7 czerwca 2001 r.  </w:t>
            </w:r>
          </w:p>
          <w:p w:rsidR="00A72B86" w:rsidRPr="00554A00" w:rsidRDefault="00A72B86" w:rsidP="001A27ED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 w:val="24"/>
                <w:szCs w:val="24"/>
              </w:rPr>
            </w:pPr>
            <w:r w:rsidRPr="00554A00">
              <w:rPr>
                <w:rFonts w:cs="Times New Roman"/>
                <w:sz w:val="24"/>
                <w:szCs w:val="24"/>
              </w:rPr>
              <w:t>Zakres wsparcia zgodny z UP i zapisami linii demarkacyjnej dla PI 6.2.</w:t>
            </w:r>
          </w:p>
        </w:tc>
      </w:tr>
      <w:tr w:rsidR="00A72B86" w:rsidRPr="004A2391" w:rsidTr="001A27ED">
        <w:tc>
          <w:tcPr>
            <w:tcW w:w="552" w:type="dxa"/>
            <w:tcBorders>
              <w:top w:val="single" w:sz="4" w:space="0" w:color="33CC33"/>
            </w:tcBorders>
            <w:vAlign w:val="center"/>
          </w:tcPr>
          <w:p w:rsidR="00A72B86" w:rsidRPr="00A635F2" w:rsidRDefault="00A72B86" w:rsidP="001A27ED">
            <w:pPr>
              <w:spacing w:before="80" w:after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A635F2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33CC33"/>
              <w:right w:val="single" w:sz="8" w:space="0" w:color="33CC33"/>
            </w:tcBorders>
            <w:vAlign w:val="center"/>
          </w:tcPr>
          <w:p w:rsidR="00A72B86" w:rsidRPr="00554A00" w:rsidRDefault="00A72B86" w:rsidP="001A27ED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  <w:r w:rsidRPr="00554A00">
              <w:rPr>
                <w:rFonts w:cs="Arial"/>
                <w:i/>
                <w:sz w:val="24"/>
                <w:szCs w:val="24"/>
              </w:rPr>
              <w:t>Udział projektu w odniesieniu do obszaru objętego programem rewitalizacji</w:t>
            </w:r>
          </w:p>
        </w:tc>
        <w:tc>
          <w:tcPr>
            <w:tcW w:w="1276" w:type="dxa"/>
            <w:tcBorders>
              <w:top w:val="single" w:sz="8" w:space="0" w:color="33CC33"/>
              <w:left w:val="single" w:sz="8" w:space="0" w:color="33CC33"/>
              <w:bottom w:val="single" w:sz="12" w:space="0" w:color="33CC33"/>
              <w:right w:val="single" w:sz="8" w:space="0" w:color="33CC33"/>
            </w:tcBorders>
            <w:vAlign w:val="center"/>
          </w:tcPr>
          <w:p w:rsidR="00A72B86" w:rsidRPr="00554A00" w:rsidRDefault="00A72B86" w:rsidP="001A27ED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  <w:r w:rsidRPr="00554A00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33CC33"/>
              <w:left w:val="single" w:sz="8" w:space="0" w:color="33CC33"/>
            </w:tcBorders>
            <w:vAlign w:val="center"/>
          </w:tcPr>
          <w:p w:rsidR="00A72B86" w:rsidRPr="00554A00" w:rsidRDefault="00A72B86" w:rsidP="001A27ED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554A00">
              <w:rPr>
                <w:sz w:val="24"/>
                <w:szCs w:val="24"/>
              </w:rPr>
              <w:t>produkt</w:t>
            </w:r>
          </w:p>
        </w:tc>
        <w:tc>
          <w:tcPr>
            <w:tcW w:w="1275" w:type="dxa"/>
            <w:tcBorders>
              <w:top w:val="single" w:sz="4" w:space="0" w:color="33CC33"/>
            </w:tcBorders>
            <w:vAlign w:val="center"/>
          </w:tcPr>
          <w:p w:rsidR="00A72B86" w:rsidRPr="00554A00" w:rsidRDefault="00A72B86" w:rsidP="001A27ED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554A00">
              <w:rPr>
                <w:sz w:val="24"/>
                <w:szCs w:val="24"/>
              </w:rPr>
              <w:t>specyficzny</w:t>
            </w:r>
          </w:p>
        </w:tc>
        <w:tc>
          <w:tcPr>
            <w:tcW w:w="1276" w:type="dxa"/>
            <w:tcBorders>
              <w:top w:val="single" w:sz="4" w:space="0" w:color="33CC33"/>
            </w:tcBorders>
            <w:vAlign w:val="center"/>
          </w:tcPr>
          <w:p w:rsidR="00A72B86" w:rsidRPr="00554A00" w:rsidRDefault="00A72B86" w:rsidP="001A27ED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554A00">
              <w:rPr>
                <w:sz w:val="24"/>
                <w:szCs w:val="24"/>
              </w:rPr>
              <w:t>-</w:t>
            </w:r>
          </w:p>
        </w:tc>
        <w:tc>
          <w:tcPr>
            <w:tcW w:w="5954" w:type="dxa"/>
            <w:tcBorders>
              <w:top w:val="single" w:sz="4" w:space="0" w:color="33CC33"/>
            </w:tcBorders>
            <w:shd w:val="clear" w:color="auto" w:fill="auto"/>
            <w:vAlign w:val="center"/>
          </w:tcPr>
          <w:p w:rsidR="00A72B86" w:rsidRPr="00554A00" w:rsidRDefault="00A72B86" w:rsidP="001A27ED">
            <w:pPr>
              <w:shd w:val="clear" w:color="auto" w:fill="FFFFFF"/>
              <w:spacing w:before="60"/>
              <w:rPr>
                <w:sz w:val="24"/>
                <w:szCs w:val="24"/>
              </w:rPr>
            </w:pPr>
            <w:r w:rsidRPr="00554A00">
              <w:rPr>
                <w:sz w:val="24"/>
                <w:szCs w:val="24"/>
              </w:rPr>
              <w:t>Wskaźnik obrazuje w jakim stopniu (%) projekt dotyczy części rewitalizacyjnej projektu. Jeżeli projekt w całości wynika z programu rewitalizacji lub ma zasięg horyzontalny, ale w całości sprofilowany jest na obszary objęte rewitalizacją to wartość wskaźnika będzie wynosiła 100%.</w:t>
            </w:r>
          </w:p>
          <w:p w:rsidR="00A72B86" w:rsidRPr="00554A00" w:rsidRDefault="00A72B86" w:rsidP="001A27ED">
            <w:pPr>
              <w:shd w:val="clear" w:color="auto" w:fill="FFFFFF"/>
              <w:spacing w:before="60"/>
              <w:rPr>
                <w:sz w:val="24"/>
                <w:szCs w:val="24"/>
              </w:rPr>
            </w:pPr>
            <w:r w:rsidRPr="00554A00">
              <w:rPr>
                <w:sz w:val="24"/>
                <w:szCs w:val="24"/>
              </w:rPr>
              <w:t>W przypadku projektów, które dotyczą obszarów objętych programami rewitalizacyjnymi tylko w części (np. projekty o szerszym charakterze takie jak projekty „miękkie” nakierowane na specyficzne grupy odbiorców efektów tych projektów), udział projektu w odniesieniu do obszaru programu rewitalizacji należy oszacować proporcjonalnie do wydatków planowanych do poniesienia/ lub poniesionych na tym obszarze.</w:t>
            </w:r>
          </w:p>
          <w:p w:rsidR="00A72B86" w:rsidRPr="00554A00" w:rsidRDefault="00A72B86" w:rsidP="001A27ED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 w:val="24"/>
                <w:szCs w:val="24"/>
              </w:rPr>
            </w:pPr>
            <w:r w:rsidRPr="00554A00">
              <w:rPr>
                <w:sz w:val="24"/>
                <w:szCs w:val="24"/>
              </w:rPr>
              <w:t xml:space="preserve">Definicja programu rewitalizacji zgodnie z </w:t>
            </w:r>
            <w:r w:rsidRPr="00554A00">
              <w:rPr>
                <w:i/>
                <w:sz w:val="24"/>
                <w:szCs w:val="24"/>
              </w:rPr>
              <w:t xml:space="preserve">Wytycznymi </w:t>
            </w:r>
            <w:r>
              <w:rPr>
                <w:i/>
                <w:sz w:val="24"/>
                <w:szCs w:val="24"/>
              </w:rPr>
              <w:br/>
            </w:r>
            <w:r w:rsidRPr="00554A00">
              <w:rPr>
                <w:i/>
                <w:sz w:val="24"/>
                <w:szCs w:val="24"/>
              </w:rPr>
              <w:t>w zakresie rewitalizacji w programach operacyjnych na lata 2014-2020</w:t>
            </w:r>
            <w:r w:rsidRPr="00554A00">
              <w:rPr>
                <w:sz w:val="24"/>
                <w:szCs w:val="24"/>
              </w:rPr>
              <w:t>.</w:t>
            </w:r>
          </w:p>
        </w:tc>
      </w:tr>
      <w:tr w:rsidR="00A72B86" w:rsidRPr="004A2391" w:rsidTr="001A27ED">
        <w:tc>
          <w:tcPr>
            <w:tcW w:w="552" w:type="dxa"/>
            <w:vAlign w:val="center"/>
          </w:tcPr>
          <w:p w:rsidR="00A72B86" w:rsidRPr="00A635F2" w:rsidRDefault="00A72B86" w:rsidP="001A27ED">
            <w:pPr>
              <w:spacing w:before="80" w:after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A635F2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vAlign w:val="center"/>
          </w:tcPr>
          <w:p w:rsidR="00A72B86" w:rsidRPr="00554A00" w:rsidRDefault="00A72B86" w:rsidP="001A27ED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  <w:r w:rsidRPr="00554A00">
              <w:rPr>
                <w:rFonts w:cs="Times New Roman"/>
                <w:i/>
                <w:sz w:val="24"/>
                <w:szCs w:val="24"/>
              </w:rPr>
              <w:t>Liczba dodatkowych osób korzystających z ulepszonego oczyszczania ścieków</w:t>
            </w:r>
          </w:p>
        </w:tc>
        <w:tc>
          <w:tcPr>
            <w:tcW w:w="1276" w:type="dxa"/>
            <w:tcBorders>
              <w:top w:val="single" w:sz="12" w:space="0" w:color="33CC33"/>
            </w:tcBorders>
            <w:vAlign w:val="center"/>
          </w:tcPr>
          <w:p w:rsidR="00A72B86" w:rsidRPr="00554A00" w:rsidRDefault="00A72B86" w:rsidP="001A27ED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  <w:r w:rsidRPr="00554A00">
              <w:rPr>
                <w:rFonts w:cs="Arial"/>
                <w:sz w:val="24"/>
                <w:szCs w:val="24"/>
              </w:rPr>
              <w:t>RLM</w:t>
            </w:r>
          </w:p>
        </w:tc>
        <w:tc>
          <w:tcPr>
            <w:tcW w:w="1276" w:type="dxa"/>
            <w:vAlign w:val="center"/>
          </w:tcPr>
          <w:p w:rsidR="00A72B86" w:rsidRPr="00554A00" w:rsidRDefault="00A72B86" w:rsidP="001A27ED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554A00">
              <w:rPr>
                <w:sz w:val="24"/>
                <w:szCs w:val="24"/>
              </w:rPr>
              <w:t>rezultat</w:t>
            </w:r>
          </w:p>
        </w:tc>
        <w:tc>
          <w:tcPr>
            <w:tcW w:w="1275" w:type="dxa"/>
            <w:vAlign w:val="center"/>
          </w:tcPr>
          <w:p w:rsidR="00A72B86" w:rsidRPr="00554A00" w:rsidRDefault="00A72B86" w:rsidP="001A27ED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554A00">
              <w:rPr>
                <w:sz w:val="24"/>
                <w:szCs w:val="24"/>
              </w:rPr>
              <w:t>kluczowy</w:t>
            </w:r>
          </w:p>
        </w:tc>
        <w:tc>
          <w:tcPr>
            <w:tcW w:w="1276" w:type="dxa"/>
            <w:vAlign w:val="center"/>
          </w:tcPr>
          <w:p w:rsidR="00A72B86" w:rsidRPr="00554A00" w:rsidRDefault="00A72B86" w:rsidP="001A27ED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554A00">
              <w:rPr>
                <w:sz w:val="24"/>
                <w:szCs w:val="24"/>
              </w:rPr>
              <w:t>Common Indicator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72B86" w:rsidRPr="00554A00" w:rsidRDefault="00A72B86" w:rsidP="001A27ED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 w:val="24"/>
                <w:szCs w:val="24"/>
              </w:rPr>
            </w:pPr>
            <w:r w:rsidRPr="00554A00">
              <w:rPr>
                <w:rFonts w:cs="Times New Roman"/>
                <w:sz w:val="24"/>
                <w:szCs w:val="24"/>
              </w:rPr>
              <w:t xml:space="preserve">Liczba osób, których ścieki są transportowane do oczyszczalni ścieków za pośrednictwem kanalizacji ściekowej w wyniku zwiększonej przepustowości transportowej / oczyszczania ścieków osiągniętej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554A00">
              <w:rPr>
                <w:rFonts w:cs="Times New Roman"/>
                <w:sz w:val="24"/>
                <w:szCs w:val="24"/>
              </w:rPr>
              <w:t>w ramach projektu i które nie były wcześniej podłączone lub były obsługiwane poniżej standardu oczyszczania ścieków. Obejmuje to poprawę poziomu oczyszczania ścieków. Wskaźnik obejmuje osoby w gospodarstwach domowych z rzeczywistym (a nie potencjalnym) podłączeniem do sieci oczyszczalni ścieków.</w:t>
            </w:r>
          </w:p>
        </w:tc>
      </w:tr>
    </w:tbl>
    <w:p w:rsidR="00A72B86" w:rsidRDefault="00A72B86" w:rsidP="00A72B86">
      <w:pPr>
        <w:spacing w:after="0" w:line="240" w:lineRule="auto"/>
        <w:jc w:val="both"/>
        <w:rPr>
          <w:b/>
          <w:sz w:val="20"/>
        </w:rPr>
      </w:pPr>
    </w:p>
    <w:p w:rsidR="00A72B86" w:rsidRPr="00503B37" w:rsidRDefault="00A72B86" w:rsidP="00A72B86">
      <w:pPr>
        <w:spacing w:after="0" w:line="240" w:lineRule="auto"/>
        <w:jc w:val="both"/>
        <w:rPr>
          <w:szCs w:val="18"/>
        </w:rPr>
      </w:pPr>
      <w:r w:rsidRPr="00503B37">
        <w:rPr>
          <w:b/>
          <w:sz w:val="24"/>
        </w:rPr>
        <w:t>UWAGA:</w:t>
      </w:r>
      <w:r w:rsidRPr="00503B37">
        <w:rPr>
          <w:szCs w:val="18"/>
        </w:rPr>
        <w:t xml:space="preserve"> Dla wskaźników </w:t>
      </w:r>
      <w:r w:rsidRPr="00503B37">
        <w:rPr>
          <w:i/>
          <w:szCs w:val="18"/>
        </w:rPr>
        <w:t>Common Indicators</w:t>
      </w:r>
      <w:r w:rsidRPr="00503B37">
        <w:rPr>
          <w:rStyle w:val="Odwoanieprzypisudolnego"/>
          <w:szCs w:val="18"/>
        </w:rPr>
        <w:footnoteReference w:id="2"/>
      </w:r>
      <w:r w:rsidRPr="00503B37">
        <w:rPr>
          <w:i/>
          <w:szCs w:val="18"/>
        </w:rPr>
        <w:t xml:space="preserve"> </w:t>
      </w:r>
      <w:r w:rsidRPr="00503B37">
        <w:rPr>
          <w:szCs w:val="18"/>
        </w:rPr>
        <w:t>przedstawione definicje są roboczym tłumaczeniem IZ RPO WO 2014-2020. Oryginalne definicje (w języku angielskim) znajd</w:t>
      </w:r>
      <w:r>
        <w:rPr>
          <w:szCs w:val="18"/>
        </w:rPr>
        <w:t xml:space="preserve">ują się </w:t>
      </w:r>
      <w:r w:rsidRPr="00503B37">
        <w:rPr>
          <w:szCs w:val="18"/>
        </w:rPr>
        <w:t xml:space="preserve">w dokumencie </w:t>
      </w:r>
      <w:r w:rsidRPr="00503B37">
        <w:rPr>
          <w:i/>
          <w:szCs w:val="18"/>
        </w:rPr>
        <w:t xml:space="preserve">The programming period 2014-2020. </w:t>
      </w:r>
      <w:r w:rsidRPr="00503B37">
        <w:rPr>
          <w:i/>
          <w:szCs w:val="18"/>
          <w:lang w:val="en-US"/>
        </w:rPr>
        <w:t xml:space="preserve">Guidance document on monitoring and evaluation. European Cohesion Fund. European Regional Development Fund. </w:t>
      </w:r>
      <w:r w:rsidRPr="00503B37">
        <w:rPr>
          <w:i/>
          <w:szCs w:val="18"/>
        </w:rPr>
        <w:t>Concepts and Recommendations. March 2014</w:t>
      </w:r>
      <w:r w:rsidRPr="00503B37">
        <w:rPr>
          <w:szCs w:val="18"/>
        </w:rPr>
        <w:t>,</w:t>
      </w:r>
      <w:r w:rsidRPr="00503B37">
        <w:rPr>
          <w:i/>
          <w:szCs w:val="18"/>
        </w:rPr>
        <w:t xml:space="preserve"> </w:t>
      </w:r>
      <w:r w:rsidRPr="00503B37">
        <w:rPr>
          <w:szCs w:val="18"/>
        </w:rPr>
        <w:t xml:space="preserve">dostępnym na stronie internetowej Komisji Europejskiej: </w:t>
      </w:r>
      <w:hyperlink r:id="rId9" w:anchor="1" w:history="1">
        <w:r w:rsidRPr="00503B37">
          <w:rPr>
            <w:rStyle w:val="Hipercze"/>
            <w:i/>
            <w:szCs w:val="18"/>
          </w:rPr>
          <w:t>http://ec.europa.eu/regional_policy/pl/policy/evaluations/guidance/#1</w:t>
        </w:r>
      </w:hyperlink>
    </w:p>
    <w:p w:rsidR="00A72B86" w:rsidRPr="004A2391" w:rsidRDefault="00A72B86" w:rsidP="00A72B86">
      <w:pPr>
        <w:spacing w:after="0"/>
        <w:rPr>
          <w:b/>
        </w:rPr>
      </w:pPr>
    </w:p>
    <w:p w:rsidR="00F122C5" w:rsidRPr="004A2391" w:rsidRDefault="00F122C5" w:rsidP="00A72B86">
      <w:pPr>
        <w:spacing w:after="60"/>
        <w:rPr>
          <w:b/>
        </w:rPr>
      </w:pPr>
    </w:p>
    <w:sectPr w:rsidR="00F122C5" w:rsidRPr="004A2391" w:rsidSect="00E151AB">
      <w:headerReference w:type="default" r:id="rId10"/>
      <w:footerReference w:type="default" r:id="rId11"/>
      <w:headerReference w:type="first" r:id="rId12"/>
      <w:pgSz w:w="16838" w:h="11906" w:orient="landscape"/>
      <w:pgMar w:top="1418" w:right="962" w:bottom="1276" w:left="1418" w:header="709" w:footer="28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178" w:rsidRDefault="00547178" w:rsidP="00A11280">
      <w:pPr>
        <w:spacing w:after="0" w:line="240" w:lineRule="auto"/>
      </w:pPr>
      <w:r>
        <w:separator/>
      </w:r>
    </w:p>
  </w:endnote>
  <w:endnote w:type="continuationSeparator" w:id="0">
    <w:p w:rsidR="00547178" w:rsidRDefault="00547178" w:rsidP="00A11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</w:rPr>
      <w:id w:val="-286665848"/>
      <w:docPartObj>
        <w:docPartGallery w:val="Page Numbers (Bottom of Page)"/>
        <w:docPartUnique/>
      </w:docPartObj>
    </w:sdtPr>
    <w:sdtEndPr/>
    <w:sdtContent>
      <w:p w:rsidR="00547178" w:rsidRPr="00D47A5A" w:rsidRDefault="00547178">
        <w:pPr>
          <w:pStyle w:val="Stopka"/>
          <w:jc w:val="center"/>
          <w:rPr>
            <w:sz w:val="20"/>
          </w:rPr>
        </w:pPr>
        <w:r w:rsidRPr="00D47A5A">
          <w:rPr>
            <w:sz w:val="20"/>
          </w:rPr>
          <w:fldChar w:fldCharType="begin"/>
        </w:r>
        <w:r w:rsidRPr="00D47A5A">
          <w:rPr>
            <w:sz w:val="20"/>
          </w:rPr>
          <w:instrText xml:space="preserve"> PAGE   \* MERGEFORMAT </w:instrText>
        </w:r>
        <w:r w:rsidRPr="00D47A5A">
          <w:rPr>
            <w:sz w:val="20"/>
          </w:rPr>
          <w:fldChar w:fldCharType="separate"/>
        </w:r>
        <w:r w:rsidR="006D0D3F">
          <w:rPr>
            <w:noProof/>
            <w:sz w:val="20"/>
          </w:rPr>
          <w:t>3</w:t>
        </w:r>
        <w:r w:rsidRPr="00D47A5A">
          <w:rPr>
            <w:sz w:val="20"/>
          </w:rPr>
          <w:fldChar w:fldCharType="end"/>
        </w:r>
      </w:p>
    </w:sdtContent>
  </w:sdt>
  <w:p w:rsidR="00547178" w:rsidRDefault="0054717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178" w:rsidRDefault="00547178" w:rsidP="00A11280">
      <w:pPr>
        <w:spacing w:after="0" w:line="240" w:lineRule="auto"/>
      </w:pPr>
      <w:r>
        <w:separator/>
      </w:r>
    </w:p>
  </w:footnote>
  <w:footnote w:type="continuationSeparator" w:id="0">
    <w:p w:rsidR="00547178" w:rsidRDefault="00547178" w:rsidP="00A11280">
      <w:pPr>
        <w:spacing w:after="0" w:line="240" w:lineRule="auto"/>
      </w:pPr>
      <w:r>
        <w:continuationSeparator/>
      </w:r>
    </w:p>
  </w:footnote>
  <w:footnote w:id="1">
    <w:p w:rsidR="00A72B86" w:rsidRPr="00137AD2" w:rsidRDefault="00A72B86" w:rsidP="00A72B86">
      <w:pPr>
        <w:pStyle w:val="Tekstprzypisudolnego"/>
      </w:pPr>
      <w:r>
        <w:rPr>
          <w:rStyle w:val="Odwoanieprzypisudolnego"/>
        </w:rPr>
        <w:footnoteRef/>
      </w:r>
      <w:r>
        <w:t xml:space="preserve"> Wskaźniki 5, 5a i 5b nie dotyczą działania 1.2 </w:t>
      </w:r>
      <w:r>
        <w:rPr>
          <w:i/>
        </w:rPr>
        <w:t xml:space="preserve">Infrastruktura B + R </w:t>
      </w:r>
      <w:r>
        <w:t xml:space="preserve">oraz działania 6.1 </w:t>
      </w:r>
      <w:r>
        <w:rPr>
          <w:i/>
        </w:rPr>
        <w:t xml:space="preserve">Infrastruktura drogowa </w:t>
      </w:r>
      <w:r>
        <w:t>RPO WO 2014-2020</w:t>
      </w:r>
    </w:p>
  </w:footnote>
  <w:footnote w:id="2">
    <w:p w:rsidR="00A72B86" w:rsidRDefault="00A72B86" w:rsidP="00A72B86">
      <w:pPr>
        <w:pStyle w:val="Tekstprzypisudolnego"/>
        <w:jc w:val="both"/>
        <w:rPr>
          <w:sz w:val="16"/>
          <w:szCs w:val="16"/>
        </w:rPr>
      </w:pPr>
      <w:r w:rsidRPr="00EE3D56">
        <w:rPr>
          <w:rStyle w:val="Odwoanieprzypisudolnego"/>
          <w:sz w:val="22"/>
          <w:szCs w:val="16"/>
        </w:rPr>
        <w:footnoteRef/>
      </w:r>
      <w:r w:rsidRPr="00EE3D56">
        <w:rPr>
          <w:sz w:val="22"/>
          <w:szCs w:val="16"/>
        </w:rPr>
        <w:t xml:space="preserve"> Są to wskaźniki określone w Załączniku I do </w:t>
      </w:r>
      <w:r w:rsidRPr="00EE3D56">
        <w:rPr>
          <w:i/>
          <w:sz w:val="22"/>
          <w:szCs w:val="16"/>
        </w:rPr>
        <w:t xml:space="preserve">Rozporządzenia Parlamentu Europejskiego i Rady (UE) nr 1301/2013 z dnia 13 grudnia 2013 r. w sprawie Europejskiego Funduszu Rozwoju Regionalnego i przepisów szczególnych dotyczących celu „Inwestycje na rzecz wzrostu i zatrudnienia” oraz w sprawie uchylenia rozporządzenia (WE) nr 1080/2006.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178" w:rsidRDefault="00547178" w:rsidP="00964523">
    <w:pPr>
      <w:pStyle w:val="Nagwek"/>
      <w:jc w:val="right"/>
    </w:pPr>
    <w:r w:rsidRPr="0035163A">
      <w:rPr>
        <w:i/>
        <w:iCs/>
      </w:rPr>
      <w:t xml:space="preserve">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1BC" w:rsidRPr="00603850" w:rsidRDefault="00E751BC" w:rsidP="00E751BC">
    <w:pPr>
      <w:spacing w:after="0" w:line="240" w:lineRule="auto"/>
      <w:jc w:val="right"/>
      <w:rPr>
        <w:rFonts w:eastAsiaTheme="minorHAnsi"/>
        <w:i/>
        <w:sz w:val="20"/>
        <w:szCs w:val="24"/>
        <w:lang w:eastAsia="en-US"/>
      </w:rPr>
    </w:pPr>
    <w:r w:rsidRPr="00603850">
      <w:rPr>
        <w:rFonts w:eastAsiaTheme="minorHAnsi"/>
        <w:i/>
        <w:sz w:val="20"/>
        <w:szCs w:val="24"/>
        <w:lang w:eastAsia="en-US"/>
      </w:rPr>
      <w:t xml:space="preserve">Załącznik </w:t>
    </w:r>
    <w:r w:rsidR="006D0D3F">
      <w:rPr>
        <w:rFonts w:eastAsiaTheme="minorHAnsi"/>
        <w:i/>
        <w:sz w:val="20"/>
        <w:szCs w:val="24"/>
        <w:lang w:eastAsia="en-US"/>
      </w:rPr>
      <w:t xml:space="preserve">nr 8 </w:t>
    </w:r>
    <w:r w:rsidRPr="00603850">
      <w:rPr>
        <w:rFonts w:eastAsiaTheme="minorHAnsi"/>
        <w:i/>
        <w:sz w:val="20"/>
        <w:szCs w:val="24"/>
        <w:lang w:eastAsia="en-US"/>
      </w:rPr>
      <w:t xml:space="preserve">do </w:t>
    </w:r>
    <w:r w:rsidR="007654B7" w:rsidRPr="00603850">
      <w:rPr>
        <w:rFonts w:eastAsiaTheme="minorHAnsi"/>
        <w:i/>
        <w:sz w:val="20"/>
        <w:szCs w:val="24"/>
        <w:lang w:eastAsia="en-US"/>
      </w:rPr>
      <w:t>Regulaminu konkursu</w:t>
    </w:r>
  </w:p>
  <w:p w:rsidR="00E751BC" w:rsidRPr="006B0E81" w:rsidRDefault="00603850" w:rsidP="00E751BC">
    <w:pPr>
      <w:spacing w:after="0" w:line="240" w:lineRule="auto"/>
      <w:jc w:val="right"/>
      <w:rPr>
        <w:rFonts w:eastAsiaTheme="minorHAnsi"/>
        <w:i/>
        <w:sz w:val="20"/>
        <w:szCs w:val="24"/>
        <w:u w:val="single"/>
        <w:lang w:eastAsia="en-US"/>
      </w:rPr>
    </w:pPr>
    <w:r>
      <w:rPr>
        <w:rFonts w:eastAsia="Calibri"/>
        <w:i/>
        <w:noProof/>
        <w:sz w:val="20"/>
        <w:szCs w:val="24"/>
      </w:rPr>
      <w:t>Działanie</w:t>
    </w:r>
    <w:r w:rsidR="00E751BC">
      <w:rPr>
        <w:rFonts w:eastAsia="Calibri"/>
        <w:i/>
        <w:noProof/>
        <w:sz w:val="20"/>
        <w:szCs w:val="24"/>
      </w:rPr>
      <w:t xml:space="preserve"> 5.</w:t>
    </w:r>
    <w:r w:rsidR="002D358D">
      <w:rPr>
        <w:rFonts w:eastAsia="Calibri"/>
        <w:i/>
        <w:noProof/>
        <w:sz w:val="20"/>
        <w:szCs w:val="24"/>
      </w:rPr>
      <w:t>4 Gospodarka wodno-ściekowa</w:t>
    </w:r>
    <w:r w:rsidR="007654B7">
      <w:rPr>
        <w:rFonts w:eastAsia="Calibri"/>
        <w:i/>
        <w:noProof/>
        <w:sz w:val="20"/>
        <w:szCs w:val="24"/>
      </w:rPr>
      <w:t xml:space="preserve"> </w:t>
    </w:r>
    <w:r w:rsidR="00E751BC">
      <w:rPr>
        <w:rFonts w:eastAsiaTheme="minorHAnsi"/>
        <w:i/>
        <w:sz w:val="20"/>
        <w:szCs w:val="24"/>
        <w:lang w:eastAsia="en-US"/>
      </w:rPr>
      <w:t>RPO WO 2014-2020</w:t>
    </w:r>
    <w:r>
      <w:rPr>
        <w:rFonts w:eastAsiaTheme="minorHAnsi"/>
        <w:i/>
        <w:sz w:val="20"/>
        <w:szCs w:val="24"/>
        <w:lang w:eastAsia="en-US"/>
      </w:rPr>
      <w:t xml:space="preserve"> Nabór I</w:t>
    </w:r>
  </w:p>
  <w:p w:rsidR="00E751BC" w:rsidRPr="006B0E81" w:rsidRDefault="00E751BC" w:rsidP="00E751BC">
    <w:pPr>
      <w:tabs>
        <w:tab w:val="center" w:pos="4536"/>
        <w:tab w:val="right" w:pos="9072"/>
      </w:tabs>
      <w:jc w:val="right"/>
      <w:rPr>
        <w:rFonts w:ascii="Times New Roman" w:eastAsia="Calibri" w:hAnsi="Times New Roman"/>
        <w:sz w:val="24"/>
        <w:szCs w:val="20"/>
        <w:lang w:eastAsia="x-none"/>
      </w:rPr>
    </w:pPr>
    <w:r w:rsidRPr="006B0E81">
      <w:rPr>
        <w:rFonts w:eastAsia="Calibri"/>
        <w:i/>
        <w:sz w:val="20"/>
        <w:lang w:eastAsia="en-US"/>
      </w:rPr>
      <w:tab/>
    </w:r>
    <w:r w:rsidRPr="006B0E81">
      <w:rPr>
        <w:rFonts w:eastAsia="Calibri"/>
        <w:i/>
        <w:sz w:val="20"/>
        <w:lang w:eastAsia="en-US"/>
      </w:rPr>
      <w:tab/>
      <w:t xml:space="preserve">                                                                                                                                                      </w:t>
    </w:r>
    <w:r w:rsidR="006D0D3F">
      <w:rPr>
        <w:rFonts w:eastAsia="Calibri"/>
        <w:i/>
        <w:sz w:val="20"/>
        <w:lang w:eastAsia="en-US"/>
      </w:rPr>
      <w:t>Wersja nr 1,</w:t>
    </w:r>
    <w:r w:rsidRPr="006B0E81">
      <w:rPr>
        <w:rFonts w:eastAsia="Calibri"/>
        <w:i/>
        <w:sz w:val="20"/>
        <w:lang w:eastAsia="en-US"/>
      </w:rPr>
      <w:t xml:space="preserve"> </w:t>
    </w:r>
    <w:r w:rsidR="002D358D">
      <w:rPr>
        <w:rFonts w:eastAsia="Calibri"/>
        <w:i/>
        <w:sz w:val="20"/>
        <w:lang w:eastAsia="en-US"/>
      </w:rPr>
      <w:t>k</w:t>
    </w:r>
    <w:r w:rsidR="00603850">
      <w:rPr>
        <w:rFonts w:eastAsia="Calibri"/>
        <w:i/>
        <w:sz w:val="20"/>
        <w:lang w:eastAsia="en-US"/>
      </w:rPr>
      <w:t>wiecień</w:t>
    </w:r>
    <w:r w:rsidRPr="006B0E81">
      <w:rPr>
        <w:rFonts w:eastAsia="Calibri"/>
        <w:i/>
        <w:sz w:val="20"/>
        <w:lang w:eastAsia="en-US"/>
      </w:rPr>
      <w:t xml:space="preserve"> 201</w:t>
    </w:r>
    <w:r w:rsidR="00603850">
      <w:rPr>
        <w:rFonts w:eastAsia="Calibri"/>
        <w:i/>
        <w:sz w:val="20"/>
        <w:lang w:eastAsia="en-US"/>
      </w:rPr>
      <w:t>8</w:t>
    </w:r>
    <w:r w:rsidRPr="006B0E81">
      <w:rPr>
        <w:rFonts w:eastAsia="Calibri"/>
        <w:i/>
        <w:sz w:val="20"/>
        <w:lang w:eastAsia="en-US"/>
      </w:rPr>
      <w:t xml:space="preserve">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F3400"/>
    <w:multiLevelType w:val="hybridMultilevel"/>
    <w:tmpl w:val="251E33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D5F02"/>
    <w:multiLevelType w:val="hybridMultilevel"/>
    <w:tmpl w:val="3F40CF4C"/>
    <w:lvl w:ilvl="0" w:tplc="8F343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C5D93"/>
    <w:multiLevelType w:val="hybridMultilevel"/>
    <w:tmpl w:val="3BDA98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97924"/>
    <w:multiLevelType w:val="hybridMultilevel"/>
    <w:tmpl w:val="8850CCB6"/>
    <w:lvl w:ilvl="0" w:tplc="D6C83EB4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556F3C"/>
    <w:multiLevelType w:val="hybridMultilevel"/>
    <w:tmpl w:val="202EEB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111222"/>
    <w:multiLevelType w:val="hybridMultilevel"/>
    <w:tmpl w:val="C1E26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CC3357"/>
    <w:multiLevelType w:val="hybridMultilevel"/>
    <w:tmpl w:val="C0FAE4B6"/>
    <w:lvl w:ilvl="0" w:tplc="D3E81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CE0765"/>
    <w:multiLevelType w:val="hybridMultilevel"/>
    <w:tmpl w:val="CB029A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42B65"/>
    <w:multiLevelType w:val="hybridMultilevel"/>
    <w:tmpl w:val="E6A836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D14F80"/>
    <w:multiLevelType w:val="hybridMultilevel"/>
    <w:tmpl w:val="CB2CD416"/>
    <w:lvl w:ilvl="0" w:tplc="BD88C1D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EF764E"/>
    <w:multiLevelType w:val="hybridMultilevel"/>
    <w:tmpl w:val="5D96AE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8910BA"/>
    <w:multiLevelType w:val="hybridMultilevel"/>
    <w:tmpl w:val="E50C8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B55FE5"/>
    <w:multiLevelType w:val="hybridMultilevel"/>
    <w:tmpl w:val="4A90F7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4C0952"/>
    <w:multiLevelType w:val="hybridMultilevel"/>
    <w:tmpl w:val="6AB066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E16DC0"/>
    <w:multiLevelType w:val="hybridMultilevel"/>
    <w:tmpl w:val="7DAC8F4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59515398"/>
    <w:multiLevelType w:val="hybridMultilevel"/>
    <w:tmpl w:val="6AB066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7A2F62"/>
    <w:multiLevelType w:val="hybridMultilevel"/>
    <w:tmpl w:val="2AF2E0A4"/>
    <w:lvl w:ilvl="0" w:tplc="7A36CC9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D95BFA"/>
    <w:multiLevelType w:val="hybridMultilevel"/>
    <w:tmpl w:val="811C8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A57E86"/>
    <w:multiLevelType w:val="hybridMultilevel"/>
    <w:tmpl w:val="7C1CD4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7446DF"/>
    <w:multiLevelType w:val="hybridMultilevel"/>
    <w:tmpl w:val="229074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095CDE"/>
    <w:multiLevelType w:val="hybridMultilevel"/>
    <w:tmpl w:val="0C00DE92"/>
    <w:lvl w:ilvl="0" w:tplc="8F343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B91093"/>
    <w:multiLevelType w:val="hybridMultilevel"/>
    <w:tmpl w:val="DFCE6316"/>
    <w:lvl w:ilvl="0" w:tplc="ABEC2F2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696FC8"/>
    <w:multiLevelType w:val="hybridMultilevel"/>
    <w:tmpl w:val="06B46B00"/>
    <w:lvl w:ilvl="0" w:tplc="7FD81E6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BD495D"/>
    <w:multiLevelType w:val="hybridMultilevel"/>
    <w:tmpl w:val="71D6A4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0"/>
  </w:num>
  <w:num w:numId="3">
    <w:abstractNumId w:val="6"/>
  </w:num>
  <w:num w:numId="4">
    <w:abstractNumId w:val="22"/>
  </w:num>
  <w:num w:numId="5">
    <w:abstractNumId w:val="21"/>
  </w:num>
  <w:num w:numId="6">
    <w:abstractNumId w:val="19"/>
  </w:num>
  <w:num w:numId="7">
    <w:abstractNumId w:val="17"/>
  </w:num>
  <w:num w:numId="8">
    <w:abstractNumId w:val="9"/>
  </w:num>
  <w:num w:numId="9">
    <w:abstractNumId w:val="11"/>
  </w:num>
  <w:num w:numId="10">
    <w:abstractNumId w:val="7"/>
  </w:num>
  <w:num w:numId="11">
    <w:abstractNumId w:val="15"/>
  </w:num>
  <w:num w:numId="12">
    <w:abstractNumId w:val="16"/>
  </w:num>
  <w:num w:numId="13">
    <w:abstractNumId w:val="3"/>
  </w:num>
  <w:num w:numId="14">
    <w:abstractNumId w:val="4"/>
  </w:num>
  <w:num w:numId="15">
    <w:abstractNumId w:val="0"/>
  </w:num>
  <w:num w:numId="16">
    <w:abstractNumId w:val="14"/>
  </w:num>
  <w:num w:numId="17">
    <w:abstractNumId w:val="5"/>
  </w:num>
  <w:num w:numId="18">
    <w:abstractNumId w:val="10"/>
  </w:num>
  <w:num w:numId="19">
    <w:abstractNumId w:val="2"/>
  </w:num>
  <w:num w:numId="20">
    <w:abstractNumId w:val="8"/>
  </w:num>
  <w:num w:numId="21">
    <w:abstractNumId w:val="18"/>
  </w:num>
  <w:num w:numId="22">
    <w:abstractNumId w:val="12"/>
  </w:num>
  <w:num w:numId="23">
    <w:abstractNumId w:val="1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597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621"/>
    <w:rsid w:val="00002989"/>
    <w:rsid w:val="00003A52"/>
    <w:rsid w:val="00005649"/>
    <w:rsid w:val="00006354"/>
    <w:rsid w:val="00007B56"/>
    <w:rsid w:val="00011494"/>
    <w:rsid w:val="00011B8E"/>
    <w:rsid w:val="00015583"/>
    <w:rsid w:val="00015782"/>
    <w:rsid w:val="00015DEA"/>
    <w:rsid w:val="000168FD"/>
    <w:rsid w:val="00016AEA"/>
    <w:rsid w:val="0001705E"/>
    <w:rsid w:val="0002289B"/>
    <w:rsid w:val="00031554"/>
    <w:rsid w:val="000319A0"/>
    <w:rsid w:val="0003254D"/>
    <w:rsid w:val="00033A13"/>
    <w:rsid w:val="00033DB6"/>
    <w:rsid w:val="00035BDD"/>
    <w:rsid w:val="00035EA1"/>
    <w:rsid w:val="00041C35"/>
    <w:rsid w:val="000513EE"/>
    <w:rsid w:val="0005308B"/>
    <w:rsid w:val="00055EE7"/>
    <w:rsid w:val="00056BBD"/>
    <w:rsid w:val="00057063"/>
    <w:rsid w:val="00057CCC"/>
    <w:rsid w:val="00060182"/>
    <w:rsid w:val="00062C8B"/>
    <w:rsid w:val="00063C1C"/>
    <w:rsid w:val="00063E65"/>
    <w:rsid w:val="000653E0"/>
    <w:rsid w:val="00070958"/>
    <w:rsid w:val="00083072"/>
    <w:rsid w:val="00083B3C"/>
    <w:rsid w:val="00086315"/>
    <w:rsid w:val="000908A9"/>
    <w:rsid w:val="00092958"/>
    <w:rsid w:val="000A0476"/>
    <w:rsid w:val="000A3386"/>
    <w:rsid w:val="000A34FA"/>
    <w:rsid w:val="000A4AD5"/>
    <w:rsid w:val="000B2A7F"/>
    <w:rsid w:val="000B6D33"/>
    <w:rsid w:val="000C10F8"/>
    <w:rsid w:val="000C3CA1"/>
    <w:rsid w:val="000C624D"/>
    <w:rsid w:val="000C7B3F"/>
    <w:rsid w:val="000D0CAC"/>
    <w:rsid w:val="000D1802"/>
    <w:rsid w:val="000D4701"/>
    <w:rsid w:val="000D53AC"/>
    <w:rsid w:val="000D589C"/>
    <w:rsid w:val="000E1053"/>
    <w:rsid w:val="000E521A"/>
    <w:rsid w:val="000E5944"/>
    <w:rsid w:val="000E67E8"/>
    <w:rsid w:val="000E7D3B"/>
    <w:rsid w:val="000F6829"/>
    <w:rsid w:val="000F7226"/>
    <w:rsid w:val="00104C40"/>
    <w:rsid w:val="00112769"/>
    <w:rsid w:val="001137A4"/>
    <w:rsid w:val="00113F1F"/>
    <w:rsid w:val="001140C9"/>
    <w:rsid w:val="00114285"/>
    <w:rsid w:val="00114A0B"/>
    <w:rsid w:val="00116F45"/>
    <w:rsid w:val="001304E2"/>
    <w:rsid w:val="00136E1A"/>
    <w:rsid w:val="00137AD2"/>
    <w:rsid w:val="00140962"/>
    <w:rsid w:val="00140E83"/>
    <w:rsid w:val="00142E61"/>
    <w:rsid w:val="00143417"/>
    <w:rsid w:val="00144712"/>
    <w:rsid w:val="001455D7"/>
    <w:rsid w:val="00151AFA"/>
    <w:rsid w:val="00152204"/>
    <w:rsid w:val="001534AE"/>
    <w:rsid w:val="0015374E"/>
    <w:rsid w:val="00153BE9"/>
    <w:rsid w:val="00157848"/>
    <w:rsid w:val="00157ED6"/>
    <w:rsid w:val="001657A9"/>
    <w:rsid w:val="0016785D"/>
    <w:rsid w:val="0017178D"/>
    <w:rsid w:val="00173EA5"/>
    <w:rsid w:val="0018259B"/>
    <w:rsid w:val="00195DF3"/>
    <w:rsid w:val="00195E0A"/>
    <w:rsid w:val="001A2230"/>
    <w:rsid w:val="001A32D2"/>
    <w:rsid w:val="001A7097"/>
    <w:rsid w:val="001C0B0B"/>
    <w:rsid w:val="001D2995"/>
    <w:rsid w:val="001D2DFD"/>
    <w:rsid w:val="001D3621"/>
    <w:rsid w:val="001D577F"/>
    <w:rsid w:val="001D5EF7"/>
    <w:rsid w:val="001E3C79"/>
    <w:rsid w:val="001E4C2E"/>
    <w:rsid w:val="002000C8"/>
    <w:rsid w:val="00203C38"/>
    <w:rsid w:val="0020483D"/>
    <w:rsid w:val="00205CB0"/>
    <w:rsid w:val="00207688"/>
    <w:rsid w:val="00207D6F"/>
    <w:rsid w:val="00215234"/>
    <w:rsid w:val="002165B4"/>
    <w:rsid w:val="002165FB"/>
    <w:rsid w:val="00216A64"/>
    <w:rsid w:val="002174D7"/>
    <w:rsid w:val="00223ACF"/>
    <w:rsid w:val="00223C52"/>
    <w:rsid w:val="00223F9A"/>
    <w:rsid w:val="00225398"/>
    <w:rsid w:val="0022603F"/>
    <w:rsid w:val="00227418"/>
    <w:rsid w:val="0022788D"/>
    <w:rsid w:val="00231CD3"/>
    <w:rsid w:val="00235E84"/>
    <w:rsid w:val="00237CA0"/>
    <w:rsid w:val="00241BB5"/>
    <w:rsid w:val="002444C3"/>
    <w:rsid w:val="00246DE0"/>
    <w:rsid w:val="00250FC1"/>
    <w:rsid w:val="0025416E"/>
    <w:rsid w:val="00255D75"/>
    <w:rsid w:val="0025693C"/>
    <w:rsid w:val="002619FC"/>
    <w:rsid w:val="00261C22"/>
    <w:rsid w:val="00270DF7"/>
    <w:rsid w:val="00271825"/>
    <w:rsid w:val="00272A56"/>
    <w:rsid w:val="00273954"/>
    <w:rsid w:val="00274732"/>
    <w:rsid w:val="00274A5D"/>
    <w:rsid w:val="00281EF9"/>
    <w:rsid w:val="00286A51"/>
    <w:rsid w:val="00286FEE"/>
    <w:rsid w:val="00291F0A"/>
    <w:rsid w:val="0029232B"/>
    <w:rsid w:val="00292A71"/>
    <w:rsid w:val="00293876"/>
    <w:rsid w:val="002A05B4"/>
    <w:rsid w:val="002A05D6"/>
    <w:rsid w:val="002A2D17"/>
    <w:rsid w:val="002A3708"/>
    <w:rsid w:val="002A4294"/>
    <w:rsid w:val="002A5161"/>
    <w:rsid w:val="002B6EAB"/>
    <w:rsid w:val="002B74DE"/>
    <w:rsid w:val="002C02F8"/>
    <w:rsid w:val="002C166D"/>
    <w:rsid w:val="002D1FFD"/>
    <w:rsid w:val="002D358D"/>
    <w:rsid w:val="002D3B2C"/>
    <w:rsid w:val="002E195D"/>
    <w:rsid w:val="002E41A2"/>
    <w:rsid w:val="002E44DF"/>
    <w:rsid w:val="002E46F4"/>
    <w:rsid w:val="002F24F9"/>
    <w:rsid w:val="002F3149"/>
    <w:rsid w:val="002F33BC"/>
    <w:rsid w:val="003073B4"/>
    <w:rsid w:val="00307EDB"/>
    <w:rsid w:val="00312D4D"/>
    <w:rsid w:val="003139D0"/>
    <w:rsid w:val="00320459"/>
    <w:rsid w:val="003317C9"/>
    <w:rsid w:val="0033221C"/>
    <w:rsid w:val="00335B0D"/>
    <w:rsid w:val="003414F1"/>
    <w:rsid w:val="00342EC8"/>
    <w:rsid w:val="00350F73"/>
    <w:rsid w:val="0035163A"/>
    <w:rsid w:val="00355D2E"/>
    <w:rsid w:val="00357688"/>
    <w:rsid w:val="0036037A"/>
    <w:rsid w:val="00365665"/>
    <w:rsid w:val="00367BF2"/>
    <w:rsid w:val="00370E0C"/>
    <w:rsid w:val="00377C57"/>
    <w:rsid w:val="00386AE6"/>
    <w:rsid w:val="00392470"/>
    <w:rsid w:val="00392E28"/>
    <w:rsid w:val="00394920"/>
    <w:rsid w:val="00396A00"/>
    <w:rsid w:val="003A0EBC"/>
    <w:rsid w:val="003A1F2D"/>
    <w:rsid w:val="003B30A8"/>
    <w:rsid w:val="003B3940"/>
    <w:rsid w:val="003B4F9A"/>
    <w:rsid w:val="003C02D6"/>
    <w:rsid w:val="003C6DBA"/>
    <w:rsid w:val="003C7A00"/>
    <w:rsid w:val="003D2FB7"/>
    <w:rsid w:val="003D4DB5"/>
    <w:rsid w:val="003E24A3"/>
    <w:rsid w:val="003E6FA5"/>
    <w:rsid w:val="003F1C14"/>
    <w:rsid w:val="003F6F05"/>
    <w:rsid w:val="003F72FA"/>
    <w:rsid w:val="0040005D"/>
    <w:rsid w:val="004013E2"/>
    <w:rsid w:val="00401E7A"/>
    <w:rsid w:val="0041762F"/>
    <w:rsid w:val="00423636"/>
    <w:rsid w:val="00423AD3"/>
    <w:rsid w:val="0042589E"/>
    <w:rsid w:val="00433964"/>
    <w:rsid w:val="00436C1C"/>
    <w:rsid w:val="004456DF"/>
    <w:rsid w:val="0044584A"/>
    <w:rsid w:val="00447214"/>
    <w:rsid w:val="00447566"/>
    <w:rsid w:val="004515CA"/>
    <w:rsid w:val="004578AB"/>
    <w:rsid w:val="00460BDF"/>
    <w:rsid w:val="00461960"/>
    <w:rsid w:val="004620F2"/>
    <w:rsid w:val="0046343A"/>
    <w:rsid w:val="004659A1"/>
    <w:rsid w:val="00465E01"/>
    <w:rsid w:val="00471C14"/>
    <w:rsid w:val="00472925"/>
    <w:rsid w:val="004778B0"/>
    <w:rsid w:val="00477BEF"/>
    <w:rsid w:val="004804E3"/>
    <w:rsid w:val="0048092C"/>
    <w:rsid w:val="00482E2D"/>
    <w:rsid w:val="00485CA1"/>
    <w:rsid w:val="0048606E"/>
    <w:rsid w:val="004932C9"/>
    <w:rsid w:val="00495F8C"/>
    <w:rsid w:val="00497185"/>
    <w:rsid w:val="004A0D76"/>
    <w:rsid w:val="004A2391"/>
    <w:rsid w:val="004A6707"/>
    <w:rsid w:val="004B158F"/>
    <w:rsid w:val="004B3AB1"/>
    <w:rsid w:val="004B6AE1"/>
    <w:rsid w:val="004B7BA6"/>
    <w:rsid w:val="004C3662"/>
    <w:rsid w:val="004D3FEA"/>
    <w:rsid w:val="004D48D9"/>
    <w:rsid w:val="004E1993"/>
    <w:rsid w:val="004E311C"/>
    <w:rsid w:val="004E5215"/>
    <w:rsid w:val="004E5F90"/>
    <w:rsid w:val="004F4063"/>
    <w:rsid w:val="004F6E63"/>
    <w:rsid w:val="004F6F1C"/>
    <w:rsid w:val="004F7079"/>
    <w:rsid w:val="004F79CB"/>
    <w:rsid w:val="00502D55"/>
    <w:rsid w:val="005111F8"/>
    <w:rsid w:val="00512467"/>
    <w:rsid w:val="00514EDC"/>
    <w:rsid w:val="00517B7D"/>
    <w:rsid w:val="00520916"/>
    <w:rsid w:val="005213CE"/>
    <w:rsid w:val="00530513"/>
    <w:rsid w:val="00540C82"/>
    <w:rsid w:val="00541616"/>
    <w:rsid w:val="005425C2"/>
    <w:rsid w:val="005436B1"/>
    <w:rsid w:val="00543EC3"/>
    <w:rsid w:val="00547178"/>
    <w:rsid w:val="0054723E"/>
    <w:rsid w:val="00552E0D"/>
    <w:rsid w:val="0056038C"/>
    <w:rsid w:val="00562F75"/>
    <w:rsid w:val="00566264"/>
    <w:rsid w:val="00566E22"/>
    <w:rsid w:val="0057438E"/>
    <w:rsid w:val="00575609"/>
    <w:rsid w:val="00576345"/>
    <w:rsid w:val="00582F36"/>
    <w:rsid w:val="00584FD2"/>
    <w:rsid w:val="005870AE"/>
    <w:rsid w:val="00587391"/>
    <w:rsid w:val="005900E5"/>
    <w:rsid w:val="00594165"/>
    <w:rsid w:val="00596D0D"/>
    <w:rsid w:val="005A14CC"/>
    <w:rsid w:val="005A482D"/>
    <w:rsid w:val="005A6868"/>
    <w:rsid w:val="005B053A"/>
    <w:rsid w:val="005B10D2"/>
    <w:rsid w:val="005B1FDC"/>
    <w:rsid w:val="005B23E6"/>
    <w:rsid w:val="005C2170"/>
    <w:rsid w:val="005C418D"/>
    <w:rsid w:val="005D05E1"/>
    <w:rsid w:val="005D30DE"/>
    <w:rsid w:val="005D7AA5"/>
    <w:rsid w:val="005E2761"/>
    <w:rsid w:val="005E27C3"/>
    <w:rsid w:val="005E30B8"/>
    <w:rsid w:val="005E3578"/>
    <w:rsid w:val="005E7406"/>
    <w:rsid w:val="005F112B"/>
    <w:rsid w:val="005F1948"/>
    <w:rsid w:val="005F64F6"/>
    <w:rsid w:val="005F6616"/>
    <w:rsid w:val="00601958"/>
    <w:rsid w:val="00601A79"/>
    <w:rsid w:val="00601E76"/>
    <w:rsid w:val="00603850"/>
    <w:rsid w:val="00612750"/>
    <w:rsid w:val="00617E85"/>
    <w:rsid w:val="00625468"/>
    <w:rsid w:val="00627DDB"/>
    <w:rsid w:val="0063106F"/>
    <w:rsid w:val="0063254B"/>
    <w:rsid w:val="00635E43"/>
    <w:rsid w:val="00640991"/>
    <w:rsid w:val="0064192E"/>
    <w:rsid w:val="00641F8D"/>
    <w:rsid w:val="0065404E"/>
    <w:rsid w:val="00657EC9"/>
    <w:rsid w:val="006621DF"/>
    <w:rsid w:val="00662786"/>
    <w:rsid w:val="006629E4"/>
    <w:rsid w:val="00662B00"/>
    <w:rsid w:val="00670B55"/>
    <w:rsid w:val="006733B1"/>
    <w:rsid w:val="0067563E"/>
    <w:rsid w:val="00677E9F"/>
    <w:rsid w:val="00682236"/>
    <w:rsid w:val="0068373D"/>
    <w:rsid w:val="00685D96"/>
    <w:rsid w:val="00687E5A"/>
    <w:rsid w:val="00691091"/>
    <w:rsid w:val="00691C14"/>
    <w:rsid w:val="00692AF4"/>
    <w:rsid w:val="006A1730"/>
    <w:rsid w:val="006A3A60"/>
    <w:rsid w:val="006A44E5"/>
    <w:rsid w:val="006A6510"/>
    <w:rsid w:val="006A7698"/>
    <w:rsid w:val="006A7E5A"/>
    <w:rsid w:val="006B0AD6"/>
    <w:rsid w:val="006B0EDE"/>
    <w:rsid w:val="006B13AA"/>
    <w:rsid w:val="006B6D0A"/>
    <w:rsid w:val="006B6E11"/>
    <w:rsid w:val="006B6E44"/>
    <w:rsid w:val="006C1039"/>
    <w:rsid w:val="006C178D"/>
    <w:rsid w:val="006C452F"/>
    <w:rsid w:val="006C54F1"/>
    <w:rsid w:val="006D0D3F"/>
    <w:rsid w:val="006D162A"/>
    <w:rsid w:val="006D307B"/>
    <w:rsid w:val="006D6C70"/>
    <w:rsid w:val="006F1B2C"/>
    <w:rsid w:val="006F42E6"/>
    <w:rsid w:val="006F57DD"/>
    <w:rsid w:val="006F5963"/>
    <w:rsid w:val="00700637"/>
    <w:rsid w:val="00702EF1"/>
    <w:rsid w:val="007055BC"/>
    <w:rsid w:val="00706A63"/>
    <w:rsid w:val="00707207"/>
    <w:rsid w:val="00707B16"/>
    <w:rsid w:val="007109A7"/>
    <w:rsid w:val="00711603"/>
    <w:rsid w:val="00712637"/>
    <w:rsid w:val="007132A9"/>
    <w:rsid w:val="00713693"/>
    <w:rsid w:val="0072197A"/>
    <w:rsid w:val="00722E29"/>
    <w:rsid w:val="00723497"/>
    <w:rsid w:val="00725343"/>
    <w:rsid w:val="007315C9"/>
    <w:rsid w:val="007317B9"/>
    <w:rsid w:val="00733355"/>
    <w:rsid w:val="00735B8E"/>
    <w:rsid w:val="0074087F"/>
    <w:rsid w:val="007411F6"/>
    <w:rsid w:val="00742DC9"/>
    <w:rsid w:val="00743327"/>
    <w:rsid w:val="007435C8"/>
    <w:rsid w:val="0075259A"/>
    <w:rsid w:val="00753583"/>
    <w:rsid w:val="00761C40"/>
    <w:rsid w:val="00761E9C"/>
    <w:rsid w:val="007622B2"/>
    <w:rsid w:val="0076425E"/>
    <w:rsid w:val="007654B7"/>
    <w:rsid w:val="0077585D"/>
    <w:rsid w:val="00775F46"/>
    <w:rsid w:val="00776B74"/>
    <w:rsid w:val="00776FBF"/>
    <w:rsid w:val="00777501"/>
    <w:rsid w:val="0078220F"/>
    <w:rsid w:val="0078315A"/>
    <w:rsid w:val="00783598"/>
    <w:rsid w:val="0079238A"/>
    <w:rsid w:val="00792C28"/>
    <w:rsid w:val="007966C1"/>
    <w:rsid w:val="007A0CC2"/>
    <w:rsid w:val="007A3259"/>
    <w:rsid w:val="007C1739"/>
    <w:rsid w:val="007D2154"/>
    <w:rsid w:val="007D2C0A"/>
    <w:rsid w:val="007D4131"/>
    <w:rsid w:val="007D4C96"/>
    <w:rsid w:val="007D57BB"/>
    <w:rsid w:val="007D6614"/>
    <w:rsid w:val="007D70C6"/>
    <w:rsid w:val="007E0180"/>
    <w:rsid w:val="007E22E7"/>
    <w:rsid w:val="007E258D"/>
    <w:rsid w:val="007E36C2"/>
    <w:rsid w:val="007E57EC"/>
    <w:rsid w:val="007F44C2"/>
    <w:rsid w:val="007F7D1D"/>
    <w:rsid w:val="00800FA4"/>
    <w:rsid w:val="0080194C"/>
    <w:rsid w:val="00803732"/>
    <w:rsid w:val="008054D4"/>
    <w:rsid w:val="00810701"/>
    <w:rsid w:val="00813E26"/>
    <w:rsid w:val="00823069"/>
    <w:rsid w:val="008245BD"/>
    <w:rsid w:val="0082495A"/>
    <w:rsid w:val="00831BFC"/>
    <w:rsid w:val="00842F3A"/>
    <w:rsid w:val="008455F7"/>
    <w:rsid w:val="00846033"/>
    <w:rsid w:val="008465CF"/>
    <w:rsid w:val="008478D9"/>
    <w:rsid w:val="00856D21"/>
    <w:rsid w:val="00856DFC"/>
    <w:rsid w:val="00857429"/>
    <w:rsid w:val="0086008B"/>
    <w:rsid w:val="008601B4"/>
    <w:rsid w:val="00860C57"/>
    <w:rsid w:val="00861EFF"/>
    <w:rsid w:val="00864144"/>
    <w:rsid w:val="00864AC8"/>
    <w:rsid w:val="00876AB5"/>
    <w:rsid w:val="00881365"/>
    <w:rsid w:val="00881689"/>
    <w:rsid w:val="00883C42"/>
    <w:rsid w:val="008854C0"/>
    <w:rsid w:val="00886741"/>
    <w:rsid w:val="00892C10"/>
    <w:rsid w:val="00892C4D"/>
    <w:rsid w:val="008950B0"/>
    <w:rsid w:val="008971CC"/>
    <w:rsid w:val="008974AB"/>
    <w:rsid w:val="00897C75"/>
    <w:rsid w:val="008A025F"/>
    <w:rsid w:val="008A243D"/>
    <w:rsid w:val="008A2D2C"/>
    <w:rsid w:val="008B1998"/>
    <w:rsid w:val="008B24BB"/>
    <w:rsid w:val="008B46A5"/>
    <w:rsid w:val="008B5374"/>
    <w:rsid w:val="008B712F"/>
    <w:rsid w:val="008B7F87"/>
    <w:rsid w:val="008C3081"/>
    <w:rsid w:val="008D3539"/>
    <w:rsid w:val="008D3658"/>
    <w:rsid w:val="008D6830"/>
    <w:rsid w:val="008D7B42"/>
    <w:rsid w:val="008E155A"/>
    <w:rsid w:val="008E2352"/>
    <w:rsid w:val="008E4863"/>
    <w:rsid w:val="008F5666"/>
    <w:rsid w:val="0091369F"/>
    <w:rsid w:val="00914AB9"/>
    <w:rsid w:val="009225BC"/>
    <w:rsid w:val="00926866"/>
    <w:rsid w:val="00931CC6"/>
    <w:rsid w:val="00933DF1"/>
    <w:rsid w:val="009344F5"/>
    <w:rsid w:val="00935463"/>
    <w:rsid w:val="00936AE6"/>
    <w:rsid w:val="00943756"/>
    <w:rsid w:val="009513F8"/>
    <w:rsid w:val="0095216E"/>
    <w:rsid w:val="009536C3"/>
    <w:rsid w:val="00955A24"/>
    <w:rsid w:val="009566FF"/>
    <w:rsid w:val="00956722"/>
    <w:rsid w:val="00956B26"/>
    <w:rsid w:val="00964523"/>
    <w:rsid w:val="009731A6"/>
    <w:rsid w:val="0097558C"/>
    <w:rsid w:val="009757CF"/>
    <w:rsid w:val="00975C0F"/>
    <w:rsid w:val="00975D45"/>
    <w:rsid w:val="00977EB6"/>
    <w:rsid w:val="00980388"/>
    <w:rsid w:val="009820C9"/>
    <w:rsid w:val="00983378"/>
    <w:rsid w:val="00983E81"/>
    <w:rsid w:val="00985C49"/>
    <w:rsid w:val="00987B6C"/>
    <w:rsid w:val="009902EE"/>
    <w:rsid w:val="00992F7F"/>
    <w:rsid w:val="00994397"/>
    <w:rsid w:val="00994568"/>
    <w:rsid w:val="00994A01"/>
    <w:rsid w:val="00994ABE"/>
    <w:rsid w:val="009A000A"/>
    <w:rsid w:val="009A10EC"/>
    <w:rsid w:val="009A4E00"/>
    <w:rsid w:val="009A4E3E"/>
    <w:rsid w:val="009B1058"/>
    <w:rsid w:val="009B42E2"/>
    <w:rsid w:val="009B43AE"/>
    <w:rsid w:val="009C02A6"/>
    <w:rsid w:val="009C0422"/>
    <w:rsid w:val="009C1D1E"/>
    <w:rsid w:val="009C6017"/>
    <w:rsid w:val="009C7267"/>
    <w:rsid w:val="009D2DA4"/>
    <w:rsid w:val="009D4AA7"/>
    <w:rsid w:val="009D5E42"/>
    <w:rsid w:val="009E1121"/>
    <w:rsid w:val="009E3C4A"/>
    <w:rsid w:val="009E3E20"/>
    <w:rsid w:val="009E429B"/>
    <w:rsid w:val="009E43B9"/>
    <w:rsid w:val="009F0E49"/>
    <w:rsid w:val="009F2FB4"/>
    <w:rsid w:val="009F465D"/>
    <w:rsid w:val="00A0026A"/>
    <w:rsid w:val="00A0238A"/>
    <w:rsid w:val="00A0361E"/>
    <w:rsid w:val="00A063E4"/>
    <w:rsid w:val="00A11280"/>
    <w:rsid w:val="00A146A3"/>
    <w:rsid w:val="00A1537D"/>
    <w:rsid w:val="00A166D4"/>
    <w:rsid w:val="00A21B3F"/>
    <w:rsid w:val="00A21E6D"/>
    <w:rsid w:val="00A22820"/>
    <w:rsid w:val="00A2382C"/>
    <w:rsid w:val="00A305EB"/>
    <w:rsid w:val="00A30643"/>
    <w:rsid w:val="00A30932"/>
    <w:rsid w:val="00A326AC"/>
    <w:rsid w:val="00A335D1"/>
    <w:rsid w:val="00A36F99"/>
    <w:rsid w:val="00A37C82"/>
    <w:rsid w:val="00A41F51"/>
    <w:rsid w:val="00A425B6"/>
    <w:rsid w:val="00A42BB9"/>
    <w:rsid w:val="00A43A26"/>
    <w:rsid w:val="00A44759"/>
    <w:rsid w:val="00A46E50"/>
    <w:rsid w:val="00A5539C"/>
    <w:rsid w:val="00A55607"/>
    <w:rsid w:val="00A566FE"/>
    <w:rsid w:val="00A56BFA"/>
    <w:rsid w:val="00A610C3"/>
    <w:rsid w:val="00A64DF5"/>
    <w:rsid w:val="00A67684"/>
    <w:rsid w:val="00A67B81"/>
    <w:rsid w:val="00A717A6"/>
    <w:rsid w:val="00A71CF0"/>
    <w:rsid w:val="00A729B2"/>
    <w:rsid w:val="00A72B86"/>
    <w:rsid w:val="00A73517"/>
    <w:rsid w:val="00A73F94"/>
    <w:rsid w:val="00A74410"/>
    <w:rsid w:val="00A74978"/>
    <w:rsid w:val="00A77BAB"/>
    <w:rsid w:val="00A91E48"/>
    <w:rsid w:val="00A92156"/>
    <w:rsid w:val="00A93409"/>
    <w:rsid w:val="00A93EDF"/>
    <w:rsid w:val="00AA02ED"/>
    <w:rsid w:val="00AA16EA"/>
    <w:rsid w:val="00AA17E8"/>
    <w:rsid w:val="00AA2DA2"/>
    <w:rsid w:val="00AA5ABD"/>
    <w:rsid w:val="00AA6D21"/>
    <w:rsid w:val="00AA7891"/>
    <w:rsid w:val="00AA7AA1"/>
    <w:rsid w:val="00AB1813"/>
    <w:rsid w:val="00AB5598"/>
    <w:rsid w:val="00AC40E9"/>
    <w:rsid w:val="00AC42C2"/>
    <w:rsid w:val="00AC7D5D"/>
    <w:rsid w:val="00AD36BA"/>
    <w:rsid w:val="00AD561C"/>
    <w:rsid w:val="00AD7BF3"/>
    <w:rsid w:val="00AE20BA"/>
    <w:rsid w:val="00AE29BF"/>
    <w:rsid w:val="00AE492F"/>
    <w:rsid w:val="00AE6A13"/>
    <w:rsid w:val="00AF6E20"/>
    <w:rsid w:val="00AF7918"/>
    <w:rsid w:val="00B02F25"/>
    <w:rsid w:val="00B0456B"/>
    <w:rsid w:val="00B07132"/>
    <w:rsid w:val="00B07428"/>
    <w:rsid w:val="00B11FE6"/>
    <w:rsid w:val="00B14D1A"/>
    <w:rsid w:val="00B23042"/>
    <w:rsid w:val="00B24153"/>
    <w:rsid w:val="00B24B36"/>
    <w:rsid w:val="00B2752C"/>
    <w:rsid w:val="00B300BB"/>
    <w:rsid w:val="00B30223"/>
    <w:rsid w:val="00B30275"/>
    <w:rsid w:val="00B400E3"/>
    <w:rsid w:val="00B42BF9"/>
    <w:rsid w:val="00B43D17"/>
    <w:rsid w:val="00B47991"/>
    <w:rsid w:val="00B50A44"/>
    <w:rsid w:val="00B5189D"/>
    <w:rsid w:val="00B5464B"/>
    <w:rsid w:val="00B546F8"/>
    <w:rsid w:val="00B54AF4"/>
    <w:rsid w:val="00B56563"/>
    <w:rsid w:val="00B627EE"/>
    <w:rsid w:val="00B67239"/>
    <w:rsid w:val="00B70521"/>
    <w:rsid w:val="00B7401B"/>
    <w:rsid w:val="00B8092F"/>
    <w:rsid w:val="00B816C0"/>
    <w:rsid w:val="00B86856"/>
    <w:rsid w:val="00B901DE"/>
    <w:rsid w:val="00B9288D"/>
    <w:rsid w:val="00B95CC5"/>
    <w:rsid w:val="00BA057E"/>
    <w:rsid w:val="00BA3F96"/>
    <w:rsid w:val="00BB359B"/>
    <w:rsid w:val="00BB3B5A"/>
    <w:rsid w:val="00BC14B8"/>
    <w:rsid w:val="00BC52C6"/>
    <w:rsid w:val="00BC6511"/>
    <w:rsid w:val="00BC7EE3"/>
    <w:rsid w:val="00BD1809"/>
    <w:rsid w:val="00BD3741"/>
    <w:rsid w:val="00BD623F"/>
    <w:rsid w:val="00BE1108"/>
    <w:rsid w:val="00BE34E0"/>
    <w:rsid w:val="00BE78D2"/>
    <w:rsid w:val="00BF0CA3"/>
    <w:rsid w:val="00BF3654"/>
    <w:rsid w:val="00BF5BE4"/>
    <w:rsid w:val="00C013F9"/>
    <w:rsid w:val="00C04951"/>
    <w:rsid w:val="00C05E3B"/>
    <w:rsid w:val="00C13E93"/>
    <w:rsid w:val="00C169AD"/>
    <w:rsid w:val="00C229BF"/>
    <w:rsid w:val="00C23DD6"/>
    <w:rsid w:val="00C3041C"/>
    <w:rsid w:val="00C41080"/>
    <w:rsid w:val="00C417EC"/>
    <w:rsid w:val="00C43015"/>
    <w:rsid w:val="00C44151"/>
    <w:rsid w:val="00C46439"/>
    <w:rsid w:val="00C501E4"/>
    <w:rsid w:val="00C50F59"/>
    <w:rsid w:val="00C51F3F"/>
    <w:rsid w:val="00C53D87"/>
    <w:rsid w:val="00C63E43"/>
    <w:rsid w:val="00C64505"/>
    <w:rsid w:val="00C65C99"/>
    <w:rsid w:val="00C666B5"/>
    <w:rsid w:val="00C67D59"/>
    <w:rsid w:val="00C71130"/>
    <w:rsid w:val="00C71AEF"/>
    <w:rsid w:val="00C77EF3"/>
    <w:rsid w:val="00C83731"/>
    <w:rsid w:val="00C8445E"/>
    <w:rsid w:val="00C92AB6"/>
    <w:rsid w:val="00C95296"/>
    <w:rsid w:val="00C961C7"/>
    <w:rsid w:val="00CA0118"/>
    <w:rsid w:val="00CA1A8B"/>
    <w:rsid w:val="00CA46CD"/>
    <w:rsid w:val="00CA4F1D"/>
    <w:rsid w:val="00CA717F"/>
    <w:rsid w:val="00CB07A2"/>
    <w:rsid w:val="00CB4183"/>
    <w:rsid w:val="00CB63F2"/>
    <w:rsid w:val="00CB7CC5"/>
    <w:rsid w:val="00CC3D02"/>
    <w:rsid w:val="00CD24D6"/>
    <w:rsid w:val="00CD4756"/>
    <w:rsid w:val="00CD784C"/>
    <w:rsid w:val="00CE045F"/>
    <w:rsid w:val="00CE0CF8"/>
    <w:rsid w:val="00CE24BD"/>
    <w:rsid w:val="00CE4506"/>
    <w:rsid w:val="00CE4515"/>
    <w:rsid w:val="00CE7C90"/>
    <w:rsid w:val="00CE7C94"/>
    <w:rsid w:val="00CF1305"/>
    <w:rsid w:val="00CF3A1F"/>
    <w:rsid w:val="00CF63B0"/>
    <w:rsid w:val="00D01C11"/>
    <w:rsid w:val="00D06A27"/>
    <w:rsid w:val="00D07AF4"/>
    <w:rsid w:val="00D10227"/>
    <w:rsid w:val="00D109D2"/>
    <w:rsid w:val="00D15791"/>
    <w:rsid w:val="00D21207"/>
    <w:rsid w:val="00D26BE8"/>
    <w:rsid w:val="00D27432"/>
    <w:rsid w:val="00D307DB"/>
    <w:rsid w:val="00D30972"/>
    <w:rsid w:val="00D34A8D"/>
    <w:rsid w:val="00D36A60"/>
    <w:rsid w:val="00D4097D"/>
    <w:rsid w:val="00D456E9"/>
    <w:rsid w:val="00D46577"/>
    <w:rsid w:val="00D46775"/>
    <w:rsid w:val="00D47691"/>
    <w:rsid w:val="00D47A5A"/>
    <w:rsid w:val="00D57462"/>
    <w:rsid w:val="00D57F43"/>
    <w:rsid w:val="00D60A01"/>
    <w:rsid w:val="00D62B0D"/>
    <w:rsid w:val="00D70A31"/>
    <w:rsid w:val="00D71325"/>
    <w:rsid w:val="00D74914"/>
    <w:rsid w:val="00D80AAE"/>
    <w:rsid w:val="00D80C14"/>
    <w:rsid w:val="00D83E2E"/>
    <w:rsid w:val="00D84269"/>
    <w:rsid w:val="00D84B6C"/>
    <w:rsid w:val="00D91C0E"/>
    <w:rsid w:val="00D96AEF"/>
    <w:rsid w:val="00D96C0B"/>
    <w:rsid w:val="00D96CA8"/>
    <w:rsid w:val="00D97AE5"/>
    <w:rsid w:val="00DA1CBC"/>
    <w:rsid w:val="00DA64DA"/>
    <w:rsid w:val="00DB5184"/>
    <w:rsid w:val="00DB5AA4"/>
    <w:rsid w:val="00DB5E30"/>
    <w:rsid w:val="00DD29D8"/>
    <w:rsid w:val="00DD77C6"/>
    <w:rsid w:val="00DD7F68"/>
    <w:rsid w:val="00DE039B"/>
    <w:rsid w:val="00DE29A8"/>
    <w:rsid w:val="00DE744D"/>
    <w:rsid w:val="00DE7C8E"/>
    <w:rsid w:val="00DF2D9B"/>
    <w:rsid w:val="00DF3CDE"/>
    <w:rsid w:val="00DF4679"/>
    <w:rsid w:val="00DF5A0A"/>
    <w:rsid w:val="00E00A28"/>
    <w:rsid w:val="00E018AE"/>
    <w:rsid w:val="00E12D31"/>
    <w:rsid w:val="00E151AB"/>
    <w:rsid w:val="00E152F7"/>
    <w:rsid w:val="00E1605C"/>
    <w:rsid w:val="00E21CC8"/>
    <w:rsid w:val="00E2310F"/>
    <w:rsid w:val="00E24B44"/>
    <w:rsid w:val="00E267B7"/>
    <w:rsid w:val="00E26B68"/>
    <w:rsid w:val="00E27129"/>
    <w:rsid w:val="00E30318"/>
    <w:rsid w:val="00E31654"/>
    <w:rsid w:val="00E32317"/>
    <w:rsid w:val="00E34FD6"/>
    <w:rsid w:val="00E41444"/>
    <w:rsid w:val="00E43283"/>
    <w:rsid w:val="00E43E7A"/>
    <w:rsid w:val="00E47908"/>
    <w:rsid w:val="00E503EA"/>
    <w:rsid w:val="00E50DE7"/>
    <w:rsid w:val="00E51187"/>
    <w:rsid w:val="00E51454"/>
    <w:rsid w:val="00E572EF"/>
    <w:rsid w:val="00E63D0A"/>
    <w:rsid w:val="00E652A8"/>
    <w:rsid w:val="00E751BC"/>
    <w:rsid w:val="00E76D66"/>
    <w:rsid w:val="00E80B69"/>
    <w:rsid w:val="00E858A9"/>
    <w:rsid w:val="00E907E9"/>
    <w:rsid w:val="00E91CF9"/>
    <w:rsid w:val="00E937B1"/>
    <w:rsid w:val="00E95D47"/>
    <w:rsid w:val="00E9729C"/>
    <w:rsid w:val="00E97FDF"/>
    <w:rsid w:val="00EC77B0"/>
    <w:rsid w:val="00ED1091"/>
    <w:rsid w:val="00ED2D0B"/>
    <w:rsid w:val="00ED303E"/>
    <w:rsid w:val="00EF2909"/>
    <w:rsid w:val="00EF3F8F"/>
    <w:rsid w:val="00EF46B8"/>
    <w:rsid w:val="00F00ADF"/>
    <w:rsid w:val="00F122C5"/>
    <w:rsid w:val="00F149AD"/>
    <w:rsid w:val="00F174E4"/>
    <w:rsid w:val="00F26B43"/>
    <w:rsid w:val="00F304F8"/>
    <w:rsid w:val="00F308AB"/>
    <w:rsid w:val="00F340A2"/>
    <w:rsid w:val="00F353FE"/>
    <w:rsid w:val="00F41DFA"/>
    <w:rsid w:val="00F4348E"/>
    <w:rsid w:val="00F45E49"/>
    <w:rsid w:val="00F5104E"/>
    <w:rsid w:val="00F51C2E"/>
    <w:rsid w:val="00F633AE"/>
    <w:rsid w:val="00F64BD9"/>
    <w:rsid w:val="00F66EF8"/>
    <w:rsid w:val="00F6744A"/>
    <w:rsid w:val="00F71A63"/>
    <w:rsid w:val="00F71F5D"/>
    <w:rsid w:val="00F76C8B"/>
    <w:rsid w:val="00F82B6A"/>
    <w:rsid w:val="00F830CC"/>
    <w:rsid w:val="00F841E4"/>
    <w:rsid w:val="00F85758"/>
    <w:rsid w:val="00F90331"/>
    <w:rsid w:val="00FA1A10"/>
    <w:rsid w:val="00FA4398"/>
    <w:rsid w:val="00FB3A48"/>
    <w:rsid w:val="00FB3CFD"/>
    <w:rsid w:val="00FB43CA"/>
    <w:rsid w:val="00FB5AB1"/>
    <w:rsid w:val="00FD3825"/>
    <w:rsid w:val="00FD3D46"/>
    <w:rsid w:val="00FD4489"/>
    <w:rsid w:val="00FD5BA3"/>
    <w:rsid w:val="00FE40F7"/>
    <w:rsid w:val="00FE5B82"/>
    <w:rsid w:val="00FE5CFF"/>
    <w:rsid w:val="00FE6610"/>
    <w:rsid w:val="00FE6B66"/>
    <w:rsid w:val="00FF7006"/>
    <w:rsid w:val="00FF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745"/>
    <o:shapelayout v:ext="edit">
      <o:idmap v:ext="edit" data="1"/>
    </o:shapelayout>
  </w:shapeDefaults>
  <w:decimalSymbol w:val=","/>
  <w:listSeparator w:val=";"/>
  <w15:docId w15:val="{E41277B3-A5C3-4362-997D-6660EAB97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23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A1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112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1280"/>
  </w:style>
  <w:style w:type="paragraph" w:styleId="Stopka">
    <w:name w:val="footer"/>
    <w:basedOn w:val="Normalny"/>
    <w:link w:val="StopkaZnak"/>
    <w:uiPriority w:val="99"/>
    <w:unhideWhenUsed/>
    <w:rsid w:val="00A112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1280"/>
  </w:style>
  <w:style w:type="paragraph" w:styleId="Akapitzlist">
    <w:name w:val="List Paragraph"/>
    <w:basedOn w:val="Normalny"/>
    <w:uiPriority w:val="34"/>
    <w:qFormat/>
    <w:rsid w:val="007A0CC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92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15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92156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3A1F2D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365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F365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F365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14AB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14AB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14AB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6F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6F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6F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6F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6F1C"/>
    <w:rPr>
      <w:b/>
      <w:bCs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D74914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51187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EUAlbertina"/>
      <w:color w:val="000000"/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59"/>
    <w:rsid w:val="00E51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c.europa.eu/regional_policy/pl/policy/evaluations/guidanc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A6F722-23F4-4A3D-8EBE-6B7A3D0FA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14</Pages>
  <Words>2522</Words>
  <Characters>15138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BARCZ</dc:creator>
  <cp:lastModifiedBy>Małgorzata Kąpała</cp:lastModifiedBy>
  <cp:revision>57</cp:revision>
  <cp:lastPrinted>2017-01-10T08:14:00Z</cp:lastPrinted>
  <dcterms:created xsi:type="dcterms:W3CDTF">2017-01-10T08:12:00Z</dcterms:created>
  <dcterms:modified xsi:type="dcterms:W3CDTF">2018-04-19T09:49:00Z</dcterms:modified>
</cp:coreProperties>
</file>