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A" w:rsidRPr="004A2391" w:rsidRDefault="00842F3A" w:rsidP="00F122C5">
      <w:pPr>
        <w:jc w:val="center"/>
        <w:rPr>
          <w:b/>
          <w:i/>
          <w:color w:val="000099"/>
          <w:sz w:val="44"/>
          <w:szCs w:val="28"/>
        </w:rPr>
      </w:pPr>
    </w:p>
    <w:p w:rsidR="00F122C5" w:rsidRDefault="00F122C5">
      <w:pPr>
        <w:rPr>
          <w:b/>
        </w:rPr>
      </w:pPr>
    </w:p>
    <w:p w:rsidR="00F41DFA" w:rsidRPr="004A2391" w:rsidRDefault="00F41DFA">
      <w:pPr>
        <w:rPr>
          <w:b/>
        </w:rPr>
      </w:pPr>
    </w:p>
    <w:p w:rsidR="00F122C5" w:rsidRPr="004A2391" w:rsidRDefault="00F122C5">
      <w:pPr>
        <w:rPr>
          <w:b/>
        </w:rPr>
      </w:pPr>
    </w:p>
    <w:p w:rsidR="00223ACF" w:rsidRDefault="00223ACF" w:rsidP="00223AC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8</w:t>
      </w:r>
    </w:p>
    <w:p w:rsidR="00223ACF" w:rsidRDefault="00223ACF" w:rsidP="00223ACF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LISTA WSKAŹNIKÓW NA POZIOMIE PROJEKTU </w:t>
      </w:r>
    </w:p>
    <w:p w:rsidR="00223ACF" w:rsidRDefault="00223ACF" w:rsidP="00223ACF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DLA DZIAŁANI</w:t>
      </w:r>
      <w:bookmarkStart w:id="0" w:name="_GoBack"/>
      <w:bookmarkEnd w:id="0"/>
      <w:r>
        <w:rPr>
          <w:b/>
          <w:color w:val="000000"/>
          <w:sz w:val="44"/>
          <w:szCs w:val="44"/>
        </w:rPr>
        <w:t xml:space="preserve">A </w:t>
      </w:r>
    </w:p>
    <w:p w:rsidR="00223ACF" w:rsidRDefault="00223ACF" w:rsidP="00223ACF">
      <w:pPr>
        <w:spacing w:after="240"/>
        <w:ind w:left="1418" w:hanging="1418"/>
        <w:jc w:val="center"/>
        <w:rPr>
          <w:rFonts w:cs="Arial"/>
          <w:b/>
          <w:color w:val="000000"/>
          <w:sz w:val="44"/>
          <w:szCs w:val="44"/>
          <w:lang w:eastAsia="en-US"/>
        </w:rPr>
      </w:pPr>
      <w:r>
        <w:rPr>
          <w:b/>
          <w:color w:val="000000"/>
          <w:sz w:val="44"/>
          <w:szCs w:val="44"/>
        </w:rPr>
        <w:t>5.2</w:t>
      </w:r>
      <w:r>
        <w:rPr>
          <w:b/>
          <w:color w:val="000000"/>
          <w:sz w:val="44"/>
          <w:szCs w:val="44"/>
        </w:rPr>
        <w:t xml:space="preserve"> </w:t>
      </w:r>
      <w:r>
        <w:rPr>
          <w:b/>
          <w:i/>
          <w:color w:val="000000"/>
          <w:sz w:val="44"/>
          <w:szCs w:val="44"/>
        </w:rPr>
        <w:t>Poprawa gospodarowania odpadami komunalnymi</w:t>
      </w:r>
      <w:r>
        <w:rPr>
          <w:b/>
          <w:color w:val="000000"/>
          <w:sz w:val="44"/>
          <w:szCs w:val="44"/>
        </w:rPr>
        <w:t xml:space="preserve"> </w:t>
      </w:r>
    </w:p>
    <w:p w:rsidR="00223ACF" w:rsidRDefault="00223ACF" w:rsidP="00223ACF">
      <w:pPr>
        <w:spacing w:after="0"/>
        <w:rPr>
          <w:rFonts w:cs="Times New Roman"/>
          <w:b/>
          <w:color w:val="000000"/>
          <w:sz w:val="24"/>
        </w:rPr>
      </w:pPr>
    </w:p>
    <w:p w:rsidR="00223ACF" w:rsidRDefault="00223ACF" w:rsidP="00223ACF">
      <w:pPr>
        <w:spacing w:after="0"/>
        <w:jc w:val="center"/>
        <w:rPr>
          <w:b/>
        </w:rPr>
      </w:pPr>
    </w:p>
    <w:p w:rsidR="00223ACF" w:rsidRDefault="00223ACF" w:rsidP="00223ACF">
      <w:pPr>
        <w:spacing w:after="0"/>
        <w:jc w:val="center"/>
        <w:rPr>
          <w:b/>
        </w:rPr>
      </w:pPr>
    </w:p>
    <w:p w:rsidR="00223ACF" w:rsidRDefault="00223ACF" w:rsidP="00223ACF">
      <w:pPr>
        <w:spacing w:after="0"/>
        <w:jc w:val="center"/>
        <w:rPr>
          <w:b/>
        </w:rPr>
      </w:pPr>
    </w:p>
    <w:p w:rsidR="00223ACF" w:rsidRDefault="00223ACF" w:rsidP="00223ACF">
      <w:pPr>
        <w:spacing w:after="0"/>
        <w:rPr>
          <w:b/>
        </w:rPr>
      </w:pPr>
    </w:p>
    <w:p w:rsidR="00223ACF" w:rsidRDefault="00223ACF" w:rsidP="00223ACF">
      <w:pPr>
        <w:spacing w:after="0"/>
        <w:jc w:val="center"/>
        <w:rPr>
          <w:b/>
        </w:rPr>
      </w:pPr>
      <w:r>
        <w:rPr>
          <w:b/>
        </w:rPr>
        <w:t>Wersja 1</w:t>
      </w:r>
    </w:p>
    <w:p w:rsidR="00223ACF" w:rsidRDefault="00223ACF" w:rsidP="00223ACF">
      <w:pPr>
        <w:spacing w:after="0" w:line="240" w:lineRule="auto"/>
        <w:jc w:val="center"/>
        <w:rPr>
          <w:b/>
        </w:rPr>
      </w:pPr>
      <w:r>
        <w:rPr>
          <w:b/>
        </w:rPr>
        <w:t>Opole, listopad 2017 r.</w:t>
      </w:r>
    </w:p>
    <w:p w:rsidR="00F122C5" w:rsidRPr="004A2391" w:rsidRDefault="00F122C5">
      <w:pPr>
        <w:rPr>
          <w:b/>
        </w:rPr>
      </w:pPr>
    </w:p>
    <w:p w:rsidR="00F122C5" w:rsidRPr="004A2391" w:rsidRDefault="00F122C5" w:rsidP="00F122C5">
      <w:pPr>
        <w:spacing w:after="0"/>
        <w:rPr>
          <w:b/>
        </w:rPr>
      </w:pPr>
      <w:r w:rsidRPr="004A2391">
        <w:rPr>
          <w:b/>
        </w:rPr>
        <w:br w:type="page"/>
      </w:r>
    </w:p>
    <w:p w:rsidR="00512467" w:rsidRPr="004A2391" w:rsidRDefault="006D162A" w:rsidP="00CE7C94">
      <w:pPr>
        <w:spacing w:after="60"/>
        <w:rPr>
          <w:i/>
        </w:rPr>
      </w:pPr>
      <w:r w:rsidRPr="004A2391">
        <w:rPr>
          <w:b/>
        </w:rPr>
        <w:lastRenderedPageBreak/>
        <w:t>Tabela 1</w:t>
      </w:r>
      <w:r w:rsidR="00CE7C94" w:rsidRPr="004A2391">
        <w:rPr>
          <w:b/>
        </w:rPr>
        <w:t xml:space="preserve"> </w:t>
      </w:r>
      <w:r w:rsidR="00055EE7" w:rsidRPr="004A2391">
        <w:rPr>
          <w:i/>
        </w:rPr>
        <w:t>Zestawieni</w:t>
      </w:r>
      <w:r w:rsidR="00F5104E" w:rsidRPr="004A2391">
        <w:rPr>
          <w:i/>
        </w:rPr>
        <w:t>e</w:t>
      </w:r>
      <w:r w:rsidR="00055EE7" w:rsidRPr="004A2391">
        <w:rPr>
          <w:i/>
        </w:rPr>
        <w:t xml:space="preserve"> wskaźników </w:t>
      </w:r>
      <w:r w:rsidR="007435C8" w:rsidRPr="004A2391">
        <w:rPr>
          <w:i/>
        </w:rPr>
        <w:t xml:space="preserve">EFRR </w:t>
      </w:r>
      <w:r w:rsidR="00055EE7" w:rsidRPr="004A2391">
        <w:rPr>
          <w:i/>
        </w:rPr>
        <w:t xml:space="preserve">na poziomie projektu </w:t>
      </w:r>
      <w:r w:rsidR="00881689" w:rsidRPr="004A2391">
        <w:rPr>
          <w:i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142"/>
        <w:gridCol w:w="1134"/>
        <w:gridCol w:w="1275"/>
        <w:gridCol w:w="1276"/>
        <w:gridCol w:w="1276"/>
        <w:gridCol w:w="5812"/>
      </w:tblGrid>
      <w:tr w:rsidR="00A36F99" w:rsidRPr="004A2391" w:rsidTr="007654B7">
        <w:trPr>
          <w:trHeight w:hRule="exact" w:val="839"/>
          <w:tblHeader/>
        </w:trPr>
        <w:tc>
          <w:tcPr>
            <w:tcW w:w="671" w:type="dxa"/>
            <w:tcBorders>
              <w:top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7435C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Lp.</w:t>
            </w:r>
          </w:p>
        </w:tc>
        <w:tc>
          <w:tcPr>
            <w:tcW w:w="3142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Nazwa wskaźnika</w:t>
            </w:r>
          </w:p>
        </w:tc>
        <w:tc>
          <w:tcPr>
            <w:tcW w:w="1134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Jednostka miary</w:t>
            </w:r>
          </w:p>
        </w:tc>
        <w:tc>
          <w:tcPr>
            <w:tcW w:w="1275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Rodzaj wskaźnika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Typ wskaźnika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Inne uwagi</w:t>
            </w:r>
          </w:p>
        </w:tc>
        <w:tc>
          <w:tcPr>
            <w:tcW w:w="5812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Definicja</w:t>
            </w:r>
          </w:p>
        </w:tc>
      </w:tr>
      <w:tr w:rsidR="00A36F99" w:rsidRPr="004A2391" w:rsidTr="00753583">
        <w:trPr>
          <w:trHeight w:val="364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Wskaźniki horyzontalne</w:t>
            </w:r>
          </w:p>
        </w:tc>
      </w:tr>
      <w:tr w:rsidR="00E51187" w:rsidRPr="004A2391" w:rsidTr="00B72E53">
        <w:tc>
          <w:tcPr>
            <w:tcW w:w="671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1.</w:t>
            </w:r>
          </w:p>
        </w:tc>
        <w:tc>
          <w:tcPr>
            <w:tcW w:w="314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 xml:space="preserve">Liczba obiektów dostosowanych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4A2391">
              <w:rPr>
                <w:i/>
                <w:sz w:val="20"/>
                <w:szCs w:val="20"/>
              </w:rPr>
              <w:t>do potrzeb osób</w:t>
            </w:r>
            <w:r w:rsidRPr="004A2391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  <w:p w:rsidR="00E51187" w:rsidRPr="00DA64DA" w:rsidRDefault="00E51187" w:rsidP="00B72E5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odnosi się do liczby obiektów, które zaopatrzono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specjalne podjazdy, windy, urządzenia głośnomówiące, bądź inne </w:t>
            </w:r>
            <w:r w:rsidRPr="001208AF">
              <w:rPr>
                <w:sz w:val="20"/>
              </w:rPr>
              <w:t>rozwiązania umożliwiające dostęp</w:t>
            </w:r>
            <w:r w:rsidRPr="001208AF">
              <w:rPr>
                <w:rFonts w:ascii="Calibri" w:eastAsia="Times New Roman" w:hAnsi="Calibri" w:cs="Times New Roman"/>
                <w:sz w:val="18"/>
                <w:szCs w:val="20"/>
                <w:lang w:eastAsia="en-US"/>
              </w:rPr>
              <w:t xml:space="preserve">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(tj. usunięcie barier w dostępie, w szczególności barier architektonicznych) do tych obiektów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poruszanie się po nich osobom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niepełnosprawn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ościami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ruchow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czy sensoryczn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Jako obiekty budowlane należy rozumieć konstrukcje połączone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gru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ntem w sposób trwały, wykonane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materiałów budowlanych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elementów składowych, będące wynikiem prac budowlanych (wg. def. PKOB).</w:t>
            </w:r>
          </w:p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Należy podać liczbę obiektów,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których zastosowano rozwiązania umożliwiające dostęp osobom z niepełnosprawnościami ruchowymi czy sensorycznymi lub zaopatrzonych w sprzęt,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 nie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liczbę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sprzętów, urządzeń itp.</w:t>
            </w:r>
          </w:p>
          <w:p w:rsidR="00E51187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Jeśli instytucja, zakład itp. składa się z kilku obiektów, należy zliczyć wszystkie, które dostosowano do potrzeb osób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niepełnosprawn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ościami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E51187" w:rsidRPr="00964523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momencie rozliczenia wydatku 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związanego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dostosowaniem obiektów do potrzeb osób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niepełnosprawnościami w ramach danego projektu.</w:t>
            </w:r>
          </w:p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Do wskaźnika powinny zostać wliczone zarówno obiekty dostosowane w projektach ogólnodostępnych, jak i dedykowanych (zgodnie z kategoryzacją projektów z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E51187" w:rsidRPr="004A2391" w:rsidTr="00B72E53">
        <w:tc>
          <w:tcPr>
            <w:tcW w:w="671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4A2391">
              <w:rPr>
                <w:i/>
                <w:sz w:val="20"/>
                <w:szCs w:val="20"/>
              </w:rPr>
              <w:t>w zakresie kompetencji cyfrowych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osób objętych szkoleniami / doradztwem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zakresie nabywania / doskonalenia umiejętności warunkujących efektywne ko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rzystanie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mediów elektro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nicznych tj. m.in. korzystania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komputera, różnych rodzajów oprogramowania, </w:t>
            </w:r>
            <w:proofErr w:type="spellStart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internetu</w:t>
            </w:r>
            <w:proofErr w:type="spellEnd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  <w:p w:rsidR="00E51187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Wskaźnik ma agregować wszystkie osoby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, które skorzystały ze wsparcia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w zakresi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e TIK we wszystkich programach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projektach, także tych, gdzie szkolenie dotyczy obsługi specyficznego systemu teleinformatycznego, którego wdrożenia dotyczy projekt. </w:t>
            </w:r>
          </w:p>
          <w:p w:rsidR="00E51187" w:rsidRPr="00964523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Do wskaźnika powinni zostać wlicze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ni wszyscy uczestnicy projektów 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zawierających określony rodzaj wsparcia, w tym również np. uczniowie nabywający kompetencje w ramach zajęć szkolnych, jeśli wsparcie to dotyczy technologii informacyjno-komunikacyjnych.</w:t>
            </w:r>
          </w:p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E51187" w:rsidRPr="004A2391" w:rsidTr="00B72E53">
        <w:tc>
          <w:tcPr>
            <w:tcW w:w="671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kobiety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E51187" w:rsidRPr="004A2391" w:rsidTr="00B72E53">
        <w:tc>
          <w:tcPr>
            <w:tcW w:w="671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mężczyźni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E51187" w:rsidRPr="00C501E4" w:rsidTr="00B72E53">
        <w:tc>
          <w:tcPr>
            <w:tcW w:w="671" w:type="dxa"/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3.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 xml:space="preserve">Liczba projektów, w których sfinansowano koszty racjonalnych usprawnień dla osób </w:t>
            </w:r>
            <w:r w:rsidRPr="00C501E4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Racjonalne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usprawnienie oznacza konieczne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odpowiednie zmiany ora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dostosowania, nie nakładające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nieproporcjonalnego lub nadmiernego obciążenia, rozpatrywane osobno dla każdego konkretnego przypa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dku, w celu zapewnienia osobom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niepełnosprawn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ościami możliwości korzystania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wszelkich praw człowieka i podstawowych wolności oraz ich wykonywania na zasadzie równości z innymi osobami.</w:t>
            </w:r>
          </w:p>
          <w:p w:rsidR="00E51187" w:rsidRPr="00C501E4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w momencie rozliczenia wydatku związanego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racjonalnymi usprawnieniami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w ramach danego projektu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E51187" w:rsidRPr="00C501E4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Przykłady racjonalnych usprawnień: tłumacz języka migowego, transport niskopodłogowy, dostosow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anie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infrastruktury (nie tylko budynku, ale też dostosowanie infrastruktury komputerowej np. programy powiększające, mówiące, drukarki materiałów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lastRenderedPageBreak/>
              <w:t>w alfabecie Braille'a), osoby asystujące, odpowiednie dostosowanie wyżywienia.</w:t>
            </w:r>
          </w:p>
          <w:p w:rsidR="00E51187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Do wskaźnika powinny zostać wliczone zarówno projekty ogólnodostępne, w których sfinansowano koszty racjonalnych usprawnień, jak i dedykowane (zgodnie z kategoryzacją projektów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Wytycznych w zakresie realizacji zasady równości szans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i niedyskryminacji, w tym dostępności dla osób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z niepełnosprawnościami oraz zasady równości szans kobiet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>i mężczyzn 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  <w:p w:rsidR="00E51187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Definicja na podstawie: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Wytyczne w zakresie realizacji zasady równości szans i niedyskryminacji, w tym dostępności dla osób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 xml:space="preserve">z niepełnosprawnościami oraz równości szans kobiet i mężczyzn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  <w:t>w ramach funduszy unijnych na lata 2014-</w:t>
            </w:r>
            <w:r w:rsidRPr="001208AF">
              <w:rPr>
                <w:rFonts w:eastAsiaTheme="minorHAnsi"/>
                <w:i/>
                <w:sz w:val="20"/>
                <w:szCs w:val="20"/>
                <w:lang w:eastAsia="en-US"/>
              </w:rPr>
              <w:t>2020</w:t>
            </w:r>
            <w:r w:rsidRPr="00C501E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E51187" w:rsidRPr="00C501E4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4190">
              <w:rPr>
                <w:rFonts w:eastAsiaTheme="minorHAnsi"/>
                <w:i/>
                <w:sz w:val="20"/>
                <w:szCs w:val="20"/>
                <w:lang w:eastAsia="en-US"/>
              </w:rPr>
              <w:t>Wyjaśnienie:</w:t>
            </w:r>
            <w:r w:rsidRPr="006F41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Jeśli projekt spełnia kryteria w/w definicji wnioskodawca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powinien wykazać wartość „1”,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przeciwnym wypadku „0”. W przypadku projektów partnerskich wskaźnik powinien być wykazany wyłącznie przez lidera projektu, be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z względu na liczbę partnerów 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projekcie realizujących wskaźnik.</w:t>
            </w:r>
          </w:p>
        </w:tc>
      </w:tr>
      <w:tr w:rsidR="00E51187" w:rsidRPr="00C501E4" w:rsidTr="00B72E53">
        <w:tc>
          <w:tcPr>
            <w:tcW w:w="671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4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podmiotów wykorzystujących technologie informacyjno-komunikacyjne</w:t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6F1B2C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E51187" w:rsidRPr="006F1B2C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 </w:t>
            </w:r>
          </w:p>
          <w:p w:rsidR="00E51187" w:rsidRPr="006F1B2C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E51187" w:rsidRPr="006F1B2C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E51187" w:rsidRPr="00C501E4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przypadku, gdy beneficjentem pozostaje jeden podmiot, we wskaźniku należy ująć wartość „1”. W 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E51187" w:rsidRPr="00031554" w:rsidTr="00B72E53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</w:rPr>
              <w:t xml:space="preserve">Wzrost zatrudnienia we </w:t>
            </w:r>
            <w:r w:rsidRPr="0022603F">
              <w:rPr>
                <w:rFonts w:cs="Arial"/>
                <w:i/>
                <w:sz w:val="20"/>
              </w:rPr>
              <w:t>wspieranych przedsiębiorstwach</w:t>
            </w:r>
            <w:r>
              <w:rPr>
                <w:rStyle w:val="Odwoanieprzypisudolnego"/>
                <w:rFonts w:cs="Arial"/>
                <w:i/>
                <w:sz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22603F" w:rsidRDefault="00E51187" w:rsidP="00B7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Liczba brutto nowych miejsc pracy we wspieranych przedsiębiorstw</w:t>
            </w:r>
            <w:r>
              <w:rPr>
                <w:rFonts w:cs="Times New Roman"/>
                <w:sz w:val="20"/>
                <w:szCs w:val="20"/>
              </w:rPr>
              <w:t>ach</w:t>
            </w:r>
            <w:r w:rsidRPr="0022603F">
              <w:rPr>
                <w:rFonts w:cs="Times New Roman"/>
                <w:sz w:val="20"/>
                <w:szCs w:val="20"/>
              </w:rPr>
              <w:t xml:space="preserve"> w przeliczeniu na pełne etaty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7AA5">
              <w:rPr>
                <w:rFonts w:cs="Times New Roman"/>
                <w:sz w:val="20"/>
                <w:szCs w:val="20"/>
              </w:rPr>
              <w:t>na podstawie umowy o pracę (nie dotyczy umów cywilnoprawnych)</w:t>
            </w:r>
            <w:r w:rsidRPr="00F41DFA">
              <w:rPr>
                <w:rFonts w:cs="Times New Roman"/>
                <w:sz w:val="20"/>
                <w:szCs w:val="20"/>
              </w:rPr>
              <w:t>.</w:t>
            </w:r>
            <w:r w:rsidRPr="0022603F">
              <w:rPr>
                <w:rFonts w:cs="Times New Roman"/>
                <w:sz w:val="20"/>
                <w:szCs w:val="20"/>
              </w:rPr>
              <w:t xml:space="preserve">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603F">
              <w:rPr>
                <w:rFonts w:cs="Times New Roman"/>
                <w:sz w:val="20"/>
                <w:szCs w:val="20"/>
              </w:rPr>
              <w:t>zwiększać</w:t>
            </w:r>
            <w:r>
              <w:rPr>
                <w:rFonts w:cs="Times New Roman"/>
                <w:sz w:val="20"/>
                <w:szCs w:val="20"/>
              </w:rPr>
              <w:t xml:space="preserve"> całkowitą liczbę miejsc pracy </w:t>
            </w:r>
            <w:r w:rsidRPr="0022603F">
              <w:rPr>
                <w:rFonts w:cs="Times New Roman"/>
                <w:sz w:val="20"/>
                <w:szCs w:val="20"/>
              </w:rPr>
              <w:t>w przedsiębiorst</w:t>
            </w:r>
            <w:r>
              <w:rPr>
                <w:rFonts w:cs="Times New Roman"/>
                <w:sz w:val="20"/>
                <w:szCs w:val="20"/>
              </w:rPr>
              <w:t xml:space="preserve">wie. Jeśli łączne zatrudnienie </w:t>
            </w:r>
            <w:r w:rsidRPr="0022603F">
              <w:rPr>
                <w:rFonts w:cs="Times New Roman"/>
                <w:sz w:val="20"/>
                <w:szCs w:val="20"/>
              </w:rPr>
              <w:t xml:space="preserve">w przedsiębiorstwie nie zwiększa się, wartość jest równa zero - to wskaźnik jest </w:t>
            </w:r>
            <w:r>
              <w:rPr>
                <w:rFonts w:cs="Times New Roman"/>
                <w:sz w:val="20"/>
                <w:szCs w:val="20"/>
              </w:rPr>
              <w:t xml:space="preserve">traktowany jako wyregulowanie, </w:t>
            </w:r>
            <w:r w:rsidRPr="0022603F">
              <w:rPr>
                <w:rFonts w:cs="Times New Roman"/>
                <w:sz w:val="20"/>
                <w:szCs w:val="20"/>
              </w:rPr>
              <w:t>a nie zwiększenie. Zagwarantowane itp. miejsca pracy nie są wliczone.</w:t>
            </w:r>
          </w:p>
          <w:p w:rsidR="00E51187" w:rsidRPr="0022603F" w:rsidRDefault="00E51187" w:rsidP="00B7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pacing w:val="-1"/>
                <w:sz w:val="20"/>
                <w:szCs w:val="20"/>
              </w:rPr>
              <w:t xml:space="preserve">Brutto: Nie licząc pochodzenia zatrudnionego dopóki bezpośrednio przyczynia się do wzrostu całkowitej liczby zatrudnionych </w:t>
            </w:r>
            <w:r>
              <w:rPr>
                <w:rFonts w:cs="Times New Roman"/>
                <w:spacing w:val="-1"/>
                <w:sz w:val="20"/>
                <w:szCs w:val="20"/>
              </w:rPr>
              <w:br/>
            </w:r>
            <w:r w:rsidRPr="0022603F">
              <w:rPr>
                <w:rFonts w:cs="Times New Roman"/>
                <w:spacing w:val="-1"/>
                <w:sz w:val="20"/>
                <w:szCs w:val="20"/>
              </w:rPr>
              <w:t>w organizacji. Wskaźnik powinien być stosowany, jeśli wzrost zatrudnienia może być wiarygodnie przypisany do wsparcia.</w:t>
            </w:r>
          </w:p>
          <w:p w:rsidR="00E51187" w:rsidRPr="0022603F" w:rsidRDefault="00E51187" w:rsidP="00B7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E51187" w:rsidRPr="0022603F" w:rsidRDefault="00E51187" w:rsidP="00B7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Trwałość: oczekuje się, że stanowiska będą stałe tj. będą trwały odpowiednio długo, w zależności od charakterystyki przemysłowo-technologicznej: prace sezonowe powinny być cykliczne. Dane liczbowe przedsiębiorstw, które zbankrutowały są zapisywane jako zerowy wzrost zatrudnienia.</w:t>
            </w:r>
          </w:p>
          <w:p w:rsidR="00E51187" w:rsidRDefault="00E51187" w:rsidP="00B7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 xml:space="preserve">Czas: Dane są zbierane przed rozpoczęciem </w:t>
            </w:r>
            <w:r>
              <w:rPr>
                <w:rFonts w:cs="Times New Roman"/>
                <w:sz w:val="20"/>
                <w:szCs w:val="20"/>
              </w:rPr>
              <w:t xml:space="preserve">projektu i po jego zakończeniu; </w:t>
            </w:r>
            <w:r w:rsidRPr="0022603F">
              <w:rPr>
                <w:rFonts w:cs="Times New Roman"/>
                <w:sz w:val="20"/>
                <w:szCs w:val="20"/>
              </w:rPr>
              <w:t xml:space="preserve">Instytucje Zarządzające mają swobodę </w:t>
            </w:r>
            <w:r w:rsidRPr="0022603F">
              <w:rPr>
                <w:rFonts w:cs="Times New Roman"/>
                <w:sz w:val="20"/>
                <w:szCs w:val="20"/>
              </w:rPr>
              <w:br/>
              <w:t>w określaniu dokładnego czasu. Preferowane jest stosowanie średniego zatrudnienia w oparciu o dane z 6 miesięcy lub z roku, dla danych dotyczących zatrudnienia w określonych terminach.</w:t>
            </w:r>
          </w:p>
          <w:p w:rsidR="00E51187" w:rsidRDefault="00E51187" w:rsidP="00B72E53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464B">
              <w:rPr>
                <w:rFonts w:cs="Times New Roman"/>
                <w:b/>
                <w:sz w:val="20"/>
                <w:szCs w:val="20"/>
              </w:rPr>
              <w:t xml:space="preserve">Dla celów monitoringowych Beneficjent w opisie metodologii wskaźnika (w wierszu pod wskaźnikiem) powinien przedstawić dane dotyczące stanu zatrudnienia w przedsiębiorstwie przed </w:t>
            </w:r>
            <w:r>
              <w:rPr>
                <w:rFonts w:cs="Times New Roman"/>
                <w:b/>
                <w:sz w:val="20"/>
                <w:szCs w:val="20"/>
              </w:rPr>
              <w:t>rozpoczęciem realizacji</w:t>
            </w:r>
            <w:r w:rsidRPr="00B5464B">
              <w:rPr>
                <w:rFonts w:cs="Times New Roman"/>
                <w:b/>
                <w:sz w:val="20"/>
                <w:szCs w:val="20"/>
              </w:rPr>
              <w:t xml:space="preserve"> projektu.</w:t>
            </w:r>
          </w:p>
          <w:p w:rsidR="00E51187" w:rsidRPr="00031554" w:rsidRDefault="00E51187" w:rsidP="00B72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 ramach działania 2.2 </w:t>
            </w:r>
            <w:r w:rsidRPr="00031554">
              <w:rPr>
                <w:rFonts w:cs="Times New Roman"/>
                <w:b/>
                <w:i/>
                <w:sz w:val="20"/>
                <w:szCs w:val="20"/>
              </w:rPr>
              <w:t>Przygotowanie terenów inwestycyjnych na rzecz gospodarki</w:t>
            </w:r>
            <w:r>
              <w:rPr>
                <w:rFonts w:cs="Times New Roman"/>
                <w:b/>
                <w:sz w:val="20"/>
                <w:szCs w:val="20"/>
              </w:rPr>
              <w:t xml:space="preserve"> z</w:t>
            </w:r>
            <w:r w:rsidRPr="007411F6">
              <w:rPr>
                <w:rFonts w:cs="Times New Roman"/>
                <w:b/>
                <w:sz w:val="20"/>
                <w:szCs w:val="20"/>
              </w:rPr>
              <w:t>godnie z zapisami RPO WO 2014-2020 wartość docelowa wskaźnika musi być większa niż „0”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E51187" w:rsidRPr="00C501E4" w:rsidTr="00B72E53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>Wzrost zatrudnienia we wspieranych przedsiębiorstwach</w:t>
            </w:r>
            <w:r w:rsidRPr="00D70A31">
              <w:rPr>
                <w:rFonts w:cs="Arial"/>
                <w:i/>
                <w:sz w:val="20"/>
              </w:rPr>
              <w:br/>
              <w:t xml:space="preserve"> – kobiety 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E51187" w:rsidRPr="00C501E4" w:rsidTr="00B72E53">
        <w:tc>
          <w:tcPr>
            <w:tcW w:w="671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 xml:space="preserve">Wzrost zatrudnienia we wspieranych przedsiębiorstwach </w:t>
            </w:r>
            <w:r w:rsidRPr="00D70A31">
              <w:rPr>
                <w:rFonts w:cs="Arial"/>
                <w:i/>
                <w:sz w:val="20"/>
              </w:rPr>
              <w:br/>
              <w:t>– mężczyźni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E51187" w:rsidRPr="00377C57" w:rsidTr="00B72E53">
        <w:tc>
          <w:tcPr>
            <w:tcW w:w="671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D96CA8" w:rsidRDefault="00E51187" w:rsidP="00B72E53">
            <w:pPr>
              <w:spacing w:before="80" w:after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</w:t>
            </w:r>
            <w:r w:rsidRPr="00A44759">
              <w:rPr>
                <w:sz w:val="20"/>
                <w:szCs w:val="20"/>
              </w:rPr>
              <w:t>.</w:t>
            </w:r>
          </w:p>
        </w:tc>
        <w:tc>
          <w:tcPr>
            <w:tcW w:w="314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</w:tc>
        <w:tc>
          <w:tcPr>
            <w:tcW w:w="1134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 w:val="restart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E51187" w:rsidRPr="00377C57" w:rsidRDefault="00E51187" w:rsidP="00B72E53">
            <w:pPr>
              <w:spacing w:before="80" w:after="80"/>
              <w:jc w:val="both"/>
              <w:rPr>
                <w:color w:val="C00000"/>
                <w:sz w:val="20"/>
                <w:szCs w:val="20"/>
              </w:rPr>
            </w:pPr>
            <w:r w:rsidRPr="00377C57">
              <w:rPr>
                <w:sz w:val="20"/>
                <w:szCs w:val="20"/>
              </w:rPr>
              <w:t xml:space="preserve">Należy stosować </w:t>
            </w:r>
            <w:r>
              <w:rPr>
                <w:sz w:val="20"/>
                <w:szCs w:val="20"/>
              </w:rPr>
              <w:t xml:space="preserve">analogiczną </w:t>
            </w:r>
            <w:r w:rsidRPr="00377C57">
              <w:rPr>
                <w:sz w:val="20"/>
                <w:szCs w:val="20"/>
              </w:rPr>
              <w:t>definicję jak we wskaźniku „</w:t>
            </w:r>
            <w:r w:rsidRPr="00377C57">
              <w:rPr>
                <w:i/>
                <w:sz w:val="20"/>
                <w:szCs w:val="20"/>
              </w:rPr>
              <w:t>Wzrost zatrudnienia we wspieranych przedsiębiorstwach</w:t>
            </w:r>
            <w:r w:rsidRPr="00377C5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odniesieniu do podmiotów innych niż przedsiębiorstwa. </w:t>
            </w:r>
          </w:p>
        </w:tc>
      </w:tr>
      <w:tr w:rsidR="00E51187" w:rsidRPr="00377C57" w:rsidTr="00B72E53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E51187" w:rsidRPr="00C501E4" w:rsidRDefault="00E51187" w:rsidP="00B72E53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E51187" w:rsidRPr="00377C57" w:rsidRDefault="00E51187" w:rsidP="00B72E53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E51187" w:rsidRPr="00377C57" w:rsidTr="00B72E53">
        <w:tc>
          <w:tcPr>
            <w:tcW w:w="671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E51187" w:rsidRPr="00C501E4" w:rsidRDefault="00E51187" w:rsidP="00B72E53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E51187" w:rsidRPr="00377C57" w:rsidRDefault="00E51187" w:rsidP="00B72E53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E51187" w:rsidRPr="003814B8" w:rsidTr="00B72E53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E51187" w:rsidRPr="001208AF" w:rsidRDefault="00E51187" w:rsidP="00B72E53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i niepełnowymiarowe należy przeliczyć na ekwiwalent pełnego czasu pracy. </w:t>
            </w:r>
          </w:p>
          <w:p w:rsidR="00E51187" w:rsidRPr="001208AF" w:rsidRDefault="00E51187" w:rsidP="00B72E53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E51187" w:rsidRPr="001208AF" w:rsidRDefault="00E51187" w:rsidP="00B72E53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E51187" w:rsidRDefault="00E51187" w:rsidP="00B72E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E51187" w:rsidRPr="003814B8" w:rsidRDefault="00E51187" w:rsidP="00B72E53">
            <w:pPr>
              <w:spacing w:before="60" w:after="60"/>
              <w:jc w:val="both"/>
              <w:rPr>
                <w:i/>
                <w:color w:val="C00000"/>
                <w:sz w:val="20"/>
                <w:szCs w:val="20"/>
              </w:rPr>
            </w:pPr>
            <w:r w:rsidRPr="001208AF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E51187" w:rsidRPr="00C501E4" w:rsidTr="00B72E53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E51187" w:rsidRPr="004A2391" w:rsidRDefault="00E51187" w:rsidP="00B72E53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E51187" w:rsidRPr="00C501E4" w:rsidTr="00B72E53">
        <w:tc>
          <w:tcPr>
            <w:tcW w:w="671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7b.</w:t>
            </w:r>
          </w:p>
        </w:tc>
        <w:tc>
          <w:tcPr>
            <w:tcW w:w="314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Default="00E51187" w:rsidP="00B72E53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E51187" w:rsidRPr="004A2391" w:rsidRDefault="00E51187" w:rsidP="00B72E53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E51187" w:rsidRPr="00C501E4" w:rsidRDefault="00E51187" w:rsidP="00B72E53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E51187" w:rsidRPr="004A2391" w:rsidTr="00B72E53">
        <w:tc>
          <w:tcPr>
            <w:tcW w:w="671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14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</w:tc>
        <w:tc>
          <w:tcPr>
            <w:tcW w:w="1134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51187" w:rsidRPr="001208AF" w:rsidRDefault="00E51187" w:rsidP="00B72E5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pracowników zatrudnionych bezpośrednio w efekcie realizacji projektu,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 podstawie umów cywilnoprawnych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tj.: umów o dzieło, umów zlecenia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 samozatrudnienia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– kontraktu, jak i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na podstawie umów o pracę na czas określony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zarówno w przedsiębiorstwach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jak i pozostałych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podmiotach niebędących przedsiębiorstwami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51187" w:rsidRPr="001208AF" w:rsidRDefault="00E51187" w:rsidP="00B72E5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E51187" w:rsidRDefault="00E51187" w:rsidP="00B72E53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E51187" w:rsidRPr="004A2391" w:rsidRDefault="00E51187" w:rsidP="00B72E53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  <w:r w:rsidRPr="0099640D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E95D47" w:rsidRPr="004A2391" w:rsidTr="00753583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/>
            <w:vAlign w:val="center"/>
          </w:tcPr>
          <w:p w:rsidR="00E95D47" w:rsidRPr="004A2391" w:rsidRDefault="00E95D47" w:rsidP="00E95D47">
            <w:pPr>
              <w:spacing w:before="80" w:after="80"/>
              <w:rPr>
                <w:i/>
                <w:color w:val="000099"/>
              </w:rPr>
            </w:pPr>
            <w:r w:rsidRPr="004A2391">
              <w:rPr>
                <w:i/>
                <w:color w:val="000099"/>
              </w:rPr>
              <w:t xml:space="preserve">Oś priorytetowa V </w:t>
            </w:r>
            <w:r w:rsidRPr="004A2391">
              <w:rPr>
                <w:rFonts w:cs="Arial"/>
                <w:b/>
                <w:i/>
                <w:color w:val="000099"/>
              </w:rPr>
              <w:t>Ochrona środowiska, dziedzictwa kulturowego i naturalnego</w:t>
            </w:r>
          </w:p>
        </w:tc>
      </w:tr>
      <w:tr w:rsidR="00E95D47" w:rsidRPr="004A2391" w:rsidTr="00753583">
        <w:trPr>
          <w:trHeight w:hRule="exact" w:val="567"/>
        </w:trPr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E95D47" w:rsidRPr="004A2391" w:rsidRDefault="00E95D47" w:rsidP="00E95D4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3081">
              <w:rPr>
                <w:i/>
                <w:color w:val="000099"/>
              </w:rPr>
              <w:t xml:space="preserve">Poddziałanie 5.2 </w:t>
            </w:r>
            <w:r w:rsidRPr="008C3081">
              <w:rPr>
                <w:b/>
                <w:i/>
                <w:color w:val="000099"/>
              </w:rPr>
              <w:t>Poprawa gospodarowania odpadami komunalnymi</w:t>
            </w:r>
          </w:p>
        </w:tc>
      </w:tr>
    </w:tbl>
    <w:tbl>
      <w:tblPr>
        <w:tblStyle w:val="Tabela-Siatka2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142"/>
        <w:gridCol w:w="1134"/>
        <w:gridCol w:w="1275"/>
        <w:gridCol w:w="1276"/>
        <w:gridCol w:w="1276"/>
        <w:gridCol w:w="5812"/>
      </w:tblGrid>
      <w:tr w:rsidR="00E51187" w:rsidRPr="00A610C3" w:rsidTr="00B72E53">
        <w:tc>
          <w:tcPr>
            <w:tcW w:w="671" w:type="dxa"/>
            <w:tcBorders>
              <w:top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</w:rPr>
            </w:pPr>
            <w:r w:rsidRPr="00A610C3">
              <w:rPr>
                <w:sz w:val="20"/>
              </w:rPr>
              <w:t>1.</w:t>
            </w:r>
          </w:p>
        </w:tc>
        <w:tc>
          <w:tcPr>
            <w:tcW w:w="3142" w:type="dxa"/>
            <w:tcBorders>
              <w:top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wspartych Punktów Selektywnego Zbierania Odpadów Komunalnych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73EA5">
              <w:rPr>
                <w:sz w:val="20"/>
                <w:szCs w:val="20"/>
              </w:rPr>
              <w:t xml:space="preserve">Wskaźnik </w:t>
            </w:r>
            <w:r>
              <w:rPr>
                <w:sz w:val="20"/>
                <w:szCs w:val="20"/>
              </w:rPr>
              <w:t>z r</w:t>
            </w:r>
            <w:r w:rsidRPr="00173EA5">
              <w:rPr>
                <w:sz w:val="20"/>
                <w:szCs w:val="20"/>
              </w:rPr>
              <w:t>am wykonania</w:t>
            </w:r>
          </w:p>
        </w:tc>
        <w:tc>
          <w:tcPr>
            <w:tcW w:w="5812" w:type="dxa"/>
            <w:tcBorders>
              <w:top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 xml:space="preserve">Liczba Punktów Selektywnego Zbierania Odpadów Komunalnych [Ustawa z dnia 13 września 1996r. o utrzymaniu czystości i porządku w gminach (Dz. U. z  1996 Nr 132 poz. 622 z </w:t>
            </w:r>
            <w:proofErr w:type="spellStart"/>
            <w:r w:rsidRPr="00A610C3">
              <w:rPr>
                <w:rFonts w:cs="Times New Roman"/>
                <w:i/>
                <w:sz w:val="20"/>
                <w:szCs w:val="20"/>
              </w:rPr>
              <w:t>późń</w:t>
            </w:r>
            <w:proofErr w:type="spellEnd"/>
            <w:r w:rsidRPr="00A610C3">
              <w:rPr>
                <w:rFonts w:cs="Times New Roman"/>
                <w:i/>
                <w:sz w:val="20"/>
                <w:szCs w:val="20"/>
              </w:rPr>
              <w:t xml:space="preserve">. zm.], które otrzymały wsparcie w ramach zrealizowanych projektów. </w:t>
            </w:r>
          </w:p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 xml:space="preserve">Wsparcie może polegać na budowie, przebudowie, rozbudowie, remoncie lub wyposażeniu obiektu.  Zakres wsparcia zgodny z UP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A610C3">
              <w:rPr>
                <w:rFonts w:cs="Times New Roman"/>
                <w:sz w:val="20"/>
                <w:szCs w:val="20"/>
              </w:rPr>
              <w:t>i zapisami linii demarkacyjnej dla PI 6.1.</w:t>
            </w:r>
          </w:p>
        </w:tc>
      </w:tr>
      <w:tr w:rsidR="00E51187" w:rsidRPr="001208AF" w:rsidTr="00B72E53">
        <w:tc>
          <w:tcPr>
            <w:tcW w:w="671" w:type="dxa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kampanii informacyjno-edukacyjnych związanych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A610C3">
              <w:rPr>
                <w:rFonts w:cs="Times New Roman"/>
                <w:i/>
                <w:sz w:val="20"/>
                <w:szCs w:val="20"/>
              </w:rPr>
              <w:t>z gospodarką odpadami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Default="00E51187" w:rsidP="00B72E53">
            <w:pPr>
              <w:pStyle w:val="Default"/>
              <w:jc w:val="both"/>
              <w:rPr>
                <w:rFonts w:asciiTheme="minorHAnsi" w:hAnsiTheme="minorHAnsi"/>
                <w:sz w:val="22"/>
                <w:szCs w:val="16"/>
              </w:rPr>
            </w:pPr>
            <w:r w:rsidRPr="001208AF">
              <w:rPr>
                <w:rFonts w:asciiTheme="minorHAnsi" w:hAnsiTheme="minorHAnsi"/>
                <w:sz w:val="20"/>
                <w:szCs w:val="16"/>
              </w:rPr>
              <w:t>Liczba przeprowadzonych kampanii informacyjno-edukacyjnych związanych z gospodarką odpadami w ramach wspartych projektów</w:t>
            </w:r>
            <w:r w:rsidRPr="00080E7C">
              <w:rPr>
                <w:rFonts w:asciiTheme="minorHAnsi" w:hAnsiTheme="minorHAnsi"/>
                <w:sz w:val="22"/>
                <w:szCs w:val="16"/>
              </w:rPr>
              <w:t xml:space="preserve">. </w:t>
            </w:r>
          </w:p>
          <w:p w:rsidR="00E51187" w:rsidRPr="001208AF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208AF">
              <w:rPr>
                <w:rFonts w:cs="Times New Roman"/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E51187" w:rsidRPr="00A610C3" w:rsidTr="00B72E53">
        <w:tc>
          <w:tcPr>
            <w:tcW w:w="671" w:type="dxa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przebudowanych składowisk odpadów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 xml:space="preserve">Liczba składowisk odpadów, które zostały przebudowane w ramach projektu. </w:t>
            </w:r>
          </w:p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 xml:space="preserve">Przez przebudowę rozumie się roboty o charakterze inwestycyjnym realizowane w istniejących obiektach służących zagospodarowaniu odpadów. O zaliczeniu do inwestycji przebudowy decydują kryteria rzeczowe a nie finansowe. Przebudowa polega na polepszeniu parametrów technicznych budowli lub instalacji. </w:t>
            </w:r>
          </w:p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>Jeśli składowisko stanowi element jednego zakładu zagospodarowania odpadów, to nie należy go wykazywać w ramach tego wskaźnika, a w ramach wskaźnika dot. ZZO. Zakres wsparcia zgodny z UP i zapisami linii demarkacyjnej dla PI 6.1.</w:t>
            </w:r>
          </w:p>
        </w:tc>
      </w:tr>
      <w:tr w:rsidR="00E51187" w:rsidRPr="00A610C3" w:rsidTr="00B72E53">
        <w:tc>
          <w:tcPr>
            <w:tcW w:w="671" w:type="dxa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zamkniętych lub zrekultywowanych składowisk odpadów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 xml:space="preserve">Liczba składowisk odpadów, które zostały zamknięte lub zrekultywowane w ramach projektu. </w:t>
            </w:r>
            <w:r w:rsidRPr="00A610C3">
              <w:rPr>
                <w:rFonts w:cs="Times New Roman"/>
                <w:i/>
                <w:sz w:val="20"/>
                <w:szCs w:val="20"/>
              </w:rPr>
              <w:t>Zamkniecie, a następnie rekultywacja składowiska polega na zakończeniu działania składowiska i jego zabezpieczeniu przed zagrożeniami zanieczyszczenia środowiska.</w:t>
            </w:r>
            <w:r w:rsidRPr="00A610C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>Zakres wsparcia zgodny z UP i zapisami linii demarkacyjnej dla PI 6.1.</w:t>
            </w:r>
          </w:p>
        </w:tc>
      </w:tr>
      <w:tr w:rsidR="00E51187" w:rsidRPr="004A2391" w:rsidTr="00B72E53">
        <w:tc>
          <w:tcPr>
            <w:tcW w:w="671" w:type="dxa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wybudowanych zakładów zagospodarowania odpadów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6C1039">
              <w:rPr>
                <w:rFonts w:cs="Times New Roman"/>
                <w:sz w:val="20"/>
                <w:szCs w:val="20"/>
              </w:rPr>
              <w:t xml:space="preserve">Liczba  obiektów wybudowanych w ramach zrealizowanych projektów. </w:t>
            </w:r>
          </w:p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C1039">
              <w:rPr>
                <w:rFonts w:cs="Times New Roman"/>
                <w:i/>
                <w:sz w:val="20"/>
                <w:szCs w:val="20"/>
              </w:rPr>
              <w:t xml:space="preserve">Przez zakład rozumie się jedną lub kilka instalacji wraz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z terenem, do którego prowadzący instalacje posiada tytuł prawny, oraz znajdującymi się na nim urządzeniami. [Art. 3, pkt 48 ustawy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z dn. 27 kwietnia 2001 r. Prawo ochrony środowiska (Dz. U. z 2001 r., Nr 62, poz. 627 z </w:t>
            </w:r>
            <w:proofErr w:type="spellStart"/>
            <w:r w:rsidRPr="006C1039">
              <w:rPr>
                <w:rFonts w:cs="Times New Roman"/>
                <w:i/>
                <w:sz w:val="20"/>
                <w:szCs w:val="20"/>
              </w:rPr>
              <w:t>późn</w:t>
            </w:r>
            <w:proofErr w:type="spellEnd"/>
            <w:r w:rsidRPr="006C1039">
              <w:rPr>
                <w:rFonts w:cs="Times New Roman"/>
                <w:i/>
                <w:sz w:val="20"/>
                <w:szCs w:val="20"/>
              </w:rPr>
              <w:t xml:space="preserve">. zm.)]. </w:t>
            </w:r>
          </w:p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C1039">
              <w:rPr>
                <w:rFonts w:cs="Times New Roman"/>
                <w:i/>
                <w:sz w:val="20"/>
                <w:szCs w:val="20"/>
              </w:rPr>
              <w:t xml:space="preserve">Przez gospodarowanie odpadami rozumie się zbieranie, transport, przetwarzanie odpadów, łącznie z nadzorem nad tego rodzaju działaniami, jak również późniejsze postępowanie z miejscami unieszkodliwiania odpadów oraz działania wykonywane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w charakterze sprzedawcy odpadów lub pośrednika w obrocie odpadami. [ Art. 3, pkt. 1 Ustawa z dnia 14 grudnia 2012 r.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o odpadach (Dz.U. z 2013 r. poz. 21)]. </w:t>
            </w:r>
          </w:p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C1039">
              <w:rPr>
                <w:rFonts w:cs="Times New Roman"/>
                <w:i/>
                <w:sz w:val="20"/>
                <w:szCs w:val="20"/>
              </w:rPr>
              <w:t xml:space="preserve">Przez wybudowanie rozumie się roboty o charakterze inwestycyjnym polegające na wzniesieniu nowych obiektów wraz z wyposażeniem służącym zagospodarowaniu odpadów. O zaliczeniu do inwestycji budowlanej decydują kryteria rzeczowe a nie finansowe.  </w:t>
            </w:r>
          </w:p>
          <w:p w:rsidR="00E51187" w:rsidRPr="004A2391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6C1039">
              <w:rPr>
                <w:rFonts w:cs="Times New Roman"/>
                <w:sz w:val="20"/>
                <w:szCs w:val="20"/>
              </w:rPr>
              <w:t>Zakres wsparcia zgodny z UP i zapisami linii demarkacyjnej dla PI 6.1.</w:t>
            </w:r>
          </w:p>
        </w:tc>
      </w:tr>
      <w:tr w:rsidR="00E51187" w:rsidRPr="004A2391" w:rsidTr="00B72E53">
        <w:tc>
          <w:tcPr>
            <w:tcW w:w="671" w:type="dxa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przebudowanych zakładów zagospodarowania odpadów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6C1039">
              <w:rPr>
                <w:rFonts w:cs="Times New Roman"/>
                <w:sz w:val="20"/>
                <w:szCs w:val="20"/>
              </w:rPr>
              <w:t xml:space="preserve">Liczba  obiektów przebudowanych w ramach zrealizowanych projektów. </w:t>
            </w:r>
          </w:p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C1039">
              <w:rPr>
                <w:rFonts w:cs="Times New Roman"/>
                <w:i/>
                <w:sz w:val="20"/>
                <w:szCs w:val="20"/>
              </w:rPr>
              <w:t xml:space="preserve">Przez zakład rozumie się jedną lub kilka instalacji wraz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z terenem, do którego prowadzący instalacje posiada tytuł prawny, oraz znajdującymi się na nim urządzeniami. [Art. 3, pkt 48 ustawy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z dn. 27 kwietnia 2001 r. Prawo ochrony środowiska (Dz. U. z 2001 r., Nr 62, poz. 627 z </w:t>
            </w:r>
            <w:proofErr w:type="spellStart"/>
            <w:r w:rsidRPr="006C1039">
              <w:rPr>
                <w:rFonts w:cs="Times New Roman"/>
                <w:i/>
                <w:sz w:val="20"/>
                <w:szCs w:val="20"/>
              </w:rPr>
              <w:t>późn</w:t>
            </w:r>
            <w:proofErr w:type="spellEnd"/>
            <w:r w:rsidRPr="006C1039">
              <w:rPr>
                <w:rFonts w:cs="Times New Roman"/>
                <w:i/>
                <w:sz w:val="20"/>
                <w:szCs w:val="20"/>
              </w:rPr>
              <w:t xml:space="preserve">. zm.)]. </w:t>
            </w:r>
          </w:p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C1039">
              <w:rPr>
                <w:rFonts w:cs="Times New Roman"/>
                <w:i/>
                <w:sz w:val="20"/>
                <w:szCs w:val="20"/>
              </w:rPr>
              <w:t xml:space="preserve">Przez gospodarowanie odpadami rozumie się zbieranie, transport, przetwarzanie odpadów, łącznie z nadzorem nad tego rodzaju działaniami, jak również późniejsze postępowanie z miejscami unieszkodliwiania odpadów oraz działania wykonywane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w charakterze sprzedawcy odpadów lub pośrednika w obrocie odpadami. [ Art. 3, pkt. 1 Ustawa z dnia 14 grudnia 2012 r.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6C1039">
              <w:rPr>
                <w:rFonts w:cs="Times New Roman"/>
                <w:i/>
                <w:sz w:val="20"/>
                <w:szCs w:val="20"/>
              </w:rPr>
              <w:t xml:space="preserve">o odpadach (Dz. U. z 2013 r. poz. 21)]. </w:t>
            </w:r>
          </w:p>
          <w:p w:rsidR="00E51187" w:rsidRPr="004A2391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6C1039">
              <w:rPr>
                <w:rFonts w:cs="Times New Roman"/>
                <w:sz w:val="20"/>
                <w:szCs w:val="20"/>
              </w:rPr>
              <w:t>Zakres wsparcia zgodny z UP i zapisami linii demarkacyjnej dla PI 6.1.</w:t>
            </w:r>
          </w:p>
        </w:tc>
      </w:tr>
      <w:tr w:rsidR="00E51187" w:rsidRPr="004A2391" w:rsidTr="00B72E53">
        <w:tc>
          <w:tcPr>
            <w:tcW w:w="671" w:type="dxa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 xml:space="preserve">Masa odpadów zebranych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A610C3">
              <w:rPr>
                <w:rFonts w:cs="Times New Roman"/>
                <w:i/>
                <w:sz w:val="20"/>
                <w:szCs w:val="20"/>
              </w:rPr>
              <w:t>z likwidowanych dzikich wysypisk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Mg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6C1039">
              <w:rPr>
                <w:rFonts w:cs="Times New Roman"/>
                <w:sz w:val="20"/>
                <w:szCs w:val="20"/>
              </w:rPr>
              <w:t xml:space="preserve">Masa odpadów, które zostały zebrane z likwidowanych dzikich wysypisk i poddane utylizacji w ramach zrealizowanych projektów. </w:t>
            </w:r>
          </w:p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C1039">
              <w:rPr>
                <w:rFonts w:cs="Times New Roman"/>
                <w:i/>
                <w:sz w:val="20"/>
                <w:szCs w:val="20"/>
              </w:rPr>
              <w:t xml:space="preserve">Przez dzikie wysypiska należy rozumieć nie tylko miejsca nagromadzenia znacznej masy odpadów, do tego celu nie przeznaczone, ale również rozproszone odpady znajdujące się na większej przestrzeni.  </w:t>
            </w:r>
          </w:p>
          <w:p w:rsidR="00E51187" w:rsidRPr="004A2391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6C1039">
              <w:rPr>
                <w:rFonts w:cs="Times New Roman"/>
                <w:sz w:val="20"/>
                <w:szCs w:val="20"/>
              </w:rPr>
              <w:t>Zakres wsparcia zgodny z UP i zapisami linii demarkacyjnej dla PI 6.1.</w:t>
            </w:r>
          </w:p>
        </w:tc>
      </w:tr>
      <w:tr w:rsidR="00E51187" w:rsidRPr="006C1039" w:rsidTr="00B72E53">
        <w:tc>
          <w:tcPr>
            <w:tcW w:w="671" w:type="dxa"/>
            <w:vAlign w:val="center"/>
          </w:tcPr>
          <w:p w:rsidR="00E51187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42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</w:rPr>
              <w:t>Udział projektu w odniesieniu do obszaru objętego programem rewitalizacji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auto"/>
            <w:vAlign w:val="center"/>
          </w:tcPr>
          <w:p w:rsidR="00E51187" w:rsidRDefault="00E51187" w:rsidP="00B72E53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Wskaźnik obrazuje w jakim stopniu (%) projekt dotyczy części rewitalizacyjnej projektu. Jeżeli projekt w całości wynika </w:t>
            </w:r>
            <w:r>
              <w:rPr>
                <w:sz w:val="20"/>
                <w:szCs w:val="20"/>
              </w:rPr>
              <w:br/>
              <w:t>z programu rewitalizacji lub ma zasięg horyzontalny, ale w całości sprofilowany jest na obszary objęte rewitalizacją to wartość wskaźnika będzie wynosiła 100%.</w:t>
            </w:r>
          </w:p>
          <w:p w:rsidR="00E51187" w:rsidRPr="001B4923" w:rsidRDefault="00E51187" w:rsidP="00B72E53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 w:rsidRPr="001B4923">
              <w:rPr>
                <w:sz w:val="20"/>
                <w:szCs w:val="20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E51187" w:rsidRPr="006C1039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programu rewitalizacji zgodnie z </w:t>
            </w:r>
            <w:r>
              <w:rPr>
                <w:i/>
                <w:sz w:val="20"/>
                <w:szCs w:val="20"/>
              </w:rPr>
              <w:t>Wytycznymi w zakresie rewitalizacji w programach operacyjnych na lata 2014-2020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E51187" w:rsidRPr="004A2391" w:rsidTr="00B72E53">
        <w:tc>
          <w:tcPr>
            <w:tcW w:w="671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610C3">
              <w:rPr>
                <w:sz w:val="20"/>
              </w:rPr>
              <w:t>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Dodatkowe możliwości przerobowe w zakresie recyklingu odpadów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tony/rok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5812" w:type="dxa"/>
            <w:vAlign w:val="center"/>
          </w:tcPr>
          <w:p w:rsidR="00E51187" w:rsidRPr="004A2391" w:rsidRDefault="00E51187" w:rsidP="00B72E5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>Roczna ilość nowo budowanych obiektów do recyklingu odpadów. Obejmuje również rozbudowę istniejących obiektów.</w:t>
            </w:r>
          </w:p>
        </w:tc>
      </w:tr>
      <w:tr w:rsidR="00E51187" w:rsidRPr="004A2391" w:rsidTr="00B72E53">
        <w:tc>
          <w:tcPr>
            <w:tcW w:w="671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610C3">
              <w:rPr>
                <w:sz w:val="20"/>
              </w:rPr>
              <w:t>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osób objętych selektywnym zbieraniem odpadów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>Liczba osób objętych selektywnym zbieraniem odpadów w związku z eksploatacją Punktów Selektywnego Zbierania Odpadów Komunalnych [</w:t>
            </w:r>
            <w:r w:rsidRPr="00A610C3">
              <w:rPr>
                <w:rFonts w:cs="Times New Roman"/>
                <w:i/>
                <w:sz w:val="20"/>
                <w:szCs w:val="20"/>
              </w:rPr>
              <w:t xml:space="preserve">Ustawa z dnia 13 września 1996 r. o utrzymaniu czystości i porządku w gminach (Dz. U. z  1996 Nr 132 poz. 622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A610C3">
              <w:rPr>
                <w:rFonts w:cs="Times New Roman"/>
                <w:i/>
                <w:sz w:val="20"/>
                <w:szCs w:val="20"/>
              </w:rPr>
              <w:t xml:space="preserve">z </w:t>
            </w:r>
            <w:proofErr w:type="spellStart"/>
            <w:r w:rsidRPr="00A610C3">
              <w:rPr>
                <w:rFonts w:cs="Times New Roman"/>
                <w:i/>
                <w:sz w:val="20"/>
                <w:szCs w:val="20"/>
              </w:rPr>
              <w:t>późń</w:t>
            </w:r>
            <w:proofErr w:type="spellEnd"/>
            <w:r w:rsidRPr="00A610C3">
              <w:rPr>
                <w:rFonts w:cs="Times New Roman"/>
                <w:i/>
                <w:sz w:val="20"/>
                <w:szCs w:val="20"/>
              </w:rPr>
              <w:t>. zm.]</w:t>
            </w:r>
            <w:r w:rsidRPr="00A610C3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E51187" w:rsidRPr="004A2391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A610C3">
              <w:rPr>
                <w:rFonts w:cs="Times New Roman"/>
                <w:sz w:val="20"/>
                <w:szCs w:val="20"/>
              </w:rPr>
              <w:t xml:space="preserve">Wsparcie może polegać na budowie, przebudowie, rozbudowie, remoncie lub wyposażeniu obiektu.  Zakres wsparcia zgodny z UP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A610C3">
              <w:rPr>
                <w:rFonts w:cs="Times New Roman"/>
                <w:sz w:val="20"/>
                <w:szCs w:val="20"/>
              </w:rPr>
              <w:t>i zapisami linii demarkacyjnej dla PI 6.1.</w:t>
            </w:r>
          </w:p>
        </w:tc>
      </w:tr>
      <w:tr w:rsidR="00E51187" w:rsidRPr="00C77EF3" w:rsidTr="00B72E53">
        <w:tc>
          <w:tcPr>
            <w:tcW w:w="671" w:type="dxa"/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42" w:type="dxa"/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Liczba osób objętych systemem zagospodarowania odpadów</w:t>
            </w:r>
          </w:p>
        </w:tc>
        <w:tc>
          <w:tcPr>
            <w:tcW w:w="1134" w:type="dxa"/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1275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vAlign w:val="center"/>
          </w:tcPr>
          <w:p w:rsidR="00E51187" w:rsidRPr="001208AF" w:rsidRDefault="00E51187" w:rsidP="00B72E53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1208AF">
              <w:rPr>
                <w:rFonts w:asciiTheme="minorHAnsi" w:hAnsiTheme="minorHAnsi"/>
                <w:sz w:val="20"/>
                <w:szCs w:val="16"/>
              </w:rPr>
              <w:t xml:space="preserve">Wskaźnik mierzy liczbę osób objętych systemem zagospodarowania odpadów. </w:t>
            </w:r>
          </w:p>
          <w:p w:rsidR="00E51187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16"/>
              </w:rPr>
            </w:pPr>
            <w:r w:rsidRPr="001208AF">
              <w:rPr>
                <w:i/>
                <w:iCs/>
                <w:sz w:val="20"/>
                <w:szCs w:val="16"/>
              </w:rPr>
              <w:t xml:space="preserve">Gospodarowanie odpadami </w:t>
            </w:r>
            <w:r w:rsidRPr="001208AF">
              <w:rPr>
                <w:sz w:val="20"/>
                <w:szCs w:val="16"/>
              </w:rPr>
              <w:t>– zbieranie, transport, przetwarzanie odpadów, łącznie z nadzorem nad tego rodzaju działaniami, jak również późniejsze postępowanie z miejscami unieszkodliwiania odpadów oraz działania wykonywane w charakterze sprzedawcy odpadów lub pośrednika w obrocie odpadami (art. 3 ust. 1 pkt 2 ustawy z dnia 14 grudnia 2012 r. o odpadach).</w:t>
            </w:r>
          </w:p>
          <w:p w:rsidR="00E51187" w:rsidRPr="00C77EF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  <w:highlight w:val="green"/>
              </w:rPr>
            </w:pPr>
            <w:r w:rsidRPr="0099640D">
              <w:rPr>
                <w:rFonts w:cs="Times New Roman"/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E51187" w:rsidRPr="00C77EF3" w:rsidTr="00B72E53">
        <w:tc>
          <w:tcPr>
            <w:tcW w:w="671" w:type="dxa"/>
            <w:tcBorders>
              <w:bottom w:val="single" w:sz="12" w:space="0" w:color="33CC33"/>
            </w:tcBorders>
            <w:vAlign w:val="center"/>
          </w:tcPr>
          <w:p w:rsidR="00E51187" w:rsidRPr="004A2391" w:rsidRDefault="00E51187" w:rsidP="00B72E5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142" w:type="dxa"/>
            <w:tcBorders>
              <w:bottom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A610C3">
              <w:rPr>
                <w:rFonts w:cs="Times New Roman"/>
                <w:i/>
                <w:sz w:val="20"/>
                <w:szCs w:val="20"/>
              </w:rPr>
              <w:t>Moc przerobowa zakładu zagospodarowania odpadów</w:t>
            </w:r>
          </w:p>
        </w:tc>
        <w:tc>
          <w:tcPr>
            <w:tcW w:w="1134" w:type="dxa"/>
            <w:tcBorders>
              <w:bottom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610C3">
              <w:rPr>
                <w:rFonts w:cs="Arial"/>
                <w:sz w:val="20"/>
                <w:szCs w:val="20"/>
              </w:rPr>
              <w:t>Mg/rok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rezultat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:rsidR="00E51187" w:rsidRPr="00A610C3" w:rsidRDefault="00E51187" w:rsidP="00B72E5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610C3">
              <w:rPr>
                <w:sz w:val="20"/>
                <w:szCs w:val="20"/>
              </w:rPr>
              <w:t>-</w:t>
            </w:r>
          </w:p>
        </w:tc>
        <w:tc>
          <w:tcPr>
            <w:tcW w:w="5812" w:type="dxa"/>
            <w:tcBorders>
              <w:bottom w:val="single" w:sz="12" w:space="0" w:color="33CC33"/>
            </w:tcBorders>
            <w:vAlign w:val="center"/>
          </w:tcPr>
          <w:p w:rsidR="00E51187" w:rsidRPr="00C77EF3" w:rsidRDefault="00E51187" w:rsidP="00B72E5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  <w:highlight w:val="green"/>
              </w:rPr>
            </w:pPr>
            <w:r w:rsidRPr="00A610C3">
              <w:rPr>
                <w:rFonts w:cs="Times New Roman"/>
                <w:sz w:val="20"/>
                <w:szCs w:val="20"/>
              </w:rPr>
              <w:t>Masa odpadów, jaką może przyjąć do odzysku i/lub unieszkodliwiania w ciągu roku zakład zagospodarowania odpadów (ZZO), który otrzymał wsparcie w ramach dofinansowanego projektu.  Zakres wsparcia zgodny z UP i zapisami linii demarkacyjnej dla PI 6.1.</w:t>
            </w:r>
          </w:p>
        </w:tc>
      </w:tr>
    </w:tbl>
    <w:p w:rsidR="001D3621" w:rsidRPr="00E151AB" w:rsidRDefault="00355D2E" w:rsidP="00E151AB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20"/>
        </w:rPr>
        <w:t>UWAGA:</w:t>
      </w:r>
      <w:r w:rsidR="00E151AB" w:rsidRPr="00E151AB">
        <w:rPr>
          <w:sz w:val="18"/>
          <w:szCs w:val="18"/>
        </w:rPr>
        <w:t xml:space="preserve"> Dla wskaźników </w:t>
      </w:r>
      <w:proofErr w:type="spellStart"/>
      <w:r w:rsidR="00E151AB" w:rsidRPr="00E151AB">
        <w:rPr>
          <w:i/>
          <w:sz w:val="18"/>
          <w:szCs w:val="18"/>
        </w:rPr>
        <w:t>Common</w:t>
      </w:r>
      <w:proofErr w:type="spellEnd"/>
      <w:r w:rsidR="00E151AB" w:rsidRPr="00E151AB">
        <w:rPr>
          <w:i/>
          <w:sz w:val="18"/>
          <w:szCs w:val="18"/>
        </w:rPr>
        <w:t xml:space="preserve"> </w:t>
      </w:r>
      <w:proofErr w:type="spellStart"/>
      <w:r w:rsidR="00E151AB" w:rsidRPr="00E151AB">
        <w:rPr>
          <w:i/>
          <w:sz w:val="18"/>
          <w:szCs w:val="18"/>
        </w:rPr>
        <w:t>Indicators</w:t>
      </w:r>
      <w:proofErr w:type="spellEnd"/>
      <w:r w:rsidR="00E151AB" w:rsidRPr="00E151AB">
        <w:rPr>
          <w:rStyle w:val="Odwoanieprzypisudolnego"/>
          <w:sz w:val="18"/>
          <w:szCs w:val="18"/>
        </w:rPr>
        <w:footnoteReference w:id="2"/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przedstawione definicje są roboczym tłumaczeniem IZ RPO WO 2014-2020. Oryginalne definicje (w języku angielskim) znajdują się </w:t>
      </w:r>
      <w:r w:rsidR="00E151AB" w:rsidRPr="00E151AB">
        <w:rPr>
          <w:sz w:val="18"/>
          <w:szCs w:val="18"/>
        </w:rPr>
        <w:br/>
        <w:t xml:space="preserve">w dokumencie </w:t>
      </w:r>
      <w:r w:rsidR="00E151AB" w:rsidRPr="00E151AB">
        <w:rPr>
          <w:i/>
          <w:sz w:val="18"/>
          <w:szCs w:val="18"/>
        </w:rPr>
        <w:t xml:space="preserve">The </w:t>
      </w:r>
      <w:proofErr w:type="spellStart"/>
      <w:r w:rsidR="00E151AB" w:rsidRPr="00E151AB">
        <w:rPr>
          <w:i/>
          <w:sz w:val="18"/>
          <w:szCs w:val="18"/>
        </w:rPr>
        <w:t>programming</w:t>
      </w:r>
      <w:proofErr w:type="spellEnd"/>
      <w:r w:rsidR="00E151AB" w:rsidRPr="00E151AB">
        <w:rPr>
          <w:i/>
          <w:sz w:val="18"/>
          <w:szCs w:val="18"/>
        </w:rPr>
        <w:t xml:space="preserve"> period 2014-2020. </w:t>
      </w:r>
      <w:r w:rsidR="00E151AB" w:rsidRPr="00E151AB">
        <w:rPr>
          <w:i/>
          <w:sz w:val="18"/>
          <w:szCs w:val="18"/>
          <w:lang w:val="en-US"/>
        </w:rPr>
        <w:t xml:space="preserve">Guidance document on monitoring and evaluation. European Cohesion Fund. European Regional Development Fund. </w:t>
      </w:r>
      <w:proofErr w:type="spellStart"/>
      <w:r w:rsidR="00E151AB" w:rsidRPr="00E151AB">
        <w:rPr>
          <w:i/>
          <w:sz w:val="18"/>
          <w:szCs w:val="18"/>
        </w:rPr>
        <w:t>Concepts</w:t>
      </w:r>
      <w:proofErr w:type="spellEnd"/>
      <w:r w:rsidR="00E151AB" w:rsidRPr="00E151AB">
        <w:rPr>
          <w:i/>
          <w:sz w:val="18"/>
          <w:szCs w:val="18"/>
        </w:rPr>
        <w:t xml:space="preserve"> and </w:t>
      </w:r>
      <w:proofErr w:type="spellStart"/>
      <w:r w:rsidR="00E151AB" w:rsidRPr="00E151AB">
        <w:rPr>
          <w:i/>
          <w:sz w:val="18"/>
          <w:szCs w:val="18"/>
        </w:rPr>
        <w:t>Recommendations</w:t>
      </w:r>
      <w:proofErr w:type="spellEnd"/>
      <w:r w:rsidR="00E151AB" w:rsidRPr="00E151AB">
        <w:rPr>
          <w:i/>
          <w:sz w:val="18"/>
          <w:szCs w:val="18"/>
        </w:rPr>
        <w:t>. March 2014</w:t>
      </w:r>
      <w:r w:rsidR="00E151AB" w:rsidRPr="00E151AB">
        <w:rPr>
          <w:sz w:val="18"/>
          <w:szCs w:val="18"/>
        </w:rPr>
        <w:t>,</w:t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dostępnym na stronie internetowej Komisji Europejskiej: </w:t>
      </w:r>
      <w:hyperlink r:id="rId8" w:anchor="1" w:history="1">
        <w:r w:rsidR="00E151AB" w:rsidRPr="00E151AB">
          <w:rPr>
            <w:rStyle w:val="Hipercze"/>
            <w:i/>
            <w:sz w:val="18"/>
            <w:szCs w:val="18"/>
          </w:rPr>
          <w:t>http://ec.europa.eu/regional_policy/pl/policy/evaluations/guidance/#1</w:t>
        </w:r>
      </w:hyperlink>
    </w:p>
    <w:sectPr w:rsidR="001D3621" w:rsidRPr="00E151AB" w:rsidSect="00E151AB">
      <w:headerReference w:type="default" r:id="rId9"/>
      <w:footerReference w:type="default" r:id="rId10"/>
      <w:headerReference w:type="first" r:id="rId11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78" w:rsidRDefault="00547178" w:rsidP="00A11280">
      <w:pPr>
        <w:spacing w:after="0" w:line="240" w:lineRule="auto"/>
      </w:pPr>
      <w:r>
        <w:separator/>
      </w:r>
    </w:p>
  </w:endnote>
  <w:endnote w:type="continuationSeparator" w:id="0">
    <w:p w:rsidR="00547178" w:rsidRDefault="00547178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:rsidR="00547178" w:rsidRPr="00D47A5A" w:rsidRDefault="00547178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0A3386">
          <w:rPr>
            <w:noProof/>
            <w:sz w:val="20"/>
          </w:rPr>
          <w:t>3</w:t>
        </w:r>
        <w:r w:rsidRPr="00D47A5A">
          <w:rPr>
            <w:sz w:val="20"/>
          </w:rPr>
          <w:fldChar w:fldCharType="end"/>
        </w:r>
      </w:p>
    </w:sdtContent>
  </w:sdt>
  <w:p w:rsidR="00547178" w:rsidRDefault="00547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78" w:rsidRDefault="00547178" w:rsidP="00A11280">
      <w:pPr>
        <w:spacing w:after="0" w:line="240" w:lineRule="auto"/>
      </w:pPr>
      <w:r>
        <w:separator/>
      </w:r>
    </w:p>
  </w:footnote>
  <w:footnote w:type="continuationSeparator" w:id="0">
    <w:p w:rsidR="00547178" w:rsidRDefault="00547178" w:rsidP="00A11280">
      <w:pPr>
        <w:spacing w:after="0" w:line="240" w:lineRule="auto"/>
      </w:pPr>
      <w:r>
        <w:continuationSeparator/>
      </w:r>
    </w:p>
  </w:footnote>
  <w:footnote w:id="1">
    <w:p w:rsidR="00E51187" w:rsidRPr="00137AD2" w:rsidRDefault="00E51187" w:rsidP="00E51187">
      <w:pPr>
        <w:pStyle w:val="Tekstprzypisudolnego"/>
      </w:pPr>
      <w:r>
        <w:rPr>
          <w:rStyle w:val="Odwoanieprzypisudolnego"/>
        </w:rPr>
        <w:footnoteRef/>
      </w:r>
      <w:r w:rsidR="006629E4">
        <w:t xml:space="preserve"> Wskaźniki 5, 5a i 5</w:t>
      </w:r>
      <w:r>
        <w:t xml:space="preserve">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547178" w:rsidRDefault="00547178" w:rsidP="00E151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78" w:rsidRDefault="00547178" w:rsidP="00964523">
    <w:pPr>
      <w:pStyle w:val="Nagwek"/>
      <w:jc w:val="right"/>
    </w:pPr>
    <w:r w:rsidRPr="0035163A">
      <w:rPr>
        <w:i/>
        <w:iCs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C" w:rsidRPr="006B0E81" w:rsidRDefault="00E751BC" w:rsidP="00E751BC">
    <w:pPr>
      <w:spacing w:after="0" w:line="240" w:lineRule="auto"/>
      <w:jc w:val="right"/>
      <w:rPr>
        <w:rFonts w:eastAsiaTheme="minorHAnsi"/>
        <w:i/>
        <w:sz w:val="20"/>
        <w:szCs w:val="24"/>
        <w:lang w:eastAsia="en-US"/>
      </w:rPr>
    </w:pPr>
    <w:r w:rsidRPr="006B0E81">
      <w:rPr>
        <w:rFonts w:eastAsiaTheme="minorHAnsi"/>
        <w:b/>
        <w:i/>
        <w:sz w:val="20"/>
        <w:szCs w:val="24"/>
        <w:lang w:eastAsia="en-US"/>
      </w:rPr>
      <w:t xml:space="preserve">Załącznik </w:t>
    </w:r>
    <w:r w:rsidRPr="006B0E81">
      <w:rPr>
        <w:rFonts w:eastAsiaTheme="minorHAnsi"/>
        <w:i/>
        <w:sz w:val="20"/>
        <w:szCs w:val="24"/>
        <w:lang w:eastAsia="en-US"/>
      </w:rPr>
      <w:t xml:space="preserve">do </w:t>
    </w:r>
    <w:r w:rsidR="007654B7">
      <w:rPr>
        <w:rFonts w:eastAsiaTheme="minorHAnsi"/>
        <w:i/>
        <w:sz w:val="20"/>
        <w:szCs w:val="24"/>
        <w:u w:val="single"/>
        <w:lang w:eastAsia="en-US"/>
      </w:rPr>
      <w:t>Regulaminu konkursu</w:t>
    </w:r>
  </w:p>
  <w:p w:rsidR="00E751BC" w:rsidRPr="006B0E81" w:rsidRDefault="00E751BC" w:rsidP="00E751BC">
    <w:pPr>
      <w:spacing w:after="0" w:line="240" w:lineRule="auto"/>
      <w:jc w:val="right"/>
      <w:rPr>
        <w:rFonts w:eastAsiaTheme="minorHAnsi"/>
        <w:i/>
        <w:sz w:val="20"/>
        <w:szCs w:val="24"/>
        <w:u w:val="single"/>
        <w:lang w:eastAsia="en-US"/>
      </w:rPr>
    </w:pPr>
    <w:r>
      <w:rPr>
        <w:rFonts w:eastAsia="Calibri"/>
        <w:i/>
        <w:noProof/>
        <w:sz w:val="20"/>
        <w:szCs w:val="24"/>
      </w:rPr>
      <w:t>Działania 5.2 Poprawa gospodarowania odpadami komunalnymi</w:t>
    </w:r>
    <w:r w:rsidR="007654B7">
      <w:rPr>
        <w:rFonts w:eastAsia="Calibri"/>
        <w:i/>
        <w:noProof/>
        <w:sz w:val="20"/>
        <w:szCs w:val="24"/>
      </w:rPr>
      <w:t xml:space="preserve"> </w:t>
    </w:r>
    <w:r>
      <w:rPr>
        <w:rFonts w:eastAsiaTheme="minorHAnsi"/>
        <w:i/>
        <w:sz w:val="20"/>
        <w:szCs w:val="24"/>
        <w:lang w:eastAsia="en-US"/>
      </w:rPr>
      <w:t>RPO WO 2014-2020</w:t>
    </w:r>
    <w:r w:rsidR="000A3386">
      <w:rPr>
        <w:rFonts w:eastAsiaTheme="minorHAnsi"/>
        <w:i/>
        <w:sz w:val="20"/>
        <w:szCs w:val="24"/>
        <w:lang w:eastAsia="en-US"/>
      </w:rPr>
      <w:t xml:space="preserve"> Nabór II</w:t>
    </w:r>
  </w:p>
  <w:p w:rsidR="00E751BC" w:rsidRPr="006B0E81" w:rsidRDefault="00E751BC" w:rsidP="00E751BC">
    <w:pPr>
      <w:tabs>
        <w:tab w:val="center" w:pos="4536"/>
        <w:tab w:val="right" w:pos="9072"/>
      </w:tabs>
      <w:jc w:val="right"/>
      <w:rPr>
        <w:rFonts w:ascii="Times New Roman" w:eastAsia="Calibri" w:hAnsi="Times New Roman"/>
        <w:sz w:val="24"/>
        <w:szCs w:val="20"/>
        <w:lang w:eastAsia="x-none"/>
      </w:rPr>
    </w:pPr>
    <w:r w:rsidRPr="006B0E81">
      <w:rPr>
        <w:rFonts w:eastAsia="Calibri"/>
        <w:i/>
        <w:sz w:val="20"/>
        <w:lang w:eastAsia="en-US"/>
      </w:rPr>
      <w:tab/>
    </w:r>
    <w:r w:rsidRPr="006B0E81">
      <w:rPr>
        <w:rFonts w:eastAsia="Calibri"/>
        <w:i/>
        <w:sz w:val="20"/>
        <w:lang w:eastAsia="en-US"/>
      </w:rPr>
      <w:tab/>
      <w:t xml:space="preserve">                                                                                                                                                        </w:t>
    </w:r>
    <w:r w:rsidR="000A3386">
      <w:rPr>
        <w:rFonts w:eastAsia="Calibri"/>
        <w:i/>
        <w:sz w:val="20"/>
        <w:lang w:eastAsia="en-US"/>
      </w:rPr>
      <w:t>listopad</w:t>
    </w:r>
    <w:r w:rsidRPr="006B0E81">
      <w:rPr>
        <w:rFonts w:eastAsia="Calibri"/>
        <w:i/>
        <w:sz w:val="20"/>
        <w:lang w:eastAsia="en-US"/>
      </w:rPr>
      <w:t xml:space="preserve"> 201</w:t>
    </w:r>
    <w:r>
      <w:rPr>
        <w:rFonts w:eastAsia="Calibri"/>
        <w:i/>
        <w:sz w:val="20"/>
        <w:lang w:eastAsia="en-US"/>
      </w:rPr>
      <w:t>7</w:t>
    </w:r>
    <w:r w:rsidRPr="006B0E81">
      <w:rPr>
        <w:rFonts w:eastAsia="Calibri"/>
        <w:i/>
        <w:sz w:val="20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2"/>
  </w:num>
  <w:num w:numId="5">
    <w:abstractNumId w:val="21"/>
  </w:num>
  <w:num w:numId="6">
    <w:abstractNumId w:val="19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8"/>
  </w:num>
  <w:num w:numId="22">
    <w:abstractNumId w:val="1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494"/>
    <w:rsid w:val="00011B8E"/>
    <w:rsid w:val="00015583"/>
    <w:rsid w:val="00015782"/>
    <w:rsid w:val="00015DEA"/>
    <w:rsid w:val="000168FD"/>
    <w:rsid w:val="00016AEA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3386"/>
    <w:rsid w:val="000A34FA"/>
    <w:rsid w:val="000A4AD5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521A"/>
    <w:rsid w:val="000E5944"/>
    <w:rsid w:val="000E67E8"/>
    <w:rsid w:val="000E7D3B"/>
    <w:rsid w:val="000F6829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6785D"/>
    <w:rsid w:val="0017178D"/>
    <w:rsid w:val="00173EA5"/>
    <w:rsid w:val="0018259B"/>
    <w:rsid w:val="00195DF3"/>
    <w:rsid w:val="00195E0A"/>
    <w:rsid w:val="001A2230"/>
    <w:rsid w:val="001A32D2"/>
    <w:rsid w:val="001A7097"/>
    <w:rsid w:val="001C0B0B"/>
    <w:rsid w:val="001D2995"/>
    <w:rsid w:val="001D2DFD"/>
    <w:rsid w:val="001D3621"/>
    <w:rsid w:val="001D577F"/>
    <w:rsid w:val="001D5EF7"/>
    <w:rsid w:val="001E3C79"/>
    <w:rsid w:val="001E4C2E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ACF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41A2"/>
    <w:rsid w:val="002E44DF"/>
    <w:rsid w:val="002E46F4"/>
    <w:rsid w:val="002F24F9"/>
    <w:rsid w:val="002F3149"/>
    <w:rsid w:val="002F33BC"/>
    <w:rsid w:val="003073B4"/>
    <w:rsid w:val="00307EDB"/>
    <w:rsid w:val="00312D4D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5D2E"/>
    <w:rsid w:val="00357688"/>
    <w:rsid w:val="0036037A"/>
    <w:rsid w:val="00365665"/>
    <w:rsid w:val="00367BF2"/>
    <w:rsid w:val="00370E0C"/>
    <w:rsid w:val="00377C57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C7A00"/>
    <w:rsid w:val="003D2FB7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343A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32C9"/>
    <w:rsid w:val="00495F8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4F79CB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178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2750"/>
    <w:rsid w:val="00617E85"/>
    <w:rsid w:val="00625468"/>
    <w:rsid w:val="00627DDB"/>
    <w:rsid w:val="0063106F"/>
    <w:rsid w:val="0063254B"/>
    <w:rsid w:val="00635E43"/>
    <w:rsid w:val="00640991"/>
    <w:rsid w:val="0064192E"/>
    <w:rsid w:val="00641F8D"/>
    <w:rsid w:val="0065404E"/>
    <w:rsid w:val="00657EC9"/>
    <w:rsid w:val="006621DF"/>
    <w:rsid w:val="00662786"/>
    <w:rsid w:val="006629E4"/>
    <w:rsid w:val="00662B00"/>
    <w:rsid w:val="00670B55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92AF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6D0A"/>
    <w:rsid w:val="006B6E11"/>
    <w:rsid w:val="006B6E44"/>
    <w:rsid w:val="006C1039"/>
    <w:rsid w:val="006C178D"/>
    <w:rsid w:val="006C452F"/>
    <w:rsid w:val="006C54F1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2197A"/>
    <w:rsid w:val="00722E29"/>
    <w:rsid w:val="00723497"/>
    <w:rsid w:val="00725343"/>
    <w:rsid w:val="007315C9"/>
    <w:rsid w:val="007317B9"/>
    <w:rsid w:val="00733355"/>
    <w:rsid w:val="00735B8E"/>
    <w:rsid w:val="0074087F"/>
    <w:rsid w:val="007411F6"/>
    <w:rsid w:val="00742DC9"/>
    <w:rsid w:val="00743327"/>
    <w:rsid w:val="007435C8"/>
    <w:rsid w:val="0075259A"/>
    <w:rsid w:val="00753583"/>
    <w:rsid w:val="00761C40"/>
    <w:rsid w:val="00761E9C"/>
    <w:rsid w:val="007622B2"/>
    <w:rsid w:val="0076425E"/>
    <w:rsid w:val="007654B7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64AC8"/>
    <w:rsid w:val="00876AB5"/>
    <w:rsid w:val="00881365"/>
    <w:rsid w:val="00881689"/>
    <w:rsid w:val="00883C42"/>
    <w:rsid w:val="008854C0"/>
    <w:rsid w:val="00886741"/>
    <w:rsid w:val="00892C10"/>
    <w:rsid w:val="00892C4D"/>
    <w:rsid w:val="008950B0"/>
    <w:rsid w:val="008971CC"/>
    <w:rsid w:val="008974AB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21B3F"/>
    <w:rsid w:val="00A21E6D"/>
    <w:rsid w:val="00A22820"/>
    <w:rsid w:val="00A2382C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3A26"/>
    <w:rsid w:val="00A44759"/>
    <w:rsid w:val="00A46E50"/>
    <w:rsid w:val="00A5539C"/>
    <w:rsid w:val="00A55607"/>
    <w:rsid w:val="00A566FE"/>
    <w:rsid w:val="00A56BFA"/>
    <w:rsid w:val="00A610C3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6F8"/>
    <w:rsid w:val="00B54AF4"/>
    <w:rsid w:val="00B56563"/>
    <w:rsid w:val="00B627EE"/>
    <w:rsid w:val="00B67239"/>
    <w:rsid w:val="00B70521"/>
    <w:rsid w:val="00B7401B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C14B8"/>
    <w:rsid w:val="00BC52C6"/>
    <w:rsid w:val="00BC6511"/>
    <w:rsid w:val="00BC7EE3"/>
    <w:rsid w:val="00BD1809"/>
    <w:rsid w:val="00BD3741"/>
    <w:rsid w:val="00BD623F"/>
    <w:rsid w:val="00BE1108"/>
    <w:rsid w:val="00BE34E0"/>
    <w:rsid w:val="00BE78D2"/>
    <w:rsid w:val="00BF0CA3"/>
    <w:rsid w:val="00BF3654"/>
    <w:rsid w:val="00BF5BE4"/>
    <w:rsid w:val="00C013F9"/>
    <w:rsid w:val="00C04951"/>
    <w:rsid w:val="00C05E3B"/>
    <w:rsid w:val="00C13E93"/>
    <w:rsid w:val="00C169AD"/>
    <w:rsid w:val="00C229BF"/>
    <w:rsid w:val="00C23DD6"/>
    <w:rsid w:val="00C3041C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445E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4D6"/>
    <w:rsid w:val="00CD4756"/>
    <w:rsid w:val="00CD784C"/>
    <w:rsid w:val="00CE045F"/>
    <w:rsid w:val="00CE0CF8"/>
    <w:rsid w:val="00CE24BD"/>
    <w:rsid w:val="00CE4506"/>
    <w:rsid w:val="00CE4515"/>
    <w:rsid w:val="00CE7C90"/>
    <w:rsid w:val="00CE7C94"/>
    <w:rsid w:val="00CF1305"/>
    <w:rsid w:val="00CF3A1F"/>
    <w:rsid w:val="00CF63B0"/>
    <w:rsid w:val="00D01C11"/>
    <w:rsid w:val="00D06A27"/>
    <w:rsid w:val="00D07AF4"/>
    <w:rsid w:val="00D10227"/>
    <w:rsid w:val="00D109D2"/>
    <w:rsid w:val="00D15791"/>
    <w:rsid w:val="00D21207"/>
    <w:rsid w:val="00D26BE8"/>
    <w:rsid w:val="00D27432"/>
    <w:rsid w:val="00D307DB"/>
    <w:rsid w:val="00D30972"/>
    <w:rsid w:val="00D34A8D"/>
    <w:rsid w:val="00D36A60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97AE5"/>
    <w:rsid w:val="00DA1CBC"/>
    <w:rsid w:val="00DA64DA"/>
    <w:rsid w:val="00DB5184"/>
    <w:rsid w:val="00DB5AA4"/>
    <w:rsid w:val="00DB5E30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51AB"/>
    <w:rsid w:val="00E152F7"/>
    <w:rsid w:val="00E1605C"/>
    <w:rsid w:val="00E21CC8"/>
    <w:rsid w:val="00E2310F"/>
    <w:rsid w:val="00E24B44"/>
    <w:rsid w:val="00E267B7"/>
    <w:rsid w:val="00E26B68"/>
    <w:rsid w:val="00E27129"/>
    <w:rsid w:val="00E30318"/>
    <w:rsid w:val="00E31654"/>
    <w:rsid w:val="00E32317"/>
    <w:rsid w:val="00E34FD6"/>
    <w:rsid w:val="00E41444"/>
    <w:rsid w:val="00E43283"/>
    <w:rsid w:val="00E43E7A"/>
    <w:rsid w:val="00E47908"/>
    <w:rsid w:val="00E503EA"/>
    <w:rsid w:val="00E50DE7"/>
    <w:rsid w:val="00E51187"/>
    <w:rsid w:val="00E51454"/>
    <w:rsid w:val="00E572EF"/>
    <w:rsid w:val="00E63D0A"/>
    <w:rsid w:val="00E652A8"/>
    <w:rsid w:val="00E751BC"/>
    <w:rsid w:val="00E76D66"/>
    <w:rsid w:val="00E80B69"/>
    <w:rsid w:val="00E858A9"/>
    <w:rsid w:val="00E907E9"/>
    <w:rsid w:val="00E91CF9"/>
    <w:rsid w:val="00E937B1"/>
    <w:rsid w:val="00E95D47"/>
    <w:rsid w:val="00E9729C"/>
    <w:rsid w:val="00E97FDF"/>
    <w:rsid w:val="00EC77B0"/>
    <w:rsid w:val="00ED1091"/>
    <w:rsid w:val="00ED2D0B"/>
    <w:rsid w:val="00ED303E"/>
    <w:rsid w:val="00EF2909"/>
    <w:rsid w:val="00EF3F8F"/>
    <w:rsid w:val="00EF46B8"/>
    <w:rsid w:val="00F00ADF"/>
    <w:rsid w:val="00F122C5"/>
    <w:rsid w:val="00F149AD"/>
    <w:rsid w:val="00F174E4"/>
    <w:rsid w:val="00F26B43"/>
    <w:rsid w:val="00F304F8"/>
    <w:rsid w:val="00F308AB"/>
    <w:rsid w:val="00F340A2"/>
    <w:rsid w:val="00F353FE"/>
    <w:rsid w:val="00F41DFA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758"/>
    <w:rsid w:val="00F90331"/>
    <w:rsid w:val="00FA1A10"/>
    <w:rsid w:val="00FA4398"/>
    <w:rsid w:val="00FB3A48"/>
    <w:rsid w:val="00FB3CFD"/>
    <w:rsid w:val="00FB43CA"/>
    <w:rsid w:val="00FB5AB1"/>
    <w:rsid w:val="00FD3825"/>
    <w:rsid w:val="00FD3D46"/>
    <w:rsid w:val="00FD4489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basedOn w:val="Normalny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187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5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gional_policy/pl/policy/evaluations/guida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D9DE-E7F3-41F7-B4D0-32AA4B43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Małgorzata Kąpała</cp:lastModifiedBy>
  <cp:revision>51</cp:revision>
  <cp:lastPrinted>2017-01-10T08:14:00Z</cp:lastPrinted>
  <dcterms:created xsi:type="dcterms:W3CDTF">2017-01-10T08:12:00Z</dcterms:created>
  <dcterms:modified xsi:type="dcterms:W3CDTF">2017-11-02T12:02:00Z</dcterms:modified>
</cp:coreProperties>
</file>