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A" w:rsidRPr="004A2391" w:rsidRDefault="00E61FAB" w:rsidP="00F122C5">
      <w:pPr>
        <w:jc w:val="center"/>
        <w:rPr>
          <w:b/>
          <w:i/>
          <w:color w:val="000099"/>
          <w:sz w:val="44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273F91" wp14:editId="20BE8EE5">
            <wp:extent cx="8168440" cy="802257"/>
            <wp:effectExtent l="0" t="0" r="4445" b="0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800" cy="8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C5" w:rsidRDefault="00F122C5">
      <w:pPr>
        <w:rPr>
          <w:b/>
        </w:rPr>
      </w:pPr>
    </w:p>
    <w:p w:rsidR="00F41DFA" w:rsidRPr="00BD3CDD" w:rsidRDefault="00F41DFA">
      <w:pPr>
        <w:rPr>
          <w:b/>
        </w:rPr>
      </w:pPr>
    </w:p>
    <w:p w:rsidR="00BD3CDD" w:rsidRPr="00BD3CDD" w:rsidRDefault="00BD3CDD" w:rsidP="00BD3CDD">
      <w:pPr>
        <w:spacing w:after="0"/>
        <w:jc w:val="center"/>
        <w:rPr>
          <w:b/>
          <w:sz w:val="44"/>
          <w:szCs w:val="44"/>
        </w:rPr>
      </w:pPr>
      <w:r w:rsidRPr="00BD3CDD">
        <w:rPr>
          <w:b/>
          <w:sz w:val="44"/>
          <w:szCs w:val="44"/>
        </w:rPr>
        <w:t xml:space="preserve">ZAŁĄCZNIK NR </w:t>
      </w:r>
      <w:r w:rsidR="00B10C8A">
        <w:rPr>
          <w:b/>
          <w:sz w:val="44"/>
          <w:szCs w:val="44"/>
        </w:rPr>
        <w:t>8</w:t>
      </w:r>
    </w:p>
    <w:p w:rsidR="00D74914" w:rsidRPr="00BD3CDD" w:rsidRDefault="00D74914" w:rsidP="00D74914">
      <w:pPr>
        <w:jc w:val="center"/>
        <w:rPr>
          <w:rFonts w:ascii="Calibri" w:eastAsia="Times New Roman" w:hAnsi="Calibri" w:cs="Times New Roman"/>
          <w:b/>
          <w:i/>
          <w:sz w:val="44"/>
          <w:szCs w:val="28"/>
        </w:rPr>
      </w:pP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Lista wskaźników na poziomie projektu </w:t>
      </w:r>
      <w:r w:rsidR="00A635F2"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</w:r>
      <w:r w:rsidR="00747DCF" w:rsidRPr="00BD3CDD">
        <w:rPr>
          <w:rFonts w:ascii="Calibri" w:eastAsia="Times New Roman" w:hAnsi="Calibri" w:cs="Times New Roman"/>
          <w:i/>
          <w:sz w:val="44"/>
          <w:szCs w:val="28"/>
        </w:rPr>
        <w:t>d</w:t>
      </w:r>
      <w:r w:rsidR="00A635F2" w:rsidRPr="00BD3CDD">
        <w:rPr>
          <w:rFonts w:ascii="Calibri" w:eastAsia="Times New Roman" w:hAnsi="Calibri" w:cs="Times New Roman"/>
          <w:i/>
          <w:sz w:val="44"/>
          <w:szCs w:val="28"/>
        </w:rPr>
        <w:t>la</w:t>
      </w:r>
      <w:r w:rsidR="00747DCF" w:rsidRPr="00BD3CDD">
        <w:rPr>
          <w:rFonts w:ascii="Calibri" w:eastAsia="Times New Roman" w:hAnsi="Calibri" w:cs="Times New Roman"/>
          <w:i/>
          <w:sz w:val="44"/>
          <w:szCs w:val="28"/>
        </w:rPr>
        <w:t xml:space="preserve"> poddziałania 3.2.1 Efektywność energetyczna w budynkach publicznych</w:t>
      </w:r>
      <w:r w:rsidR="00747DCF"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 </w:t>
      </w:r>
      <w:r w:rsidR="00A635F2"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  <w:t>RPO WO 2014-2020</w:t>
      </w:r>
    </w:p>
    <w:p w:rsidR="00F122C5" w:rsidRPr="004A2391" w:rsidRDefault="00F122C5">
      <w:pPr>
        <w:rPr>
          <w:b/>
        </w:rPr>
      </w:pPr>
    </w:p>
    <w:p w:rsidR="00BD3CDD" w:rsidRDefault="00BD3CDD">
      <w:pPr>
        <w:rPr>
          <w:b/>
        </w:rPr>
      </w:pPr>
    </w:p>
    <w:p w:rsidR="00BD3CDD" w:rsidRPr="004A2391" w:rsidRDefault="00BD3CDD">
      <w:pPr>
        <w:rPr>
          <w:b/>
        </w:rPr>
      </w:pPr>
    </w:p>
    <w:p w:rsidR="001E4C2E" w:rsidRPr="004A2391" w:rsidRDefault="001E4C2E">
      <w:pPr>
        <w:rPr>
          <w:b/>
        </w:rPr>
      </w:pPr>
      <w:r>
        <w:rPr>
          <w:b/>
        </w:rPr>
        <w:t xml:space="preserve">   </w:t>
      </w:r>
    </w:p>
    <w:p w:rsidR="00BD3CDD" w:rsidRDefault="00BD3CDD" w:rsidP="00BD3CDD">
      <w:pPr>
        <w:spacing w:after="0"/>
        <w:jc w:val="center"/>
        <w:rPr>
          <w:b/>
        </w:rPr>
      </w:pPr>
      <w:r>
        <w:rPr>
          <w:b/>
        </w:rPr>
        <w:t>Wersja 1</w:t>
      </w:r>
    </w:p>
    <w:p w:rsidR="00BD3CDD" w:rsidRDefault="00BD3CDD" w:rsidP="00BD3CDD">
      <w:pPr>
        <w:spacing w:after="0" w:line="240" w:lineRule="auto"/>
        <w:jc w:val="center"/>
        <w:rPr>
          <w:b/>
        </w:rPr>
      </w:pPr>
      <w:r>
        <w:rPr>
          <w:b/>
        </w:rPr>
        <w:t xml:space="preserve">Opole, </w:t>
      </w:r>
      <w:r w:rsidR="00E61FAB">
        <w:rPr>
          <w:b/>
        </w:rPr>
        <w:t>maj 2019</w:t>
      </w:r>
      <w:r>
        <w:rPr>
          <w:b/>
        </w:rPr>
        <w:t xml:space="preserve"> r.</w:t>
      </w:r>
    </w:p>
    <w:p w:rsidR="00F122C5" w:rsidRPr="004A2391" w:rsidRDefault="00F122C5" w:rsidP="00BD3CDD">
      <w:pPr>
        <w:jc w:val="center"/>
        <w:rPr>
          <w:b/>
        </w:rPr>
      </w:pPr>
    </w:p>
    <w:p w:rsidR="001E4C2E" w:rsidRDefault="001E4C2E" w:rsidP="001E4C2E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ind w:firstLine="35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747DCF" w:rsidRDefault="00747DCF">
      <w:pPr>
        <w:rPr>
          <w:b/>
        </w:rPr>
      </w:pPr>
    </w:p>
    <w:p w:rsidR="00747DCF" w:rsidRDefault="00747DCF">
      <w:pPr>
        <w:rPr>
          <w:b/>
        </w:rPr>
      </w:pPr>
    </w:p>
    <w:p w:rsidR="00747DCF" w:rsidRDefault="00747DCF">
      <w:pPr>
        <w:rPr>
          <w:b/>
        </w:rPr>
      </w:pPr>
    </w:p>
    <w:p w:rsidR="00611F30" w:rsidRDefault="00611F30">
      <w:pPr>
        <w:rPr>
          <w:b/>
        </w:rPr>
      </w:pPr>
    </w:p>
    <w:p w:rsidR="001E4C2E" w:rsidRDefault="001E4C2E">
      <w:pPr>
        <w:rPr>
          <w:b/>
        </w:rPr>
      </w:pPr>
    </w:p>
    <w:p w:rsidR="00DF2D9B" w:rsidRDefault="00DF2D9B">
      <w:pPr>
        <w:rPr>
          <w:b/>
        </w:rPr>
      </w:pPr>
    </w:p>
    <w:p w:rsidR="00D74914" w:rsidRDefault="00D74914">
      <w:pPr>
        <w:rPr>
          <w:b/>
        </w:rPr>
      </w:pPr>
    </w:p>
    <w:p w:rsidR="00D74914" w:rsidRPr="004A2391" w:rsidRDefault="00D74914">
      <w:pPr>
        <w:rPr>
          <w:b/>
        </w:rPr>
      </w:pPr>
    </w:p>
    <w:p w:rsidR="00F122C5" w:rsidRPr="004A2391" w:rsidRDefault="00F122C5" w:rsidP="00F122C5">
      <w:pPr>
        <w:spacing w:after="0"/>
        <w:rPr>
          <w:b/>
          <w:color w:val="000099"/>
          <w:sz w:val="18"/>
          <w:u w:val="single"/>
        </w:rPr>
      </w:pPr>
      <w:r w:rsidRPr="004A2391">
        <w:rPr>
          <w:b/>
          <w:color w:val="000099"/>
          <w:sz w:val="18"/>
          <w:u w:val="single"/>
        </w:rPr>
        <w:t>Opracowanie:</w:t>
      </w:r>
    </w:p>
    <w:p w:rsidR="00F122C5" w:rsidRPr="004A2391" w:rsidRDefault="00F122C5" w:rsidP="000E521A">
      <w:pPr>
        <w:tabs>
          <w:tab w:val="center" w:pos="7001"/>
        </w:tabs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Departament Koordynacji Programów Operacyjnych</w:t>
      </w:r>
      <w:r w:rsidR="000E521A">
        <w:rPr>
          <w:color w:val="000099"/>
          <w:sz w:val="18"/>
        </w:rPr>
        <w:tab/>
      </w:r>
    </w:p>
    <w:p w:rsidR="00F122C5" w:rsidRPr="004A2391" w:rsidRDefault="00F122C5" w:rsidP="00F122C5">
      <w:pPr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Urząd Marszałkowski Województwa Opolskiego</w:t>
      </w:r>
    </w:p>
    <w:p w:rsidR="00F122C5" w:rsidRPr="004A2391" w:rsidRDefault="00AA17E8" w:rsidP="00F122C5">
      <w:pPr>
        <w:spacing w:after="0"/>
        <w:rPr>
          <w:b/>
        </w:rPr>
      </w:pPr>
      <w:r w:rsidRPr="00035BDD">
        <w:rPr>
          <w:color w:val="000099"/>
          <w:sz w:val="18"/>
        </w:rPr>
        <w:t>Opole</w:t>
      </w:r>
      <w:r w:rsidR="00864144" w:rsidRPr="00035BDD">
        <w:rPr>
          <w:color w:val="000099"/>
          <w:sz w:val="18"/>
        </w:rPr>
        <w:t>,</w:t>
      </w:r>
      <w:r w:rsidR="00611F30">
        <w:rPr>
          <w:color w:val="000099"/>
          <w:sz w:val="18"/>
        </w:rPr>
        <w:t xml:space="preserve"> </w:t>
      </w:r>
      <w:r w:rsidR="00E61FAB">
        <w:rPr>
          <w:color w:val="000099"/>
          <w:sz w:val="18"/>
        </w:rPr>
        <w:t>maj 2019</w:t>
      </w:r>
      <w:r w:rsidR="00611F30">
        <w:rPr>
          <w:color w:val="000099"/>
          <w:sz w:val="18"/>
        </w:rPr>
        <w:t xml:space="preserve"> </w:t>
      </w:r>
      <w:r w:rsidR="00F122C5" w:rsidRPr="00035BDD">
        <w:rPr>
          <w:color w:val="000099"/>
          <w:sz w:val="18"/>
        </w:rPr>
        <w:t>r.</w:t>
      </w:r>
      <w:r w:rsidR="00F122C5" w:rsidRPr="004A2391">
        <w:rPr>
          <w:b/>
        </w:rPr>
        <w:br w:type="page"/>
      </w:r>
    </w:p>
    <w:p w:rsidR="00512467" w:rsidRPr="00A635F2" w:rsidRDefault="006D162A" w:rsidP="00CE7C94">
      <w:pPr>
        <w:spacing w:after="60"/>
        <w:rPr>
          <w:i/>
          <w:sz w:val="24"/>
        </w:rPr>
      </w:pPr>
      <w:r w:rsidRPr="00A635F2">
        <w:rPr>
          <w:b/>
          <w:sz w:val="24"/>
        </w:rPr>
        <w:lastRenderedPageBreak/>
        <w:t>Tabela 1</w:t>
      </w:r>
      <w:r w:rsidR="00747DCF" w:rsidRPr="00A635F2">
        <w:rPr>
          <w:b/>
          <w:sz w:val="24"/>
        </w:rPr>
        <w:t>.</w:t>
      </w:r>
      <w:r w:rsidR="00CE7C94" w:rsidRPr="00A635F2">
        <w:rPr>
          <w:b/>
          <w:sz w:val="24"/>
        </w:rPr>
        <w:t xml:space="preserve"> </w:t>
      </w:r>
      <w:r w:rsidR="00055EE7" w:rsidRPr="00A635F2">
        <w:rPr>
          <w:i/>
          <w:sz w:val="24"/>
        </w:rPr>
        <w:t>Zestawieni</w:t>
      </w:r>
      <w:r w:rsidR="00F5104E" w:rsidRPr="00A635F2">
        <w:rPr>
          <w:i/>
          <w:sz w:val="24"/>
        </w:rPr>
        <w:t>e</w:t>
      </w:r>
      <w:r w:rsidR="00055EE7" w:rsidRPr="00A635F2">
        <w:rPr>
          <w:i/>
          <w:sz w:val="24"/>
        </w:rPr>
        <w:t xml:space="preserve"> wskaźników </w:t>
      </w:r>
      <w:r w:rsidR="007435C8" w:rsidRPr="00A635F2">
        <w:rPr>
          <w:i/>
          <w:sz w:val="24"/>
        </w:rPr>
        <w:t xml:space="preserve">EFRR </w:t>
      </w:r>
      <w:r w:rsidR="00055EE7" w:rsidRPr="00A635F2">
        <w:rPr>
          <w:i/>
          <w:sz w:val="24"/>
        </w:rPr>
        <w:t xml:space="preserve">na poziomie projektu </w:t>
      </w:r>
      <w:r w:rsidR="00881689" w:rsidRPr="00A635F2">
        <w:rPr>
          <w:i/>
          <w:sz w:val="24"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A36F99" w:rsidRPr="004A2391" w:rsidTr="005046F5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A36F99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A635F2" w:rsidRDefault="00A36F99" w:rsidP="00A635F2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A36F99" w:rsidRPr="004A2391" w:rsidTr="005046F5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5046F5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 w:rsidR="005046F5"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:rsidR="00A36F99" w:rsidRPr="00A635F2" w:rsidRDefault="00A36F99" w:rsidP="00A635F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="00964523"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 w:rsid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ościami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ruchow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ymi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czy sensoryczn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ymi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ntem w sposób trwały, wykonane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materiałów budowlanych i elementów składowych, będące wynikiem prac budowlanych (wg. def. PKOB).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a nie 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liczbę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sprzętów, urządzeń itp.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</w:t>
            </w:r>
            <w:r w:rsidR="00235E84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</w:t>
            </w:r>
            <w:r w:rsidR="00235E84" w:rsidRPr="00A635F2">
              <w:rPr>
                <w:rFonts w:eastAsiaTheme="minorHAnsi"/>
                <w:sz w:val="24"/>
                <w:szCs w:val="24"/>
                <w:lang w:eastAsia="en-US"/>
              </w:rPr>
              <w:t>ościam</w:t>
            </w:r>
            <w:r w:rsidR="007D70C6" w:rsidRPr="00A635F2">
              <w:rPr>
                <w:rFonts w:eastAsiaTheme="minorHAnsi"/>
                <w:sz w:val="24"/>
                <w:szCs w:val="24"/>
                <w:lang w:eastAsia="en-US"/>
              </w:rPr>
              <w:t>i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dedykowanych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Wytycznych w zakresie realizacji zasady równości szans i niedyskryminacji, w tym dostępności dla osób z niepełnosprawnościami oraz zasady</w:t>
            </w:r>
            <w:r w:rsidR="00FB3CFD"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A36F99" w:rsidRPr="004A2391" w:rsidTr="009D07E2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</w:t>
            </w:r>
            <w:r w:rsidR="00BC14B8" w:rsidRPr="00A635F2">
              <w:rPr>
                <w:i/>
                <w:sz w:val="24"/>
                <w:szCs w:val="24"/>
              </w:rPr>
              <w:t xml:space="preserve">ętych szkoleniami / doradztwem </w:t>
            </w:r>
            <w:r w:rsidRPr="00A635F2">
              <w:rPr>
                <w:i/>
                <w:sz w:val="24"/>
                <w:szCs w:val="24"/>
              </w:rPr>
              <w:t>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mierzy liczbę osób objętych szkoleniami / doradztwem w zakresie nabywania / doskonalenia umiejętności warunkujących efektywne korzystanie z mediów elektro</w:t>
            </w:r>
            <w:r w:rsidR="00BC14B8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nicznych tj. m.in.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korzystania z komputera, różnych rodzajów oprogramowania, </w:t>
            </w:r>
            <w:proofErr w:type="spellStart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internetu</w:t>
            </w:r>
            <w:proofErr w:type="spellEnd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:rsidR="00964523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</w:t>
            </w:r>
            <w:r w:rsidR="0095216E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, które skorzystały ze wsparcia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w zakresi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 TIK we wszystkich programach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projektach, także tych, gdzie szkolenie dotycz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</w:t>
            </w:r>
            <w:r w:rsidR="00E80A01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 wszyscy uczestnicy projektów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A36F99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Identyfikacja charakteru i zakresu nabywanych kompetencji będzie możliwa dzięki możliwości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pogrupowania wskaźnika według programów, osi priorytetowych i priorytetów inwestycyjnych.</w:t>
            </w:r>
          </w:p>
        </w:tc>
      </w:tr>
      <w:tr w:rsidR="00A36F99" w:rsidRPr="004A2391" w:rsidTr="009D07E2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</w:t>
            </w:r>
            <w:r w:rsidR="00BC14B8" w:rsidRPr="00A635F2">
              <w:rPr>
                <w:i/>
                <w:sz w:val="24"/>
                <w:szCs w:val="24"/>
              </w:rPr>
              <w:t xml:space="preserve">ętych szkoleniami / doradztwem </w:t>
            </w:r>
            <w:r w:rsidRPr="00A635F2">
              <w:rPr>
                <w:i/>
                <w:sz w:val="24"/>
                <w:szCs w:val="24"/>
              </w:rPr>
              <w:t>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36F99" w:rsidRPr="004A2391" w:rsidTr="005046F5"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</w:t>
            </w:r>
            <w:r w:rsidR="00BC14B8" w:rsidRPr="00A635F2">
              <w:rPr>
                <w:i/>
                <w:sz w:val="24"/>
                <w:szCs w:val="24"/>
              </w:rPr>
              <w:t xml:space="preserve">ętych szkoleniami / doradztwem </w:t>
            </w:r>
            <w:r w:rsidRPr="00A635F2">
              <w:rPr>
                <w:i/>
                <w:sz w:val="24"/>
                <w:szCs w:val="24"/>
              </w:rPr>
              <w:t>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A36F99" w:rsidRPr="004A2391" w:rsidTr="009D07E2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Racjonalne 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usprawnienie oznacza konieczne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odpowiednie zmiany ora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dostosowania, nie nakładające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nieproporcjonaln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przypadku, w celu zapewnienia osobom z niepełnosprawn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ościami możliwości korzystania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</w:t>
            </w:r>
            <w:r w:rsidR="00AD36BA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w ramach danego projektu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</w:t>
            </w:r>
            <w:r w:rsidR="00BD1809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anie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964523" w:rsidRPr="00A635F2" w:rsidRDefault="00964523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 w:rsidR="005046F5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</w:t>
            </w:r>
            <w:r w:rsidR="002C02F8"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:rsidR="00A36F99" w:rsidRPr="00A635F2" w:rsidRDefault="00A36F99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D589C" w:rsidRPr="00A635F2" w:rsidRDefault="000D589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Jeśli projekt spełnia kryteria w/w definicji wnioskodawca powinien wykazać wartość „1”, w przeciwnym wypadku „0”. W przypadku projektów partnerskich wskaźnik powinien być wykazany wyłącznie przez lidera projektu, bez względu na liczbę partnerów  w projekcie realizujących wskaźnik.</w:t>
            </w:r>
          </w:p>
        </w:tc>
      </w:tr>
      <w:tr w:rsidR="00D36A60" w:rsidRPr="004A2391" w:rsidTr="005046F5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6F1B2C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D36A60" w:rsidRPr="00A635F2" w:rsidRDefault="006F1B2C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 w:rsidR="005046F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D36A60" w:rsidRPr="004A2391" w:rsidTr="009D07E2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 w:rsidR="005046F5"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 w:rsidR="005046F5">
              <w:rPr>
                <w:rFonts w:cs="Times New Roman"/>
                <w:sz w:val="24"/>
                <w:szCs w:val="24"/>
              </w:rPr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>przedsiębiorstwie. Jeśli łączne zatrudnienie w przedsiębiorstwie nie zwiększa się, wartość jest równa zero - to wskaźnik jest traktowany jako wyregulowanie, a nie zwiększenie. Zagwarantowane itp. miejsca pracy nie są wliczone.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 w:rsidR="005046F5"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</w:t>
            </w:r>
            <w:r w:rsidR="00CD20BC" w:rsidRPr="00A635F2">
              <w:rPr>
                <w:rFonts w:cs="Times New Roman"/>
                <w:sz w:val="24"/>
                <w:szCs w:val="24"/>
              </w:rPr>
              <w:t xml:space="preserve">projektu i po jego zakończeniu; </w:t>
            </w:r>
            <w:r w:rsidRPr="00A635F2">
              <w:rPr>
                <w:rFonts w:cs="Times New Roman"/>
                <w:sz w:val="24"/>
                <w:szCs w:val="24"/>
              </w:rPr>
              <w:t xml:space="preserve">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D36A60" w:rsidRPr="00A635F2" w:rsidRDefault="00D36A60" w:rsidP="00A635F2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:rsidR="00D36A60" w:rsidRPr="00A635F2" w:rsidRDefault="00D36A60" w:rsidP="00A635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D36A60" w:rsidRPr="004A2391" w:rsidTr="009D07E2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36A60" w:rsidRPr="004A2391" w:rsidTr="009D07E2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36A60" w:rsidRPr="004A2391" w:rsidTr="009D07E2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 w:rsidR="009D07E2"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D36A60" w:rsidRPr="004A2391" w:rsidTr="009E1414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36A60" w:rsidRPr="004A2391" w:rsidTr="009E1414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D36A60" w:rsidRPr="004A2391" w:rsidTr="009D07E2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3814B8" w:rsidRPr="00A635F2" w:rsidRDefault="003814B8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i niepełnowymiarowe należy przeliczyć na ekwiwalent pełnego czasu pracy. </w:t>
            </w:r>
          </w:p>
          <w:p w:rsidR="003814B8" w:rsidRPr="00A635F2" w:rsidRDefault="003814B8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3814B8" w:rsidRPr="00A635F2" w:rsidRDefault="003814B8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3814B8" w:rsidRPr="00A635F2" w:rsidRDefault="003814B8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D36A60" w:rsidRPr="00A635F2" w:rsidRDefault="003814B8" w:rsidP="00A635F2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D36A60" w:rsidRPr="004A2391" w:rsidTr="009E1414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5046F5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9D07E2">
        <w:trPr>
          <w:trHeight w:val="116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3814B8" w:rsidRPr="00A635F2" w:rsidRDefault="003814B8" w:rsidP="00A635F2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:rsidR="003814B8" w:rsidRPr="00A635F2" w:rsidRDefault="003814B8" w:rsidP="00A635F2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3814B8" w:rsidRPr="00A635F2" w:rsidRDefault="003814B8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D36A60" w:rsidRPr="00A635F2" w:rsidRDefault="003814B8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D36A60" w:rsidRPr="004A2391" w:rsidTr="009D07E2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5046F5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D36A60" w:rsidRPr="00A635F2" w:rsidRDefault="00D36A60" w:rsidP="00A635F2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A635F2" w:rsidRDefault="00D36A60" w:rsidP="00A635F2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D36A60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:rsidR="00D36A60" w:rsidRPr="004E53E9" w:rsidRDefault="00D36A60" w:rsidP="00A635F2">
            <w:pPr>
              <w:spacing w:before="80" w:after="80"/>
              <w:rPr>
                <w:b/>
                <w:i/>
                <w:color w:val="FF0000"/>
                <w:sz w:val="28"/>
                <w:szCs w:val="24"/>
              </w:rPr>
            </w:pPr>
            <w:r w:rsidRPr="004E53E9">
              <w:rPr>
                <w:i/>
                <w:color w:val="000099"/>
                <w:sz w:val="28"/>
                <w:szCs w:val="24"/>
              </w:rPr>
              <w:t xml:space="preserve">Oś priorytetowa </w:t>
            </w:r>
            <w:r w:rsidR="00A635F2" w:rsidRPr="004E53E9">
              <w:rPr>
                <w:i/>
                <w:color w:val="000099"/>
                <w:sz w:val="28"/>
                <w:szCs w:val="24"/>
              </w:rPr>
              <w:t>III</w:t>
            </w:r>
            <w:r w:rsidRPr="004E53E9">
              <w:rPr>
                <w:i/>
                <w:color w:val="000099"/>
                <w:sz w:val="28"/>
                <w:szCs w:val="24"/>
              </w:rPr>
              <w:t xml:space="preserve"> </w:t>
            </w:r>
            <w:r w:rsidR="00A635F2" w:rsidRPr="004E53E9">
              <w:rPr>
                <w:b/>
                <w:i/>
                <w:color w:val="000099"/>
                <w:sz w:val="28"/>
                <w:szCs w:val="24"/>
              </w:rPr>
              <w:t>Gospodarka niskoemisyjna</w:t>
            </w:r>
          </w:p>
        </w:tc>
      </w:tr>
      <w:tr w:rsidR="00646646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646646" w:rsidRPr="004E53E9" w:rsidRDefault="00646646" w:rsidP="00A635F2">
            <w:pPr>
              <w:spacing w:before="80" w:after="80"/>
              <w:rPr>
                <w:i/>
                <w:color w:val="000099"/>
                <w:sz w:val="28"/>
                <w:szCs w:val="24"/>
              </w:rPr>
            </w:pPr>
            <w:r w:rsidRPr="004E53E9">
              <w:rPr>
                <w:i/>
                <w:color w:val="000099"/>
                <w:sz w:val="28"/>
                <w:szCs w:val="24"/>
              </w:rPr>
              <w:t xml:space="preserve">Poddziałanie 3.2.1  </w:t>
            </w:r>
            <w:r w:rsidRPr="004E53E9">
              <w:rPr>
                <w:rFonts w:cs="Arial"/>
                <w:b/>
                <w:i/>
                <w:color w:val="000099"/>
                <w:sz w:val="28"/>
                <w:szCs w:val="24"/>
              </w:rPr>
              <w:t xml:space="preserve">Efektywność energetyczna w budynkach publicznych </w:t>
            </w:r>
          </w:p>
        </w:tc>
      </w:tr>
      <w:tr w:rsidR="00646646" w:rsidRPr="004A2391" w:rsidTr="005046F5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energetycznie budynków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mierzy liczbę zmodernizowanych energetycznie budynków w wyniku realizacji projektu.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Modernizacja – obejmuje przebudowę, remont oraz rozbudowę budynków w celu dokonania modernizacji urządzeń energetycznych.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Przebudowa – wykonywanie robót budowlanych, </w:t>
            </w:r>
            <w:r w:rsidRPr="00A635F2">
              <w:rPr>
                <w:sz w:val="24"/>
                <w:szCs w:val="24"/>
              </w:rPr>
              <w:br/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Remont – wykonywanie w istniejącym obiekcie budowlanym robót budowlanych polegających na odtworzeniu stanu pierwotnego, </w:t>
            </w:r>
            <w:r w:rsidRPr="00A635F2">
              <w:rPr>
                <w:sz w:val="24"/>
                <w:szCs w:val="24"/>
              </w:rPr>
              <w:br/>
              <w:t xml:space="preserve">a niestanowiących bieżącej konserwacji, przy czym dopuszcza się stosowanie wyrobów budowlanych innych niż użyto w stanie pierwotnym. 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Rozbudowa – w budownictwie rodzaj budowy, w wyniku którego powstaje nowa część istniejącego już obiektu budowlanego.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elektrycznej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elektrycznej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</w:t>
            </w:r>
            <w:proofErr w:type="spellStart"/>
            <w:r w:rsidRPr="00A635F2">
              <w:rPr>
                <w:i/>
                <w:sz w:val="24"/>
                <w:szCs w:val="24"/>
              </w:rPr>
              <w:t>aerotermalną</w:t>
            </w:r>
            <w:proofErr w:type="spellEnd"/>
            <w:r w:rsidRPr="00A635F2">
              <w:rPr>
                <w:i/>
                <w:sz w:val="24"/>
                <w:szCs w:val="24"/>
              </w:rPr>
              <w:t xml:space="preserve">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</w:t>
            </w:r>
            <w:r w:rsidRPr="00A635F2">
              <w:rPr>
                <w:i/>
                <w:sz w:val="24"/>
                <w:szCs w:val="24"/>
              </w:rPr>
              <w:br/>
              <w:t>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elektrycznej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i budynków użyteczności publicznej: zespół urządzeń służących do wytwarzania energii elektrycznej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</w:t>
            </w:r>
            <w:proofErr w:type="spellStart"/>
            <w:r w:rsidRPr="00A635F2">
              <w:rPr>
                <w:i/>
                <w:sz w:val="24"/>
                <w:szCs w:val="24"/>
              </w:rPr>
              <w:t>aerotermalną</w:t>
            </w:r>
            <w:proofErr w:type="spellEnd"/>
            <w:r w:rsidRPr="00A635F2">
              <w:rPr>
                <w:i/>
                <w:sz w:val="24"/>
                <w:szCs w:val="24"/>
              </w:rPr>
              <w:t>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cieplnej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Jednostka wytwarzania energii cieplnej obejmuje: 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</w:t>
            </w:r>
            <w:proofErr w:type="spellStart"/>
            <w:r w:rsidRPr="00A635F2">
              <w:rPr>
                <w:i/>
                <w:sz w:val="24"/>
                <w:szCs w:val="24"/>
              </w:rPr>
              <w:t>aerotermalną</w:t>
            </w:r>
            <w:proofErr w:type="spellEnd"/>
            <w:r w:rsidRPr="00A635F2">
              <w:rPr>
                <w:i/>
                <w:sz w:val="24"/>
                <w:szCs w:val="24"/>
              </w:rPr>
              <w:t>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cieplnej z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i wyprowadzania mocy, opisany poprzez dane techniczne 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</w:t>
            </w:r>
            <w:proofErr w:type="spellStart"/>
            <w:r w:rsidRPr="00A635F2">
              <w:rPr>
                <w:i/>
                <w:sz w:val="24"/>
                <w:szCs w:val="24"/>
              </w:rPr>
              <w:t>aerotermalną</w:t>
            </w:r>
            <w:proofErr w:type="spellEnd"/>
            <w:r w:rsidRPr="00A635F2">
              <w:rPr>
                <w:i/>
                <w:sz w:val="24"/>
                <w:szCs w:val="24"/>
              </w:rPr>
              <w:t>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elektrycznej ze źródeł odnawialnych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635F2">
              <w:rPr>
                <w:rFonts w:cs="Arial"/>
                <w:sz w:val="24"/>
                <w:szCs w:val="24"/>
              </w:rPr>
              <w:t>MWe</w:t>
            </w:r>
            <w:proofErr w:type="spellEnd"/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</w:t>
            </w:r>
            <w:r w:rsidR="0059335E">
              <w:rPr>
                <w:sz w:val="24"/>
                <w:szCs w:val="24"/>
              </w:rPr>
              <w:t xml:space="preserve">cych odnawialne źródła energii, </w:t>
            </w:r>
            <w:r w:rsidRPr="00A635F2">
              <w:rPr>
                <w:sz w:val="24"/>
                <w:szCs w:val="24"/>
              </w:rPr>
              <w:t>zbudowanych / wyposażonych w ramach projektu. Obejmuje energię elektryczną i cieplną.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</w:t>
            </w:r>
            <w:r w:rsidR="0059335E">
              <w:rPr>
                <w:sz w:val="24"/>
                <w:szCs w:val="24"/>
              </w:rPr>
              <w:t xml:space="preserve"> Patrz </w:t>
            </w:r>
            <w:r w:rsidRPr="00A635F2">
              <w:rPr>
                <w:sz w:val="24"/>
                <w:szCs w:val="24"/>
              </w:rPr>
              <w:t>rozporządzenie 2009/28, art. 2(a).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cieplnej ze źródeł odnawialnych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635F2">
              <w:rPr>
                <w:rFonts w:cs="Arial"/>
                <w:sz w:val="24"/>
                <w:szCs w:val="24"/>
              </w:rPr>
              <w:t>MWt</w:t>
            </w:r>
            <w:proofErr w:type="spellEnd"/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Powierzchnia użytkowa budynków poddanych termomodernizacji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</w:t>
            </w:r>
            <w:r w:rsidRPr="00A635F2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:rsidR="00646646" w:rsidRPr="00A635F2" w:rsidRDefault="00646646" w:rsidP="00A635F2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15 kwietnia 2011 r. o efektywności energetycznej;</w:t>
            </w:r>
          </w:p>
          <w:p w:rsidR="00646646" w:rsidRPr="00A635F2" w:rsidRDefault="00646646" w:rsidP="00A635F2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Obwieszczenia Ministra Gospodarki z dnia 21 grudnia 2012 r. </w:t>
            </w:r>
            <w:r w:rsidRPr="00A635F2">
              <w:rPr>
                <w:sz w:val="24"/>
                <w:szCs w:val="24"/>
              </w:rPr>
              <w:br/>
              <w:t>w sprawie szczegółowego wykazu przedsięwzięć służących poprawie efektywności energetycznej;</w:t>
            </w:r>
          </w:p>
          <w:p w:rsidR="00646646" w:rsidRPr="00A635F2" w:rsidRDefault="00646646" w:rsidP="00A635F2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21 listopada 2008 r. o wspieraniu termomodernizacji i remontów.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źródeł ciepła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40" w:after="40"/>
              <w:rPr>
                <w:i/>
                <w:color w:val="000000" w:themeColor="text1"/>
                <w:sz w:val="24"/>
                <w:szCs w:val="24"/>
              </w:rPr>
            </w:pPr>
            <w:r w:rsidRPr="00A635F2">
              <w:rPr>
                <w:color w:val="000000" w:themeColor="text1"/>
                <w:sz w:val="24"/>
                <w:szCs w:val="24"/>
              </w:rPr>
              <w:t>Liczba wymienionych lub zmodernizowanych źródeł ciepła, gdzie źródła ciepła rozumiane są jako zespół urządzeń lub instalacji służących do wytwarzania ciepła.</w:t>
            </w:r>
          </w:p>
          <w:p w:rsidR="00646646" w:rsidRPr="00A635F2" w:rsidRDefault="00646646" w:rsidP="00A635F2">
            <w:pPr>
              <w:spacing w:before="40" w:after="40"/>
              <w:rPr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59335E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obrazuje w jakim stopniu (%) projekt dotyczy części rewitalizacyjnej projektu. J</w:t>
            </w:r>
            <w:r w:rsidR="0059335E">
              <w:rPr>
                <w:sz w:val="24"/>
                <w:szCs w:val="24"/>
              </w:rPr>
              <w:t xml:space="preserve">eżeli projekt w całości wynika </w:t>
            </w:r>
            <w:r w:rsidRPr="00A635F2">
              <w:rPr>
                <w:sz w:val="24"/>
                <w:szCs w:val="24"/>
              </w:rPr>
              <w:t>z programu rewitalizacji lub ma zasięg horyzontalny, ale w całości sprofilowany jest na obszary objęte rewitalizacją to wartość wskaźnika będzie wynosiła 100%.</w:t>
            </w:r>
          </w:p>
          <w:p w:rsidR="00646646" w:rsidRPr="00A635F2" w:rsidRDefault="00646646" w:rsidP="00A635F2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40"/>
              <w:rPr>
                <w:rFonts w:cs="Times New Roman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Definicja programu rewitalizacji zgodnie z </w:t>
            </w:r>
            <w:r w:rsidRPr="00A635F2">
              <w:rPr>
                <w:i/>
                <w:sz w:val="24"/>
                <w:szCs w:val="24"/>
              </w:rPr>
              <w:t>Wytycznymi w zakresie rewitalizacji w programach operacyjnych na lata 2014-2020</w:t>
            </w:r>
            <w:r w:rsidRPr="00A635F2">
              <w:rPr>
                <w:sz w:val="24"/>
                <w:szCs w:val="24"/>
              </w:rPr>
              <w:t>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11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Zmniejszenie rocznego zużycia energii pierwotnej w budynkach publicznych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kWh/rok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Obliczenia są oparte na świadectwie energetycznym budynków (patrz Art.12.1.b Dyrektywy 2010/31/UE). Zgodnie z wytycznymi określonymi w dyrektywie, wskaźnik musi dotyczyć wszystkich budynków publicznych powyżej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użytkowej, które zostały zrekonstruowane z wykorzystaniem wsparcia z funduszy strukturalnych. Jeśli budowa rozpocznie się po 9 lipca 2015 r., to wartość progowa dla budynków publicznych spada do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użytkowej. Instytucja Zarządzająca może włączyć do obliczeń budynki o powierzchni mniejszej niż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(lub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przed 9/7/2015).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Wartość będzie obliczana ze świadectw energetycznych wydanych przed i po przebudowie. Wskaźnik pokaże całkowitą redukcję rocznego  zużycia, a nie sumę wielkości zaoszczędzonych (niezużytych).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</w:t>
            </w:r>
            <w:r w:rsidR="00E32DE0" w:rsidRPr="00A635F2">
              <w:rPr>
                <w:sz w:val="24"/>
                <w:szCs w:val="24"/>
              </w:rPr>
              <w:t>2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Szacowany roczny spadek emisji gazów cieplarnianych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59335E">
              <w:rPr>
                <w:rFonts w:eastAsia="Times New Roman" w:cs="Arial"/>
                <w:szCs w:val="24"/>
              </w:rPr>
              <w:t xml:space="preserve">tony </w:t>
            </w:r>
            <w:proofErr w:type="spellStart"/>
            <w:r w:rsidRPr="0059335E">
              <w:rPr>
                <w:rFonts w:eastAsia="Times New Roman" w:cs="Arial"/>
                <w:szCs w:val="24"/>
              </w:rPr>
              <w:t>równowa</w:t>
            </w:r>
            <w:r w:rsidR="0059335E">
              <w:rPr>
                <w:rFonts w:eastAsia="Times New Roman" w:cs="Arial"/>
                <w:szCs w:val="24"/>
              </w:rPr>
              <w:t>-</w:t>
            </w:r>
            <w:r w:rsidRPr="0059335E">
              <w:rPr>
                <w:rFonts w:eastAsia="Times New Roman" w:cs="Arial"/>
                <w:szCs w:val="24"/>
              </w:rPr>
              <w:t>żnika</w:t>
            </w:r>
            <w:proofErr w:type="spellEnd"/>
            <w:r w:rsidRPr="0059335E">
              <w:rPr>
                <w:rFonts w:eastAsia="Times New Roman" w:cs="Arial"/>
                <w:szCs w:val="24"/>
              </w:rPr>
              <w:t xml:space="preserve"> CO</w:t>
            </w:r>
            <w:r w:rsidRPr="0059335E">
              <w:rPr>
                <w:rFonts w:eastAsia="Times New Roman" w:cs="Arial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gazów cieplarnianych są opcjonalne. Wskaźnik pokaże łączny szacunkowy roczny spadek na koniec okresu, a nie całkowity spadek w całym okresie.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produkcji energii odnawialnej, prognoza opiera się na ilości energii pierwotnej produkowanej przez wspierane obiekty w danym roku (albo jeden rok po zakończeniu projektu lub w roku kalendarzowym, po zakończeniu projektu). Energia odnawialna ma być neutralna w kwestii emisji gazów cieplarnianych 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646646" w:rsidRPr="004A2391" w:rsidTr="005046F5">
        <w:tc>
          <w:tcPr>
            <w:tcW w:w="552" w:type="dxa"/>
            <w:tcBorders>
              <w:bottom w:val="single" w:sz="8" w:space="0" w:color="33CC33"/>
            </w:tcBorders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13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elektrycznej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59335E" w:rsidP="00A635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MWh/</w:t>
            </w:r>
            <w:r w:rsidR="00646646"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Ilość zaoszczędzonej w wyniku realizacji projektu energii elektrycznej w dystrybucji w ciągu pełnego roku po zakończeniu projektu w stosunku do roku bazowego. 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elektrycznej w roku bazowym w stosunku do rocznego zużycia energii elektrycznej po zakończeniu projektu, skorygowana w przypadku zmiany wielkości produkcji. </w:t>
            </w:r>
          </w:p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646646" w:rsidRPr="004A2391" w:rsidTr="0059335E"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14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cieplnej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Ilość zaoszczędzonej w wyniku realizacji projektu energii cieplnej w dystrybucji w ciągu pełnego roku po zakończeniu projektu.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cieplnej w roku bazowym w stosunku do rocznego zużycia energii cieplnej po zakończeniu projektu, skorygowana w przypadku zmiany wielkości produkcji. </w:t>
            </w:r>
          </w:p>
          <w:p w:rsidR="00646646" w:rsidRPr="00A635F2" w:rsidRDefault="00646646" w:rsidP="00A635F2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Energia cieplna – energia w wodzie gorącej, parze lub w innych nośnikach.</w:t>
            </w:r>
          </w:p>
        </w:tc>
      </w:tr>
      <w:tr w:rsidR="00646646" w:rsidRPr="004A2391" w:rsidTr="00EE3D56"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</w:t>
            </w:r>
            <w:r w:rsidR="00E32DE0" w:rsidRPr="00A635F2">
              <w:rPr>
                <w:sz w:val="24"/>
                <w:szCs w:val="24"/>
              </w:rPr>
              <w:t>5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 xml:space="preserve">Zmniejszenie zużycia energii końcowej w wyniku realizacji projektów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auto"/>
            <w:vAlign w:val="center"/>
          </w:tcPr>
          <w:p w:rsidR="00646646" w:rsidRPr="00A635F2" w:rsidRDefault="00646646" w:rsidP="00A635F2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Przez bezpośrednie (końcowe) zużycie energii, wyrażone w GJ/rok, w procesie technologicznym (w tym wytwarzania ciepła na cele bytowe) należy rozumieć:</w:t>
            </w:r>
          </w:p>
          <w:p w:rsidR="00646646" w:rsidRPr="00A635F2" w:rsidRDefault="00646646" w:rsidP="00A635F2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poszczególnych nośników energii nie podlegających dalszemu przetwarzaniu na inne nośniki energii,</w:t>
            </w:r>
          </w:p>
          <w:p w:rsidR="00646646" w:rsidRPr="00A635F2" w:rsidRDefault="00646646" w:rsidP="00A635F2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energii doprowadzonej do procesu technologicznego za pośrednictwem tzw. mediów (np. wody przemysłowej, sprężonego powietrza, tlenu, azotu).</w:t>
            </w:r>
          </w:p>
        </w:tc>
      </w:tr>
      <w:tr w:rsidR="00646646" w:rsidRPr="004A2391" w:rsidTr="00EE3D56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</w:t>
            </w:r>
            <w:r w:rsidR="00E32DE0" w:rsidRPr="00A635F2">
              <w:rPr>
                <w:sz w:val="24"/>
                <w:szCs w:val="24"/>
              </w:rPr>
              <w:t>6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nowo wybudowanych instalacji wykorzystujących OZE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12" w:space="0" w:color="33CC33"/>
              <w:right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635F2">
              <w:rPr>
                <w:rFonts w:cs="Arial"/>
                <w:sz w:val="24"/>
                <w:szCs w:val="24"/>
              </w:rPr>
              <w:t>MWhe</w:t>
            </w:r>
            <w:proofErr w:type="spellEnd"/>
            <w:r w:rsidRPr="00A635F2">
              <w:rPr>
                <w:rFonts w:cs="Arial"/>
                <w:sz w:val="24"/>
                <w:szCs w:val="24"/>
              </w:rPr>
              <w:t>/</w:t>
            </w:r>
            <w:r w:rsidR="0059335E"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Wskaźnik mierzy roczną wielkość produkcji energii elektrycznej z nowo wybudowanych instalacji odnawialnego źródła energii.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A635F2">
              <w:rPr>
                <w:rFonts w:asciiTheme="minorHAnsi" w:hAnsiTheme="minorHAnsi"/>
              </w:rPr>
              <w:t>aerotermalną</w:t>
            </w:r>
            <w:proofErr w:type="spellEnd"/>
            <w:r w:rsidRPr="00A635F2">
              <w:rPr>
                <w:rFonts w:asciiTheme="minorHAnsi" w:hAnsiTheme="minorHAnsi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A635F2">
              <w:rPr>
                <w:rFonts w:asciiTheme="minorHAnsi" w:hAnsiTheme="minorHAnsi"/>
              </w:rPr>
              <w:t>biopłynów</w:t>
            </w:r>
            <w:proofErr w:type="spellEnd"/>
            <w:r w:rsidRPr="00A635F2">
              <w:rPr>
                <w:rFonts w:asciiTheme="minorHAnsi" w:hAnsiTheme="minorHAnsi"/>
              </w:rPr>
              <w:t xml:space="preserve"> (art. 2 pkt 22 ustawy z dnia 20 lutego 2015 r. o odnawialnych źródłach energii). 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EE3D56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</w:t>
            </w:r>
            <w:r w:rsidR="00E32DE0" w:rsidRPr="00A635F2">
              <w:rPr>
                <w:sz w:val="24"/>
                <w:szCs w:val="24"/>
              </w:rPr>
              <w:t>7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nowych mocy wytwórczych instalacji wykorzystujących OZE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635F2">
              <w:rPr>
                <w:rFonts w:cs="Arial"/>
                <w:sz w:val="24"/>
                <w:szCs w:val="24"/>
              </w:rPr>
              <w:t>MWhe</w:t>
            </w:r>
            <w:proofErr w:type="spellEnd"/>
            <w:r w:rsidRPr="00A635F2">
              <w:rPr>
                <w:rFonts w:cs="Arial"/>
                <w:sz w:val="24"/>
                <w:szCs w:val="24"/>
              </w:rPr>
              <w:t>/</w:t>
            </w:r>
            <w:r w:rsidR="0059335E"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A635F2">
              <w:rPr>
                <w:rFonts w:asciiTheme="minorHAnsi" w:hAnsiTheme="minorHAnsi"/>
              </w:rPr>
              <w:t>aerotermalną</w:t>
            </w:r>
            <w:proofErr w:type="spellEnd"/>
            <w:r w:rsidRPr="00A635F2">
              <w:rPr>
                <w:rFonts w:asciiTheme="minorHAnsi" w:hAnsiTheme="minorHAnsi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A635F2">
              <w:rPr>
                <w:rFonts w:asciiTheme="minorHAnsi" w:hAnsiTheme="minorHAnsi"/>
              </w:rPr>
              <w:t>biopłynów</w:t>
            </w:r>
            <w:proofErr w:type="spellEnd"/>
            <w:r w:rsidRPr="00A635F2">
              <w:rPr>
                <w:rFonts w:asciiTheme="minorHAnsi" w:hAnsiTheme="minorHAnsi"/>
              </w:rPr>
              <w:t xml:space="preserve"> (art. 2 pkt 22 ustawy z dnia 20 lutego 2015 r. o odnawialnych źródłach energii). </w:t>
            </w:r>
          </w:p>
          <w:p w:rsidR="00646646" w:rsidRPr="00A635F2" w:rsidRDefault="00646646" w:rsidP="00A635F2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E32DE0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18</w:t>
            </w:r>
            <w:r w:rsidR="00646646"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nowo wybudowanych instalacji wykorzystujących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635F2">
              <w:rPr>
                <w:rFonts w:cs="Arial"/>
                <w:sz w:val="24"/>
                <w:szCs w:val="24"/>
              </w:rPr>
              <w:t>MWht</w:t>
            </w:r>
            <w:proofErr w:type="spellEnd"/>
            <w:r w:rsidRPr="00A635F2">
              <w:rPr>
                <w:rFonts w:cs="Arial"/>
                <w:sz w:val="24"/>
                <w:szCs w:val="24"/>
              </w:rPr>
              <w:t>/rok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nowo wybudowanych instalacji odnawialnego źródła energii. 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w innych nośnikach (art. 3 pkt 2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A635F2">
              <w:rPr>
                <w:rFonts w:asciiTheme="minorHAnsi" w:hAnsiTheme="minorHAnsi"/>
              </w:rPr>
              <w:t>aerotermalną</w:t>
            </w:r>
            <w:proofErr w:type="spellEnd"/>
            <w:r w:rsidRPr="00A635F2">
              <w:rPr>
                <w:rFonts w:asciiTheme="minorHAnsi" w:hAnsiTheme="minorHAnsi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A635F2">
              <w:rPr>
                <w:rFonts w:asciiTheme="minorHAnsi" w:hAnsiTheme="minorHAnsi"/>
              </w:rPr>
              <w:t>biopłynów</w:t>
            </w:r>
            <w:proofErr w:type="spellEnd"/>
            <w:r w:rsidRPr="00A635F2">
              <w:rPr>
                <w:rFonts w:asciiTheme="minorHAnsi" w:hAnsiTheme="minorHAnsi"/>
              </w:rPr>
              <w:t xml:space="preserve"> (art. 2 pkt 22 ustawy z dnia 20 lutego 2015 r. o odnawialnych źródłach energii). </w:t>
            </w:r>
          </w:p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646646" w:rsidRPr="004A2391" w:rsidTr="005046F5">
        <w:tc>
          <w:tcPr>
            <w:tcW w:w="552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</w:t>
            </w:r>
            <w:r w:rsidR="00E32DE0" w:rsidRPr="00A635F2">
              <w:rPr>
                <w:sz w:val="24"/>
                <w:szCs w:val="24"/>
              </w:rPr>
              <w:t>9</w:t>
            </w:r>
            <w:r w:rsidRPr="00A635F2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646646" w:rsidRPr="00A635F2" w:rsidRDefault="00646646" w:rsidP="00A635F2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rFonts w:cs="Arial"/>
                <w:sz w:val="24"/>
                <w:szCs w:val="24"/>
              </w:rPr>
            </w:pPr>
            <w:proofErr w:type="spellStart"/>
            <w:r w:rsidRPr="00A635F2">
              <w:rPr>
                <w:rFonts w:cs="Arial"/>
                <w:sz w:val="24"/>
                <w:szCs w:val="24"/>
              </w:rPr>
              <w:t>MWht</w:t>
            </w:r>
            <w:proofErr w:type="spellEnd"/>
            <w:r w:rsidRPr="00A635F2">
              <w:rPr>
                <w:rFonts w:cs="Arial"/>
                <w:sz w:val="24"/>
                <w:szCs w:val="24"/>
              </w:rPr>
              <w:t>/rok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646646" w:rsidRPr="00A635F2" w:rsidRDefault="00646646" w:rsidP="00A635F2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w innych nośnikach (art. 3 pkt 2 ustawy z dnia 10 kwietnia 1997 r. Prawo energetyczne).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o odnawialnych źródłach energii). </w:t>
            </w:r>
          </w:p>
          <w:p w:rsidR="00646646" w:rsidRPr="00A635F2" w:rsidRDefault="00646646" w:rsidP="00A635F2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</w:t>
            </w:r>
            <w:proofErr w:type="spellStart"/>
            <w:r w:rsidRPr="00A635F2">
              <w:rPr>
                <w:rFonts w:asciiTheme="minorHAnsi" w:hAnsiTheme="minorHAnsi"/>
              </w:rPr>
              <w:t>aerotermalną</w:t>
            </w:r>
            <w:proofErr w:type="spellEnd"/>
            <w:r w:rsidRPr="00A635F2">
              <w:rPr>
                <w:rFonts w:asciiTheme="minorHAnsi" w:hAnsiTheme="minorHAnsi"/>
              </w:rPr>
              <w:t xml:space="preserve">, energię geotermalną, energię hydrotermalną, hydroenergię, energię fal, prądów i pływów morskich, energię otrzymywaną z biomasy, biogazu, biogazu rolniczego oraz z </w:t>
            </w:r>
            <w:proofErr w:type="spellStart"/>
            <w:r w:rsidRPr="00A635F2">
              <w:rPr>
                <w:rFonts w:asciiTheme="minorHAnsi" w:hAnsiTheme="minorHAnsi"/>
              </w:rPr>
              <w:t>biopłynów</w:t>
            </w:r>
            <w:proofErr w:type="spellEnd"/>
            <w:r w:rsidRPr="00A635F2">
              <w:rPr>
                <w:rFonts w:asciiTheme="minorHAnsi" w:hAnsiTheme="minorHAnsi"/>
              </w:rPr>
              <w:t xml:space="preserve"> (art. 2 pkt 22 ustawy z dnia 20 lutego 2015 r. o odnawialnych źródłach energii). </w:t>
            </w:r>
          </w:p>
          <w:p w:rsidR="00646646" w:rsidRPr="00A635F2" w:rsidRDefault="00646646" w:rsidP="00A635F2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:rsidR="00646646" w:rsidRPr="00A635F2" w:rsidRDefault="00646646" w:rsidP="00A635F2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</w:tbl>
    <w:p w:rsidR="0075357F" w:rsidRDefault="0075357F" w:rsidP="00E151AB">
      <w:pPr>
        <w:spacing w:after="0" w:line="240" w:lineRule="auto"/>
        <w:jc w:val="both"/>
        <w:rPr>
          <w:b/>
          <w:sz w:val="20"/>
        </w:rPr>
      </w:pPr>
    </w:p>
    <w:p w:rsidR="001D3621" w:rsidRPr="00503B37" w:rsidRDefault="00355D2E" w:rsidP="00E151AB">
      <w:pPr>
        <w:spacing w:after="0" w:line="240" w:lineRule="auto"/>
        <w:jc w:val="both"/>
        <w:rPr>
          <w:szCs w:val="18"/>
        </w:rPr>
      </w:pPr>
      <w:r w:rsidRPr="00503B37">
        <w:rPr>
          <w:b/>
          <w:sz w:val="24"/>
        </w:rPr>
        <w:t>UWAGA:</w:t>
      </w:r>
      <w:r w:rsidR="00E151AB" w:rsidRPr="00503B37">
        <w:rPr>
          <w:szCs w:val="18"/>
        </w:rPr>
        <w:t xml:space="preserve"> Dla wskaźników </w:t>
      </w:r>
      <w:proofErr w:type="spellStart"/>
      <w:r w:rsidR="00E151AB" w:rsidRPr="00503B37">
        <w:rPr>
          <w:i/>
          <w:szCs w:val="18"/>
        </w:rPr>
        <w:t>Common</w:t>
      </w:r>
      <w:proofErr w:type="spellEnd"/>
      <w:r w:rsidR="00E151AB" w:rsidRPr="00503B37">
        <w:rPr>
          <w:i/>
          <w:szCs w:val="18"/>
        </w:rPr>
        <w:t xml:space="preserve"> </w:t>
      </w:r>
      <w:proofErr w:type="spellStart"/>
      <w:r w:rsidR="00E151AB" w:rsidRPr="00503B37">
        <w:rPr>
          <w:i/>
          <w:szCs w:val="18"/>
        </w:rPr>
        <w:t>Indicators</w:t>
      </w:r>
      <w:proofErr w:type="spellEnd"/>
      <w:r w:rsidR="00E151AB" w:rsidRPr="00503B37">
        <w:rPr>
          <w:rStyle w:val="Odwoanieprzypisudolnego"/>
          <w:szCs w:val="18"/>
        </w:rPr>
        <w:footnoteReference w:id="2"/>
      </w:r>
      <w:r w:rsidR="00E151AB" w:rsidRPr="00503B37">
        <w:rPr>
          <w:i/>
          <w:szCs w:val="18"/>
        </w:rPr>
        <w:t xml:space="preserve"> </w:t>
      </w:r>
      <w:r w:rsidR="00E151AB" w:rsidRPr="00503B37">
        <w:rPr>
          <w:szCs w:val="18"/>
        </w:rPr>
        <w:t>przedstawione definicje są roboczym tłumaczeniem IZ RPO WO 2014-2020. Oryginalne definicje (w języku angielskim) znajd</w:t>
      </w:r>
      <w:r w:rsidR="00503B37">
        <w:rPr>
          <w:szCs w:val="18"/>
        </w:rPr>
        <w:t xml:space="preserve">ują się </w:t>
      </w:r>
      <w:r w:rsidR="00E151AB" w:rsidRPr="00503B37">
        <w:rPr>
          <w:szCs w:val="18"/>
        </w:rPr>
        <w:t xml:space="preserve">w dokumencie </w:t>
      </w:r>
      <w:r w:rsidR="00E151AB" w:rsidRPr="00503B37">
        <w:rPr>
          <w:i/>
          <w:szCs w:val="18"/>
        </w:rPr>
        <w:t xml:space="preserve">The </w:t>
      </w:r>
      <w:proofErr w:type="spellStart"/>
      <w:r w:rsidR="00E151AB" w:rsidRPr="00503B37">
        <w:rPr>
          <w:i/>
          <w:szCs w:val="18"/>
        </w:rPr>
        <w:t>programming</w:t>
      </w:r>
      <w:proofErr w:type="spellEnd"/>
      <w:r w:rsidR="00E151AB" w:rsidRPr="00503B37">
        <w:rPr>
          <w:i/>
          <w:szCs w:val="18"/>
        </w:rPr>
        <w:t xml:space="preserve"> period 2014-2020. </w:t>
      </w:r>
      <w:r w:rsidR="00E151AB" w:rsidRPr="00503B37">
        <w:rPr>
          <w:i/>
          <w:szCs w:val="18"/>
          <w:lang w:val="en-US"/>
        </w:rPr>
        <w:t xml:space="preserve">Guidance document on monitoring and evaluation. European Cohesion Fund. European Regional Development Fund. </w:t>
      </w:r>
      <w:proofErr w:type="spellStart"/>
      <w:r w:rsidR="00E151AB" w:rsidRPr="00503B37">
        <w:rPr>
          <w:i/>
          <w:szCs w:val="18"/>
        </w:rPr>
        <w:t>Concepts</w:t>
      </w:r>
      <w:proofErr w:type="spellEnd"/>
      <w:r w:rsidR="00E151AB" w:rsidRPr="00503B37">
        <w:rPr>
          <w:i/>
          <w:szCs w:val="18"/>
        </w:rPr>
        <w:t xml:space="preserve"> and </w:t>
      </w:r>
      <w:proofErr w:type="spellStart"/>
      <w:r w:rsidR="00E151AB" w:rsidRPr="00503B37">
        <w:rPr>
          <w:i/>
          <w:szCs w:val="18"/>
        </w:rPr>
        <w:t>Recommendations</w:t>
      </w:r>
      <w:proofErr w:type="spellEnd"/>
      <w:r w:rsidR="00E151AB" w:rsidRPr="00503B37">
        <w:rPr>
          <w:i/>
          <w:szCs w:val="18"/>
        </w:rPr>
        <w:t>. March 2014</w:t>
      </w:r>
      <w:r w:rsidR="00E151AB" w:rsidRPr="00503B37">
        <w:rPr>
          <w:szCs w:val="18"/>
        </w:rPr>
        <w:t>,</w:t>
      </w:r>
      <w:r w:rsidR="00E151AB" w:rsidRPr="00503B37">
        <w:rPr>
          <w:i/>
          <w:szCs w:val="18"/>
        </w:rPr>
        <w:t xml:space="preserve"> </w:t>
      </w:r>
      <w:r w:rsidR="00E151AB" w:rsidRPr="00503B37">
        <w:rPr>
          <w:szCs w:val="18"/>
        </w:rPr>
        <w:t xml:space="preserve">dostępnym na stronie internetowej Komisji Europejskiej: </w:t>
      </w:r>
      <w:hyperlink r:id="rId9" w:anchor="1" w:history="1">
        <w:r w:rsidR="00E151AB" w:rsidRPr="00503B37">
          <w:rPr>
            <w:rStyle w:val="Hipercze"/>
            <w:i/>
            <w:szCs w:val="18"/>
          </w:rPr>
          <w:t>http://ec.europa.eu/regional_policy/pl/policy/evaluations/guidance/#1</w:t>
        </w:r>
      </w:hyperlink>
    </w:p>
    <w:sectPr w:rsidR="001D3621" w:rsidRPr="00503B37" w:rsidSect="00E151A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AA" w:rsidRDefault="00490DAA" w:rsidP="00A11280">
      <w:pPr>
        <w:spacing w:after="0" w:line="240" w:lineRule="auto"/>
      </w:pPr>
      <w:r>
        <w:separator/>
      </w:r>
    </w:p>
  </w:endnote>
  <w:endnote w:type="continuationSeparator" w:id="0">
    <w:p w:rsidR="00490DAA" w:rsidRDefault="00490DAA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354DFA" w:rsidRPr="00D47A5A" w:rsidRDefault="00354DFA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DC7858">
          <w:rPr>
            <w:noProof/>
            <w:sz w:val="20"/>
          </w:rPr>
          <w:t>22</w:t>
        </w:r>
        <w:r w:rsidRPr="00D47A5A">
          <w:rPr>
            <w:sz w:val="20"/>
          </w:rPr>
          <w:fldChar w:fldCharType="end"/>
        </w:r>
      </w:p>
    </w:sdtContent>
  </w:sdt>
  <w:p w:rsidR="00354DFA" w:rsidRDefault="0035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AA" w:rsidRDefault="00490DAA" w:rsidP="00A11280">
      <w:pPr>
        <w:spacing w:after="0" w:line="240" w:lineRule="auto"/>
      </w:pPr>
      <w:r>
        <w:separator/>
      </w:r>
    </w:p>
  </w:footnote>
  <w:footnote w:type="continuationSeparator" w:id="0">
    <w:p w:rsidR="00490DAA" w:rsidRDefault="00490DAA" w:rsidP="00A11280">
      <w:pPr>
        <w:spacing w:after="0" w:line="240" w:lineRule="auto"/>
      </w:pPr>
      <w:r>
        <w:continuationSeparator/>
      </w:r>
    </w:p>
  </w:footnote>
  <w:footnote w:id="1">
    <w:p w:rsidR="00354DFA" w:rsidRPr="00137AD2" w:rsidRDefault="00354DFA">
      <w:pPr>
        <w:pStyle w:val="Tekstprzypisudolnego"/>
      </w:pPr>
      <w:r>
        <w:rPr>
          <w:rStyle w:val="Odwoanieprzypisudolnego"/>
        </w:rPr>
        <w:footnoteRef/>
      </w:r>
      <w:r w:rsidR="00157AE4">
        <w:t xml:space="preserve"> Wskaźniki 5, 5a i 5</w:t>
      </w:r>
      <w:r>
        <w:t xml:space="preserve">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354DFA" w:rsidRDefault="00354DFA" w:rsidP="00E151AB">
      <w:pPr>
        <w:pStyle w:val="Tekstprzypisudolnego"/>
        <w:jc w:val="both"/>
        <w:rPr>
          <w:sz w:val="16"/>
          <w:szCs w:val="16"/>
        </w:rPr>
      </w:pPr>
      <w:r w:rsidRPr="00EE3D56">
        <w:rPr>
          <w:rStyle w:val="Odwoanieprzypisudolnego"/>
          <w:sz w:val="22"/>
          <w:szCs w:val="16"/>
        </w:rPr>
        <w:footnoteRef/>
      </w:r>
      <w:r w:rsidRPr="00EE3D56">
        <w:rPr>
          <w:sz w:val="22"/>
          <w:szCs w:val="16"/>
        </w:rPr>
        <w:t xml:space="preserve"> Są to wskaźniki określone w Załączniku I do </w:t>
      </w:r>
      <w:r w:rsidRPr="00EE3D56">
        <w:rPr>
          <w:i/>
          <w:sz w:val="22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FA" w:rsidRDefault="00354DFA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DD" w:rsidRDefault="00BD3CDD" w:rsidP="00BD3CDD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Załącznik nr 8  </w:t>
    </w:r>
    <w:r>
      <w:rPr>
        <w:i/>
        <w:sz w:val="20"/>
      </w:rPr>
      <w:t>do Regulaminu konkursu</w:t>
    </w:r>
  </w:p>
  <w:p w:rsidR="00BD3CDD" w:rsidRDefault="00BD3CDD" w:rsidP="00BD3CDD">
    <w:pPr>
      <w:spacing w:after="0" w:line="240" w:lineRule="auto"/>
      <w:ind w:right="-313"/>
      <w:jc w:val="right"/>
      <w:rPr>
        <w:i/>
        <w:sz w:val="20"/>
        <w:szCs w:val="20"/>
      </w:rPr>
    </w:pPr>
    <w:r>
      <w:rPr>
        <w:i/>
        <w:sz w:val="20"/>
      </w:rPr>
      <w:t xml:space="preserve">Poddziałanie 3.2.1 Efektywność energetyczna w budynkach publicznych </w:t>
    </w:r>
    <w:r>
      <w:rPr>
        <w:i/>
        <w:sz w:val="20"/>
        <w:szCs w:val="20"/>
      </w:rPr>
      <w:t>RPO WO 2014-2020</w:t>
    </w:r>
  </w:p>
  <w:p w:rsidR="00BD3CDD" w:rsidRDefault="00BD3CDD" w:rsidP="00BD3CDD">
    <w:pPr>
      <w:pStyle w:val="Nagwek"/>
      <w:ind w:right="-313"/>
      <w:jc w:val="righ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    Wersja nr 1, </w:t>
    </w:r>
    <w:r w:rsidR="00E61FAB">
      <w:rPr>
        <w:i/>
        <w:sz w:val="20"/>
      </w:rPr>
      <w:t>maj 2019</w:t>
    </w:r>
    <w:r>
      <w:rPr>
        <w:i/>
        <w:sz w:val="20"/>
      </w:rPr>
      <w:t xml:space="preserve"> r.</w:t>
    </w:r>
  </w:p>
  <w:p w:rsidR="00BD3CDD" w:rsidRDefault="00BD3C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544A21C4"/>
    <w:lvl w:ilvl="0" w:tplc="6A64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21"/>
  </w:num>
  <w:num w:numId="7">
    <w:abstractNumId w:val="18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3D5"/>
    <w:rsid w:val="00003A52"/>
    <w:rsid w:val="00005649"/>
    <w:rsid w:val="00006354"/>
    <w:rsid w:val="00007B56"/>
    <w:rsid w:val="00011494"/>
    <w:rsid w:val="00011B8E"/>
    <w:rsid w:val="000121E3"/>
    <w:rsid w:val="000138D0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15B3"/>
    <w:rsid w:val="000A34FA"/>
    <w:rsid w:val="000A4AD5"/>
    <w:rsid w:val="000A5A30"/>
    <w:rsid w:val="000A5C5F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32BE"/>
    <w:rsid w:val="000E521A"/>
    <w:rsid w:val="000E5944"/>
    <w:rsid w:val="000E67E8"/>
    <w:rsid w:val="000E7D3B"/>
    <w:rsid w:val="000F6829"/>
    <w:rsid w:val="000F7226"/>
    <w:rsid w:val="00104C40"/>
    <w:rsid w:val="00107890"/>
    <w:rsid w:val="00112769"/>
    <w:rsid w:val="001137A4"/>
    <w:rsid w:val="00113F1F"/>
    <w:rsid w:val="001140C9"/>
    <w:rsid w:val="00114285"/>
    <w:rsid w:val="00114A0B"/>
    <w:rsid w:val="00116F45"/>
    <w:rsid w:val="001208AF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AE4"/>
    <w:rsid w:val="00157ED6"/>
    <w:rsid w:val="001657A9"/>
    <w:rsid w:val="0016785D"/>
    <w:rsid w:val="0017178D"/>
    <w:rsid w:val="00173EA5"/>
    <w:rsid w:val="00174162"/>
    <w:rsid w:val="0018193C"/>
    <w:rsid w:val="0018259B"/>
    <w:rsid w:val="00195DF3"/>
    <w:rsid w:val="00195E0A"/>
    <w:rsid w:val="001A2230"/>
    <w:rsid w:val="001A32D2"/>
    <w:rsid w:val="001A7097"/>
    <w:rsid w:val="001C0B0B"/>
    <w:rsid w:val="001D264C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586C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14E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4C75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4DFA"/>
    <w:rsid w:val="00355D2E"/>
    <w:rsid w:val="00357688"/>
    <w:rsid w:val="0036037A"/>
    <w:rsid w:val="003612BE"/>
    <w:rsid w:val="00365665"/>
    <w:rsid w:val="00367BF2"/>
    <w:rsid w:val="00370247"/>
    <w:rsid w:val="00370E0C"/>
    <w:rsid w:val="00377C57"/>
    <w:rsid w:val="003814B8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D2FB7"/>
    <w:rsid w:val="003D3C8E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0DAA"/>
    <w:rsid w:val="004932C9"/>
    <w:rsid w:val="00495F8C"/>
    <w:rsid w:val="0049696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3E9"/>
    <w:rsid w:val="004E5F90"/>
    <w:rsid w:val="004F4063"/>
    <w:rsid w:val="004F6E63"/>
    <w:rsid w:val="004F6F1C"/>
    <w:rsid w:val="004F7079"/>
    <w:rsid w:val="004F79CB"/>
    <w:rsid w:val="00502D55"/>
    <w:rsid w:val="00503B37"/>
    <w:rsid w:val="005046F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335E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1F30"/>
    <w:rsid w:val="00612750"/>
    <w:rsid w:val="00617E85"/>
    <w:rsid w:val="00625468"/>
    <w:rsid w:val="00627DDB"/>
    <w:rsid w:val="0063106F"/>
    <w:rsid w:val="0063254B"/>
    <w:rsid w:val="00634266"/>
    <w:rsid w:val="00635E43"/>
    <w:rsid w:val="00640991"/>
    <w:rsid w:val="0064192E"/>
    <w:rsid w:val="00641F8D"/>
    <w:rsid w:val="00646646"/>
    <w:rsid w:val="0065404E"/>
    <w:rsid w:val="00657EC9"/>
    <w:rsid w:val="006621DF"/>
    <w:rsid w:val="00662786"/>
    <w:rsid w:val="00662B00"/>
    <w:rsid w:val="00670B55"/>
    <w:rsid w:val="0067220D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2936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48A7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47DCF"/>
    <w:rsid w:val="0075259A"/>
    <w:rsid w:val="0075357F"/>
    <w:rsid w:val="00753583"/>
    <w:rsid w:val="00761C40"/>
    <w:rsid w:val="00761E9C"/>
    <w:rsid w:val="007622B2"/>
    <w:rsid w:val="0076425E"/>
    <w:rsid w:val="00773F23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6AB5"/>
    <w:rsid w:val="00881365"/>
    <w:rsid w:val="00881689"/>
    <w:rsid w:val="00883C42"/>
    <w:rsid w:val="00886741"/>
    <w:rsid w:val="00892C10"/>
    <w:rsid w:val="00892C4D"/>
    <w:rsid w:val="008950B0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27A77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2519"/>
    <w:rsid w:val="009B42E2"/>
    <w:rsid w:val="009B43AE"/>
    <w:rsid w:val="009C02A6"/>
    <w:rsid w:val="009C0422"/>
    <w:rsid w:val="009C1D1E"/>
    <w:rsid w:val="009C6017"/>
    <w:rsid w:val="009C7267"/>
    <w:rsid w:val="009D07E2"/>
    <w:rsid w:val="009D2DA4"/>
    <w:rsid w:val="009D4AA7"/>
    <w:rsid w:val="009D5E42"/>
    <w:rsid w:val="009E1121"/>
    <w:rsid w:val="009E1414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17961"/>
    <w:rsid w:val="00A21B3F"/>
    <w:rsid w:val="00A21E6D"/>
    <w:rsid w:val="00A22820"/>
    <w:rsid w:val="00A2340B"/>
    <w:rsid w:val="00A2382C"/>
    <w:rsid w:val="00A25B3E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29F"/>
    <w:rsid w:val="00A5539C"/>
    <w:rsid w:val="00A55607"/>
    <w:rsid w:val="00A566FE"/>
    <w:rsid w:val="00A56B1F"/>
    <w:rsid w:val="00A56BFA"/>
    <w:rsid w:val="00A610C3"/>
    <w:rsid w:val="00A635F2"/>
    <w:rsid w:val="00A63FC4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4417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0C8A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76266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B4C00"/>
    <w:rsid w:val="00BC14B8"/>
    <w:rsid w:val="00BC52C6"/>
    <w:rsid w:val="00BC6511"/>
    <w:rsid w:val="00BC7EE3"/>
    <w:rsid w:val="00BD1809"/>
    <w:rsid w:val="00BD3741"/>
    <w:rsid w:val="00BD3CDD"/>
    <w:rsid w:val="00BD623F"/>
    <w:rsid w:val="00BE1108"/>
    <w:rsid w:val="00BE34E0"/>
    <w:rsid w:val="00BE78D2"/>
    <w:rsid w:val="00BF0CA3"/>
    <w:rsid w:val="00BF1958"/>
    <w:rsid w:val="00BF3654"/>
    <w:rsid w:val="00BF5BE4"/>
    <w:rsid w:val="00C013F9"/>
    <w:rsid w:val="00C04951"/>
    <w:rsid w:val="00C05E3B"/>
    <w:rsid w:val="00C116C0"/>
    <w:rsid w:val="00C13E93"/>
    <w:rsid w:val="00C169AD"/>
    <w:rsid w:val="00C229BF"/>
    <w:rsid w:val="00C2384F"/>
    <w:rsid w:val="00C23DD6"/>
    <w:rsid w:val="00C3041C"/>
    <w:rsid w:val="00C3376D"/>
    <w:rsid w:val="00C34749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3F50"/>
    <w:rsid w:val="00C8445E"/>
    <w:rsid w:val="00C851B1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0BC"/>
    <w:rsid w:val="00CD24D6"/>
    <w:rsid w:val="00CD338D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22C4"/>
    <w:rsid w:val="00D06A27"/>
    <w:rsid w:val="00D07AF4"/>
    <w:rsid w:val="00D10227"/>
    <w:rsid w:val="00D109D2"/>
    <w:rsid w:val="00D15791"/>
    <w:rsid w:val="00D21207"/>
    <w:rsid w:val="00D26BE8"/>
    <w:rsid w:val="00D27432"/>
    <w:rsid w:val="00D304F9"/>
    <w:rsid w:val="00D307DB"/>
    <w:rsid w:val="00D30972"/>
    <w:rsid w:val="00D34A8D"/>
    <w:rsid w:val="00D36A60"/>
    <w:rsid w:val="00D4097D"/>
    <w:rsid w:val="00D42BEF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288C"/>
    <w:rsid w:val="00D73278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64DA"/>
    <w:rsid w:val="00DB38B3"/>
    <w:rsid w:val="00DB5184"/>
    <w:rsid w:val="00DB5AA4"/>
    <w:rsid w:val="00DB5E30"/>
    <w:rsid w:val="00DC7858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4233"/>
    <w:rsid w:val="00E151AB"/>
    <w:rsid w:val="00E152F7"/>
    <w:rsid w:val="00E1605C"/>
    <w:rsid w:val="00E21CC8"/>
    <w:rsid w:val="00E21F4B"/>
    <w:rsid w:val="00E2310F"/>
    <w:rsid w:val="00E24B44"/>
    <w:rsid w:val="00E267B7"/>
    <w:rsid w:val="00E26B68"/>
    <w:rsid w:val="00E27129"/>
    <w:rsid w:val="00E30318"/>
    <w:rsid w:val="00E31654"/>
    <w:rsid w:val="00E32317"/>
    <w:rsid w:val="00E32DE0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1FAB"/>
    <w:rsid w:val="00E63D0A"/>
    <w:rsid w:val="00E652A8"/>
    <w:rsid w:val="00E713B3"/>
    <w:rsid w:val="00E735DF"/>
    <w:rsid w:val="00E7550B"/>
    <w:rsid w:val="00E76D66"/>
    <w:rsid w:val="00E80A01"/>
    <w:rsid w:val="00E80B69"/>
    <w:rsid w:val="00E858A9"/>
    <w:rsid w:val="00E907E9"/>
    <w:rsid w:val="00E91CF9"/>
    <w:rsid w:val="00E937B1"/>
    <w:rsid w:val="00E96E2E"/>
    <w:rsid w:val="00E9729C"/>
    <w:rsid w:val="00E97FDF"/>
    <w:rsid w:val="00EC02B5"/>
    <w:rsid w:val="00EC6446"/>
    <w:rsid w:val="00EC77B0"/>
    <w:rsid w:val="00ED1091"/>
    <w:rsid w:val="00ED2D0B"/>
    <w:rsid w:val="00ED303E"/>
    <w:rsid w:val="00EE3D56"/>
    <w:rsid w:val="00EF2909"/>
    <w:rsid w:val="00EF3F8F"/>
    <w:rsid w:val="00EF46B8"/>
    <w:rsid w:val="00F00ADF"/>
    <w:rsid w:val="00F122C5"/>
    <w:rsid w:val="00F149AD"/>
    <w:rsid w:val="00F14A63"/>
    <w:rsid w:val="00F174E4"/>
    <w:rsid w:val="00F26B43"/>
    <w:rsid w:val="00F304F8"/>
    <w:rsid w:val="00F308AB"/>
    <w:rsid w:val="00F340A2"/>
    <w:rsid w:val="00F353FE"/>
    <w:rsid w:val="00F41DFA"/>
    <w:rsid w:val="00F424E6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15A"/>
    <w:rsid w:val="00F85758"/>
    <w:rsid w:val="00F90331"/>
    <w:rsid w:val="00FA1A10"/>
    <w:rsid w:val="00FA4398"/>
    <w:rsid w:val="00FB3A48"/>
    <w:rsid w:val="00FB3CFD"/>
    <w:rsid w:val="00FB43CA"/>
    <w:rsid w:val="00FC5E2D"/>
    <w:rsid w:val="00FD3825"/>
    <w:rsid w:val="00FD3D46"/>
    <w:rsid w:val="00FD4489"/>
    <w:rsid w:val="00FD534C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89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0E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326-D4B1-445D-BCCD-FB5B8E10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4713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Barbara Butyńska</cp:lastModifiedBy>
  <cp:revision>4</cp:revision>
  <cp:lastPrinted>2019-05-08T06:20:00Z</cp:lastPrinted>
  <dcterms:created xsi:type="dcterms:W3CDTF">2019-04-30T10:08:00Z</dcterms:created>
  <dcterms:modified xsi:type="dcterms:W3CDTF">2019-05-08T06:20:00Z</dcterms:modified>
</cp:coreProperties>
</file>