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7B" w:rsidRDefault="004A2A7B" w:rsidP="004A2A7B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Default="004A2A7B" w:rsidP="004A2A7B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Default="00EE53F2">
      <w:r>
        <w:rPr>
          <w:noProof/>
          <w:lang w:eastAsia="pl-PL"/>
        </w:rPr>
        <w:drawing>
          <wp:inline distT="0" distB="0" distL="0" distR="0" wp14:anchorId="3FD770E5" wp14:editId="4712CB25">
            <wp:extent cx="7949565" cy="8172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5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Times New Roman" w:hAnsi="Calibri" w:cs="Times New Roman"/>
          <w:b/>
          <w:color w:val="000099"/>
          <w:sz w:val="36"/>
          <w:szCs w:val="36"/>
        </w:rPr>
        <w:t>OŚ PRIORYTETOWA 9 RPO WO 2014-2020</w:t>
      </w:r>
    </w:p>
    <w:p w:rsidR="004A2A7B" w:rsidRPr="004A2A7B" w:rsidRDefault="004A2A7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Times New Roman" w:hAnsi="Calibri" w:cs="Times New Roman"/>
          <w:b/>
          <w:color w:val="000099"/>
          <w:sz w:val="36"/>
          <w:szCs w:val="36"/>
        </w:rPr>
        <w:t>WYSOKA JAKOŚĆ EDUKACJI</w:t>
      </w:r>
    </w:p>
    <w:p w:rsidR="004A2A7B" w:rsidRPr="004A2A7B" w:rsidRDefault="004A2A7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Times New Roman" w:hAnsi="Calibri" w:cs="Times New Roman"/>
          <w:b/>
          <w:color w:val="000099"/>
          <w:sz w:val="36"/>
          <w:szCs w:val="36"/>
        </w:rPr>
        <w:t>- KRYTERIA MERYTORYCZNE SZCZEGÓŁOWE -</w:t>
      </w:r>
    </w:p>
    <w:p w:rsidR="004A2A7B" w:rsidRPr="004A2A7B" w:rsidRDefault="004A2A7B" w:rsidP="004A2A7B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</w:rPr>
      </w:pPr>
    </w:p>
    <w:p w:rsidR="004A2A7B" w:rsidRDefault="004A2A7B" w:rsidP="004A2A7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4D7CC3" w:rsidRDefault="004D7CC3" w:rsidP="004A2A7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4D7CC3" w:rsidRPr="004A2A7B" w:rsidRDefault="004D7CC3" w:rsidP="004A2A7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rPr>
          <w:rFonts w:ascii="Calibri" w:eastAsia="Times New Roman" w:hAnsi="Calibri" w:cs="Times New Roman"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4A2A7B" w:rsidRDefault="004A2A7B" w:rsidP="004A2A7B">
      <w:pPr>
        <w:spacing w:after="200" w:line="27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B6863" w:rsidRDefault="00DB6863" w:rsidP="004A2A7B">
      <w:pPr>
        <w:spacing w:after="200" w:line="27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84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42"/>
        <w:gridCol w:w="1285"/>
        <w:gridCol w:w="1843"/>
        <w:gridCol w:w="1446"/>
        <w:gridCol w:w="8193"/>
      </w:tblGrid>
      <w:tr w:rsidR="000B1D67" w:rsidRPr="000B1D67" w:rsidTr="001B5168">
        <w:trPr>
          <w:trHeight w:val="318"/>
        </w:trPr>
        <w:tc>
          <w:tcPr>
            <w:tcW w:w="3076" w:type="dxa"/>
            <w:gridSpan w:val="2"/>
            <w:noWrap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 xml:space="preserve">Oś priorytetowa </w:t>
            </w:r>
          </w:p>
        </w:tc>
        <w:tc>
          <w:tcPr>
            <w:tcW w:w="12767" w:type="dxa"/>
            <w:gridSpan w:val="4"/>
            <w:noWrap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IX Wysoka jakość edukacji</w:t>
            </w:r>
          </w:p>
        </w:tc>
      </w:tr>
      <w:tr w:rsidR="000B1D67" w:rsidRPr="000B1D67" w:rsidTr="001B5168">
        <w:trPr>
          <w:trHeight w:val="318"/>
        </w:trPr>
        <w:tc>
          <w:tcPr>
            <w:tcW w:w="3076" w:type="dxa"/>
            <w:gridSpan w:val="2"/>
            <w:noWrap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0B1D67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0B1D67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 xml:space="preserve">Działanie    </w:t>
            </w:r>
          </w:p>
        </w:tc>
        <w:tc>
          <w:tcPr>
            <w:tcW w:w="12767" w:type="dxa"/>
            <w:gridSpan w:val="4"/>
            <w:noWrap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9.2 Rozwój kształcenia zawodowego</w:t>
            </w:r>
          </w:p>
        </w:tc>
      </w:tr>
      <w:tr w:rsidR="000B1D67" w:rsidRPr="000B1D67" w:rsidTr="001B5168">
        <w:trPr>
          <w:trHeight w:val="318"/>
        </w:trPr>
        <w:tc>
          <w:tcPr>
            <w:tcW w:w="3076" w:type="dxa"/>
            <w:gridSpan w:val="2"/>
            <w:noWrap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Poddziałanie</w:t>
            </w:r>
          </w:p>
        </w:tc>
        <w:tc>
          <w:tcPr>
            <w:tcW w:w="12767" w:type="dxa"/>
            <w:gridSpan w:val="4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9.2.2 Wsparcie kształcenia zawodowego w Aglomeracji Opolskiej</w:t>
            </w:r>
          </w:p>
        </w:tc>
      </w:tr>
      <w:tr w:rsidR="000B1D67" w:rsidRPr="000B1D67" w:rsidTr="001B5168">
        <w:trPr>
          <w:trHeight w:val="371"/>
        </w:trPr>
        <w:tc>
          <w:tcPr>
            <w:tcW w:w="15843" w:type="dxa"/>
            <w:gridSpan w:val="6"/>
            <w:shd w:val="clear" w:color="auto" w:fill="A6A6A6"/>
            <w:noWrap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 szczegółowe (TAK/NIE)</w:t>
            </w:r>
          </w:p>
        </w:tc>
      </w:tr>
      <w:tr w:rsidR="000B1D67" w:rsidRPr="000B1D67" w:rsidTr="001B5168">
        <w:trPr>
          <w:trHeight w:val="573"/>
        </w:trPr>
        <w:tc>
          <w:tcPr>
            <w:tcW w:w="534" w:type="dxa"/>
            <w:shd w:val="clear" w:color="auto" w:fill="BFBFBF"/>
            <w:noWrap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3827" w:type="dxa"/>
            <w:gridSpan w:val="2"/>
            <w:shd w:val="clear" w:color="auto" w:fill="BFBFBF"/>
            <w:noWrap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8193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0B1D67" w:rsidRPr="000B1D67" w:rsidTr="001B5168">
        <w:trPr>
          <w:trHeight w:val="277"/>
        </w:trPr>
        <w:tc>
          <w:tcPr>
            <w:tcW w:w="534" w:type="dxa"/>
            <w:shd w:val="clear" w:color="auto" w:fill="D9D9D9"/>
            <w:noWrap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D9D9D9"/>
            <w:noWrap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8193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0B1D67" w:rsidRPr="000B1D67" w:rsidTr="001B5168">
        <w:trPr>
          <w:trHeight w:val="1158"/>
        </w:trPr>
        <w:tc>
          <w:tcPr>
            <w:tcW w:w="53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Ograniczenie terytorialne realizacji projektu.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 w:line="25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Ze wsparcia wyłączeni są: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- szkoły/placówki systemu oświaty spoza terenu Aglomeracji Opolskiej,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- uczniowie/słuchacze/wychowankowie wyżej wymienionych szkół/placówek systemu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spoza terenu Aglomeracji Opolskiej,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- nauczyciele wyżej wymienionych szkół/placówek systemu oświaty spoza terenu Aglomeracji Opolskiej.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2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2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B1D67" w:rsidRPr="000B1D67" w:rsidTr="001B5168">
        <w:trPr>
          <w:trHeight w:val="983"/>
        </w:trPr>
        <w:tc>
          <w:tcPr>
            <w:tcW w:w="53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Zgodność z priorytetami i celami </w:t>
            </w:r>
            <w:r w:rsidRPr="000B1D67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Strategii ZIT.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 w:line="25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wpisuje się w </w:t>
            </w:r>
            <w:r w:rsidRPr="000B1D67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Strategię ZIT Aglomeracji Opolskiej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, a jego założenia są zgodne z celami zdefiniowanymi w dokumencie.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40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40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0B1D67" w:rsidRPr="000B1D67" w:rsidTr="000B1D67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Indywidualna analiza potrzeb szkoły lub placówki systemu oświaty.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Weryfikuje się, czy realizacja wsparcia dokonywana jest na podstawie indywidualnie zdiagnozowanego zapotrzebowania szkół lub placówek systemu oświaty w zakresie zaplanowanego do realizacji wsparcia. Diagnoza powinna być przygotowana i przeprowadzona przez szkołę lub placówkę systemu oświaty lub inny podmiot prowadzący działalność o charakterze edukacyjnym lub badawczym oraz zatwierdzona przez organ prowadzący bądź osobę upoważnioną do podejmowania decyzji.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Diagnoza powinna obejmować wnioski z przeprowadzonego spisu inwentarza oraz oceny stanu technicznego posiadanego wyposażenia, ponadto powinna uwzględniać rekomendacje instytucji z otoczenia społeczno-gospodarczego szkół lub placówek systemu oświaty prowadzących kształcenie zawodowe. Jednocześnie nie będzie podlegała ocenie jakość diagnozy szkół lub placówek systemu oświaty w zakresie doposażenia, ponieważ jest ona weryfikowana i zatwierdzana przez organ prowadzący bądź osobę upoważniona do podejmowania decyzji.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Przez organ prowadzący rozumie się właściwego ministra, jednostkę samorządu terytorialnego</w:t>
            </w:r>
            <w:r w:rsidRPr="000B1D67" w:rsidDel="00BA3973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osobę prawną niebędącą jednostką samorządu terytorialnego oraz osobę fizyczną odpowiedzialną za działalność szkoły lub placówki systemu oświaty.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Calibri" w:hAnsi="Calibri" w:cs="Times New Roman"/>
                <w:sz w:val="16"/>
                <w:szCs w:val="16"/>
              </w:rPr>
              <w:t>Podmiot przeprowadzający diagnozę powinien mieć możliwość skorzystania ze wsparcia instytucji systemu wspomagania pracy szkół tj. placówki doskonalenia nauczycieli, poradni psychologiczno-pedagogicznej lub biblioteki pedagogicznej. Wnioski z diagnozy muszą stanowić element wniosku o dofinansowanie projektu.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3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3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0B1D67" w:rsidRPr="000B1D67" w:rsidTr="000B1D67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Projekt zakłada, że co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najmniej 70%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wszystkich osób kwalifikujących się do objęcia wsparciem w ramach projektu stanowią uczniowie, wychowankowie i słuchacze szkół ponadgimnazjalnych, ponadpodstawowych  lub placówek systemu oświaty objęci wsparciem w zakresie 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praktyk i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staży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zawodowych u pracodawców lub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przedsiębiorców</w:t>
            </w:r>
            <w:r w:rsidRPr="000B1D67" w:rsidDel="009141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Zgodnie z zapisami RPO WO 2014-2020 realizowane będą projekty ukierunkowane na wzmocnienie w regionie kształcenia praktycznego, w postaci staży i praktyk zawodowych. 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Praktyki zawodowe organizuje się dla uczniów </w:t>
            </w:r>
            <w:r w:rsidRPr="000B1D67">
              <w:rPr>
                <w:rFonts w:ascii="Calibri" w:eastAsia="Calibri" w:hAnsi="Calibri" w:cs="Calibri"/>
                <w:sz w:val="16"/>
                <w:szCs w:val="16"/>
              </w:rPr>
              <w:t>zasadniczych szkół zawodowych, szkół branżowych I stopnia,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 w celu zastosowania i pogłębienia zdobytej wiedzy i umiejętności zawodowych w rzeczywistych warunkach pracy. Praktyki zawodowe finansowane ze środków EFS nie są formą praktycznej nauki zawodu, o której mowa w rozporządzeniu Ministra Edukacji Narodowej z dnia </w:t>
            </w:r>
            <w:r w:rsidRPr="000B1D67" w:rsidDel="0034201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  <w:r w:rsidRPr="000B1D67" w:rsidDel="0034201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sierpnia</w:t>
            </w:r>
            <w:r w:rsidRPr="000B1D67" w:rsidDel="0034201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2017 r. </w:t>
            </w:r>
            <w:r w:rsidRPr="000B1D67">
              <w:rPr>
                <w:rFonts w:ascii="Calibri" w:eastAsia="Times New Roman" w:hAnsi="Calibri" w:cs="Times New Roman"/>
                <w:i/>
                <w:sz w:val="16"/>
                <w:szCs w:val="16"/>
              </w:rPr>
              <w:t>w sprawie praktycznej nauki zawodu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. 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Calibri" w:hAnsi="Calibri" w:cs="Arial"/>
                <w:i/>
                <w:sz w:val="16"/>
                <w:szCs w:val="16"/>
              </w:rPr>
              <w:t>Praktyki zawodowe realizowane są zgodnie z zasadami określonymi w Wytycznych.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Staże zawodowe organizuje się w ramach kształcenia zawodowego praktycznego: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ab/>
              <w:t xml:space="preserve">dla uczniów i słuchaczy </w:t>
            </w:r>
            <w:r w:rsidRPr="000B1D67">
              <w:rPr>
                <w:rFonts w:ascii="Calibri" w:eastAsia="Calibri" w:hAnsi="Calibri" w:cs="Arial"/>
                <w:sz w:val="16"/>
                <w:szCs w:val="16"/>
              </w:rPr>
              <w:t xml:space="preserve"> szkół prowadzących kształcenie zawodowe (innych niż zasadnicze szkoły zawodowe i  szkoły branżowe I stopnia), w których kształcenie zawodowe praktyczne nie jest realizowane u pracodawców lub przedsiębiorców ze względu na brak możliwości sfinansowania kosztów takiego kształcenia,</w:t>
            </w:r>
            <w:r w:rsidRPr="000B1D67" w:rsidDel="004752D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 w:rsidDel="00232F1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0B1D67">
              <w:rPr>
                <w:rFonts w:ascii="Calibri" w:eastAsia="Calibri" w:hAnsi="Calibri" w:cs="Arial"/>
                <w:sz w:val="16"/>
                <w:szCs w:val="16"/>
              </w:rPr>
              <w:t>dla uczniów i słuchaczy szkół prowadzących kształcenie zawodowe (innych niż zasadnicze szkoły zawodowe i  szkoły branżowe I stopnia), w których staże zawodowe wykraczają poza zakres kształcenia zawodowego praktycznego, w celu zwiększenia wymiaru praktyk zawodowych, objętych podstawą programową nauczania danego zawodu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Calibri" w:hAnsi="Calibri" w:cs="Arial"/>
                <w:sz w:val="16"/>
                <w:szCs w:val="16"/>
              </w:rPr>
              <w:t xml:space="preserve">-                 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uczniów</w:t>
            </w:r>
            <w:r w:rsidRPr="000B1D67" w:rsidDel="002A66B8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szkół ponadgimnazjalnych, ponadpodstawowych lub placówek systemu oświaty prowadzących kształcenie ogólne.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B1D67" w:rsidRPr="000B1D67" w:rsidTr="000B1D67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Wnioskodawca w ramach wsparcia osób dorosłych uczestniczących w pozaszkolnych formach kształcenia gwarantuje realizację wsparcia w postaci kursów kończących się uzyskaniem kompetencji lub kwalifikacji w zakresie zawodowym (dot. 2 typu projektu).</w:t>
            </w:r>
            <w:r w:rsidRPr="000B1D67" w:rsidDel="00BB14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Calibri" w:hAnsi="Calibri" w:cs="Arial"/>
                <w:iCs/>
                <w:sz w:val="16"/>
                <w:szCs w:val="16"/>
              </w:rPr>
            </w:pPr>
            <w:r w:rsidRPr="000B1D67">
              <w:rPr>
                <w:rFonts w:ascii="Calibri" w:eastAsia="Calibri" w:hAnsi="Calibri" w:cs="Arial"/>
                <w:iCs/>
                <w:sz w:val="16"/>
                <w:szCs w:val="16"/>
              </w:rPr>
              <w:t>Kompetencje to wyodrębniony zestaw efektów uczenia się/kształcenia. Opis kompetencji zawiera jasno określone warunki, które powinien spełniać uczestnik projektu ubiegający się o nabycie kompetencji tj.: wyczerpującą informację o efektach uczenia się dla danej kompetencji oraz kryteria i metody ich weryfikacji;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Kwalifikacje należy rozumieć, jako formalny wynik oceny i walidacji, który uzyskuje się w sytuacji, kiedy właściwy organ uznaje, że dana osoba osiągnęła efekty uczenia się spełniające określone standardy. Definicja kwalifikacji zgodnie z Listą wskaźników na poziomie projektu RPO WO 2014-2020. Zakres EFS.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B1D67" w:rsidRPr="000B1D67" w:rsidTr="001B5168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Efekty realizacji projektu mają zapewnioną trwałość zakupionego sprzętu 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 ramach kryterium wnioskodawca powinien wykazać, że jest odpowiednio przygotowany do utrzymania efektów realizacji projektu pod względem organizacyjnym, technicznym i finansowym. Wnioskodawca zobowiązany jest do zamieszczenia we wniosku o dofinansowanie deklaracji dotyczącej utrzymania i wykorzystania zakupionego w ramach projektu sprzętu niezbędnego do realizacji kształcenia zawodowego. 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0B1D67">
              <w:rPr>
                <w:rFonts w:ascii="Calibri" w:eastAsia="Calibri" w:hAnsi="Calibri" w:cs="Arial"/>
                <w:sz w:val="16"/>
                <w:szCs w:val="16"/>
              </w:rPr>
              <w:t>Weryfikacja wskaźnika dotyczącego doposażenia zakupionego dzięki EFS do prowadzenia zajęć będzie dokonywana do 4 tygodni po zakończeniu Projektu w ramach wizyty monitorującej. W przypadku zakończenia Projektu z końcem czerwca, okres pomiaru wskaźników może ulec wydłużeniu i zostanie dokonany w pierwszym miesiącu nowego roku szkolnego.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B1D67" w:rsidRPr="000B1D67" w:rsidTr="001B5168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Przedsięwzięcia finansowane ze środków EFS  prowadzone w ramach projektu stanowią uzupełnienie działań prowadzonych przed rozpoczęciem realizacji projektu 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  <w:r w:rsidRPr="000B1D67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t>Skala działań prowadzonych przed rozpoczęciem realizacji projektu przez szkoły lub placówki systemu oświaty (nakłady środków na ich realizację) nie ulegnie zmniejszeniu w stosunku do skali działań (nakładów) prowadzonych szkoły lub placówki systemu oświaty w okresie 12 miesięcy poprzedzających złożenie wniosku o dofinansowanie projektu (średniomiesięcznie). Warunek nie dotyczy działań zrealizowanych w ramach programów rządowych.</w:t>
            </w:r>
            <w:r w:rsidRPr="000B1D67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br/>
              <w:t xml:space="preserve">W przypadku staży zawodowych obejmujących realizację kształcenia zawodowego praktycznego wsparcie kierowane jest do tych szkół lub placówek systemu oświaty prowadzących kształcenie zawodowe, w których kształcenie zawodowe praktyczne nie jest realizowane u pracodawców lub przedsiębiorców ze względu na brak możliwości sfinansowania </w:t>
            </w:r>
            <w:r w:rsidRPr="000B1D67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lastRenderedPageBreak/>
              <w:t>kosztów takiego kształcenia. Wnioskodawca zobowiązany jest do zamieszczenia we wniosku o dofinansowanie projektu stosownej deklaracji.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7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7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B1D67" w:rsidRPr="000B1D67" w:rsidTr="001B5168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8. 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Zapewnienie i monitorowanie wysokiej jakości staży i praktyk zawodowych przez szkoły </w:t>
            </w:r>
            <w:r w:rsidRPr="000B1D67">
              <w:rPr>
                <w:rFonts w:ascii="Calibri" w:eastAsia="Calibri" w:hAnsi="Calibri" w:cs="Times New Roman"/>
                <w:sz w:val="16"/>
                <w:szCs w:val="16"/>
              </w:rPr>
              <w:t>lub placówki systemu oświaty prowadzące kształcenie zawodowe.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jakości staży i praktyk zawodowych u pracodawców lub przedsiębiorców powinna polegać na przeprowadzeniu ankiety ewaluacyjnej przez beneficjenta wypełnionej przez ucznia i pracodawcę lub przedsiębiorcę, po odbytym stażu/praktyce. Ankiety ewaluacyjne powinny być weryfikowane wraz z końcowym wnioskiem o płatność.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Wnioskodawca zobowiązany jest do zamieszczenia we wniosku o dofinansowanie projektu stosownej deklaracji. 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8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8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B1D67" w:rsidRPr="000B1D67" w:rsidTr="001B5168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9.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Diagnoza potrzeb uczniów i słuchaczy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Bezwzględny   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B1D6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B1D6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i edukacyjne oraz możliwości psychofizyczne uczniów i słuchaczy objętych wsparciem,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B1D6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poparte diagnozą przedstawioną we wniosku o dofinansowanie projektu.</w:t>
            </w:r>
          </w:p>
          <w:p w:rsidR="000B1D67" w:rsidRPr="000B1D67" w:rsidRDefault="000B1D67" w:rsidP="000B1D67">
            <w:pPr>
              <w:spacing w:after="0" w:line="25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B1D6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Informacje zawarte we wniosku o dofinansowanie, stanowiące odzwierciedlenie spełnienia powyższego kryterium, powinny być zapisami jednoznacznymi, niebudzącymi wątpliwości.  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B1D67" w:rsidRPr="000B1D67" w:rsidRDefault="000B1D67" w:rsidP="000B1D67">
            <w:pPr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B1D67" w:rsidRPr="000B1D67" w:rsidRDefault="000B1D67" w:rsidP="000B1D67">
            <w:pPr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B1D67" w:rsidRPr="000B1D67" w:rsidRDefault="000B1D67" w:rsidP="000B1D67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B1D67" w:rsidRPr="000B1D67" w:rsidRDefault="000B1D67" w:rsidP="000B1D67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0B1D67" w:rsidRPr="000B1D67" w:rsidRDefault="000B1D67" w:rsidP="000B1D67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Overlap w:val="never"/>
        <w:tblW w:w="1578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104"/>
        <w:gridCol w:w="3671"/>
        <w:gridCol w:w="1977"/>
        <w:gridCol w:w="988"/>
        <w:gridCol w:w="1158"/>
        <w:gridCol w:w="6890"/>
      </w:tblGrid>
      <w:tr w:rsidR="000B1D67" w:rsidRPr="000B1D67" w:rsidTr="000B1D67">
        <w:trPr>
          <w:trHeight w:val="90"/>
        </w:trPr>
        <w:tc>
          <w:tcPr>
            <w:tcW w:w="15788" w:type="dxa"/>
            <w:gridSpan w:val="6"/>
            <w:shd w:val="clear" w:color="auto" w:fill="A6A6A6"/>
            <w:noWrap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szczegółowe (punktowane)</w:t>
            </w:r>
          </w:p>
        </w:tc>
      </w:tr>
      <w:tr w:rsidR="000B1D67" w:rsidRPr="000B1D67" w:rsidTr="000B1D67">
        <w:trPr>
          <w:trHeight w:val="108"/>
        </w:trPr>
        <w:tc>
          <w:tcPr>
            <w:tcW w:w="1104" w:type="dxa"/>
            <w:shd w:val="clear" w:color="auto" w:fill="BFBFBF"/>
            <w:noWrap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3671" w:type="dxa"/>
            <w:shd w:val="clear" w:color="auto" w:fill="BFBFBF"/>
            <w:noWrap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977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88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158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6890" w:type="dxa"/>
            <w:shd w:val="clear" w:color="auto" w:fill="BFBFBF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0B1D67" w:rsidRPr="000B1D67" w:rsidTr="000B1D67">
        <w:trPr>
          <w:trHeight w:val="78"/>
        </w:trPr>
        <w:tc>
          <w:tcPr>
            <w:tcW w:w="1104" w:type="dxa"/>
            <w:shd w:val="clear" w:color="auto" w:fill="D9D9D9"/>
            <w:noWrap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3671" w:type="dxa"/>
            <w:shd w:val="clear" w:color="auto" w:fill="D9D9D9"/>
            <w:noWrap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88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6890" w:type="dxa"/>
            <w:shd w:val="clear" w:color="auto" w:fill="D9D9D9"/>
            <w:vAlign w:val="center"/>
          </w:tcPr>
          <w:p w:rsidR="000B1D67" w:rsidRPr="000B1D67" w:rsidRDefault="000B1D67" w:rsidP="000B1D6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0B1D67" w:rsidRPr="000B1D67" w:rsidTr="000B1D67">
        <w:trPr>
          <w:trHeight w:val="138"/>
        </w:trPr>
        <w:tc>
          <w:tcPr>
            <w:tcW w:w="1104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Zintegrowany charakter projektu (kryterium obowiązuje, gdy w konkursie przewidziano do realizacji wszystkie typy projektów wskazane w </w:t>
            </w:r>
            <w:r w:rsidRPr="000B1D67">
              <w:rPr>
                <w:rFonts w:ascii="Calibri" w:eastAsia="Times New Roman" w:hAnsi="Calibri" w:cs="Times New Roman"/>
                <w:i/>
                <w:sz w:val="16"/>
                <w:szCs w:val="16"/>
              </w:rPr>
              <w:t xml:space="preserve"> Szczegółowym Opisie Osi Priorytetowych RPO WO 2014-2020).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1-3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Punktowane będą projekty łączące główne typy przedsięwzięć możliwych do realizowania, wskazanych w Szczegółowym Opisie Osi Priorytetowych RPO WO 2014-2020: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1 pkt – projekt realizujący jeden typ projektu;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 – projekt integrujący dwa typy projektów;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3 pkt - projekt integrujący więcej niż dwa typy projektów.</w:t>
            </w:r>
          </w:p>
        </w:tc>
      </w:tr>
      <w:tr w:rsidR="000B1D67" w:rsidRPr="000B1D67" w:rsidTr="000B1D67">
        <w:trPr>
          <w:trHeight w:val="1294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Komplementarność projektu.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0-8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jest komplementarny z:  </w:t>
            </w:r>
          </w:p>
          <w:p w:rsidR="000B1D67" w:rsidRPr="000B1D67" w:rsidRDefault="000B1D67" w:rsidP="000B1D67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 - </w:t>
            </w:r>
            <w:r w:rsidRPr="000B1D67" w:rsidDel="00AA1539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nie zakłada komplementarności;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</w:t>
            </w:r>
            <w:r w:rsidRPr="000B1D67" w:rsidDel="00476398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0B1D67" w:rsidDel="00476398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 projektami realizowanymi w ramach ZIT,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 - z projektami z obszaru edukacji współfinansowanymi ze środków unijnych (w tym w zakresie wykorzystania sprzętu  zakupionego w ramach projektów) realizowanych w perspektywie finansowej UE 2007-2013,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 pkt - projektami zaplanowanymi do realizacji w ramach PI 10 a (rozwój infrastruktury edukacyjno- szkoleniowej),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 pkt - inicjatywami zaplanowanymi w ramach Programu SSD.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Punkty sumują się. </w:t>
            </w:r>
          </w:p>
        </w:tc>
      </w:tr>
      <w:tr w:rsidR="000B1D67" w:rsidRPr="000B1D67" w:rsidTr="000B1D67">
        <w:trPr>
          <w:trHeight w:val="238"/>
        </w:trPr>
        <w:tc>
          <w:tcPr>
            <w:tcW w:w="1104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3.</w:t>
            </w:r>
          </w:p>
        </w:tc>
        <w:tc>
          <w:tcPr>
            <w:tcW w:w="3671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Obszar realizacji projektu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1-3 pkt</w:t>
            </w:r>
          </w:p>
        </w:tc>
        <w:tc>
          <w:tcPr>
            <w:tcW w:w="6890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realizowany na obszarze: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 gminy - 1 pkt,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2 gmin - 2 pkt, </w:t>
            </w:r>
          </w:p>
          <w:p w:rsidR="000B1D67" w:rsidRPr="000B1D67" w:rsidRDefault="000B1D67" w:rsidP="000B1D67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 lub więcej gmin - 3 punkty.</w:t>
            </w:r>
          </w:p>
        </w:tc>
      </w:tr>
      <w:tr w:rsidR="000B1D67" w:rsidRPr="000B1D67" w:rsidTr="000B1D67">
        <w:trPr>
          <w:trHeight w:val="64"/>
        </w:trPr>
        <w:tc>
          <w:tcPr>
            <w:tcW w:w="1104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4.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Wpływ projektu na osiągnięcie wskaźników określonych dla Aglomeracji Opolskiej.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0-8 pkt</w:t>
            </w:r>
          </w:p>
        </w:tc>
        <w:tc>
          <w:tcPr>
            <w:tcW w:w="6890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Premiowane będą projekty o najwyższym wpływie na realizację wartości docelowej wskaźników produktu wskazanych w </w:t>
            </w:r>
            <w:r w:rsidRPr="000B1D67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Strategii ZIT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, tj.: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1) Liczba nauczycieli kształcenia zawodowego oraz instruktorów praktycznej nauki zawodu objętych wsparciem w programie (osoby),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2) Liczba uczniów szkół i placówek kształcenia zawodowego uczestniczących w stażach i praktykach u pracodawcy (osoby).</w:t>
            </w:r>
          </w:p>
          <w:p w:rsidR="000B1D67" w:rsidRPr="000B1D67" w:rsidRDefault="000B1D67" w:rsidP="000B1D67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Wpływ na osiągnięcie docelowej wartości wskaźników wyrażony będzie wg wzoru: </w:t>
            </w:r>
          </w:p>
          <w:p w:rsidR="000B1D67" w:rsidRPr="000B1D67" w:rsidRDefault="00EE53F2" w:rsidP="000B1D67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warto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ść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 xml:space="preserve"> wska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ź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nika zadeklarowana w projekcie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warto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ść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 xml:space="preserve"> docelowa wska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ź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nika okre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ś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 xml:space="preserve">lona w Strategii ZIT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6"/>
                    <w:szCs w:val="16"/>
                  </w:rPr>
                  <m:t xml:space="preserve"> x 100%</m:t>
                </m:r>
              </m:oMath>
            </m:oMathPara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- poniżej 1 %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 pkt - od 1 % do 3 %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 pkt - powyżej  3 % do 5 %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 pkt - powyżej 5 % do 10 %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4 pkt - powyżej 10 %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Punktacja przyznawana jest za każdy ww. wskaźnik osobno. Punkty sumują się.</w:t>
            </w:r>
          </w:p>
        </w:tc>
      </w:tr>
      <w:tr w:rsidR="000B1D67" w:rsidRPr="000B1D67" w:rsidTr="000B1D67">
        <w:trPr>
          <w:trHeight w:val="925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Wykorzystanie współpracy nawiązanej z pracodawcami w trakcie realizacji projektów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w perspektywie finansowej UE 2007-2013 przy organizacji praktyk i staży zawodowych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 zakłada, że  co najmniej 20% pracodawców u których realizowane będą praktyki i staże w ramach projektu stanowią podmioty, z którymi została nawiązana współpraca w trakcie realizacji projektów w perspektywie finansowej UE 2007-2013. Kryterium ma na celu zapewnienie ciągłości nawiązanej współpracy w ramach projektów realizowanych w perspektywie finansowej UE 2007-2013.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0 pkt – projekt nie zakłada,  że  co najmniej 20% pracodawców u których realizowane będą praktyki i staże w ramach projektu stanowią podmioty, z którymi została nawiązana współpraca w trakcie realizacji projektów w perspektywie finansowej UE 2007-2013.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5 pkt – projekt zakłada  że  co najmniej 20% pracodawców u których realizowane będą praktyki i staże w ramach projektu stanowią podmioty, z którymi została nawiązana współpraca w trakcie realizacji projektów w perspektywie finansowej UE 2007-2013.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B1D67" w:rsidRPr="000B1D67" w:rsidTr="000B1D67">
        <w:trPr>
          <w:trHeight w:val="377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zakłada wykorzystanie pozytywnie zwalidowanych produktów projektów innowacyjnych zrealizowanych w perspektywie finansowej UE 2007-2013 w ramach POKL..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lub 2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Kryterium ma na celu wykorzystanie pozytywnie zwalidowanych produktów projektów innowacyjnych wypracowanych w kraju w perspektywie finansowej UE 2007-2013. 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wykorzystania pozytywnie zwalidowanych produktów projektów innowacyjnych zrealizowanych w  perspektywie finansowej UE 2007 – 2013 w ramach POKL;</w:t>
            </w:r>
          </w:p>
          <w:p w:rsidR="000B1D67" w:rsidRPr="000B1D67" w:rsidRDefault="000B1D67" w:rsidP="000B1D67">
            <w:pPr>
              <w:spacing w:after="0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 pkt – projekt zakłada wykorzystanie pozytywnie zwalidowanych produktów projektów innowacyjnych zrealizowanych w  perspektywie finansowej UE 2007 – 2013 w ramach POKL.</w:t>
            </w:r>
          </w:p>
        </w:tc>
      </w:tr>
      <w:tr w:rsidR="000B1D67" w:rsidRPr="000B1D67" w:rsidTr="000B1D67">
        <w:trPr>
          <w:trHeight w:val="2056"/>
        </w:trPr>
        <w:tc>
          <w:tcPr>
            <w:tcW w:w="1104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Wsparcie osób w ramach projektu dotyczy zdobycia/ doskonalenia w zakresie zawodu w przypadku, którego odnotowuje się zapotrzebowanie na regionalnym rynku pracy i/lub który wpisuje się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w obszar specjalizacji regionalnych.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0, 3, 6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Kryterium ma na celu dostosowanie działań do potrzeb regionalnego rynku pracy. 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Specjalizacje regionalne określone w Regionalnej Strategii Innowacji Województwa Opolskiego do roku 2020, która stanowi jedną z podstaw diagnozy wyzwań, potrzeb i potencjałów obszarów/ sektorów objętych RPO WO 2014-2020.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0 pkt – projekt nie przewiduje wsparcia osób w zakresie zawodów, na które odnotowuje się zapotrzebowanie na regionalnym rynku pracy, zgodnie z prowadzonym monitoringiem WUP Opole lub zawodów wpisujących się w obszar specjalizacji regionalnych;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 pkt –  wsparcie osób w zakresie zawodów w ramach, których odnotowuje się zapotrzebowanie na regionalnym rynku pracy zgodnie z prowadzonym monitoringiem WUP Opole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3 pkt -  wsparcie osób w zakresie zawodów wpisujących się w obszar specjalizacji regionalnych (poprzez specjalizacje regionalne należy rozumieć obszary rozwoju znajdujące się w grupie kluczowych i potencjalnie kluczowych specjalizacji  zdiagnozowanych w województwie opolskim). 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  <w:shd w:val="clear" w:color="auto" w:fill="FFFFFF"/>
              </w:rPr>
              <w:t>Punkty sumuje się.</w:t>
            </w:r>
          </w:p>
        </w:tc>
      </w:tr>
      <w:tr w:rsidR="000B1D67" w:rsidRPr="000B1D67" w:rsidTr="000B1D67">
        <w:trPr>
          <w:trHeight w:val="678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Wyrównanie szans rozwojowych i edukacyjnych  dzieci i młodzieży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0 lub </w:t>
            </w:r>
            <w:r w:rsidRPr="000B1D67" w:rsidDel="00F522C6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4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Kryterium ma za zadanie preferowanie objęcia wsparciem w ramach projektu dzieci ze specjalnymi potrzebami rozwojowymi i edukacyjnymi, w tym dzieci z grup defaworyzowanych celem wyrównania ich szans edukacyjnych jak i pozostałych celem rozwijania ich kompetencji i umiejętności, co umożliwi jednocześnie podniesienie poziomu realizowanej w regionie edukacji. Specjalne potrzeby rozwojowe i edukacyjne stanowią indywidualne potrzeby rozwojowe i edukacyjne uczniów, o których mowa w rozporządzeniu Ministra Edukacji Narodowej z dnia  z dnia 30 kwietnia 2013 r. w sprawie zasad udzielania i organizacji pomocy psychologiczno-pedagogicznej w publicznych przedszkolach, szkołach i placówkach (Dz. U. poz. 532 oraz z 2017 r. poz. 1643) oraz w rozporządzeniu Ministra Edukacji Narodowej z dnia 9 sierpnia 2017 r. w sprawie zasad organizacji i udzielania pomocy psychologiczno-pedagogicznej w publicznych przedszkolach, szkołach i placówkach (Dz. U. z 2017, poz. 1591 z późn. zm.).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Przez grupy defaworyzowane rozumie się: osoby z niepełnosprawnościami, osoby przedwcześnie kończące naukę i zagrożone przedwczesnym wypadnięciem z systemu oświaty, osoby niedostosowane społecznie, osoby żyjące w ubóstwie czy doświadczające przejawów dyskryminacji. 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Spełnienie kryterium zostanie zweryfikowane na podstawie zapisów we wniosku o dofinansowanie projektu. 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skierowany do: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- projekt nie jest  w co najmniej 15% skierowany  do uczniów/słuchaczy/wychowanków  ze specjalnymi potrzebami rozwojowymi i edukacyjnymi, w tym dzieci z grup defaworyzowanych  oraz ich opiekunów;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4 pkt - projekt  w co najmniej 15% skierowany  jest do uczniów/słuchaczy/wychowanków  z grup  ze specjalnymi potrzebami rozwojowymi i edukacyjnymi, w tym dzieci z grup defaworyzowanych  oraz ich opiekunów.</w:t>
            </w:r>
          </w:p>
          <w:p w:rsidR="000B1D67" w:rsidRPr="000B1D67" w:rsidRDefault="000B1D67" w:rsidP="000B1D67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B1D67" w:rsidRPr="000B1D67" w:rsidTr="000B1D67">
        <w:trPr>
          <w:trHeight w:val="2238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skierowany do osób zamieszkałych na terenach wiejskich.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jc w:val="center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0 - 5 pkt</w:t>
            </w:r>
          </w:p>
        </w:tc>
        <w:tc>
          <w:tcPr>
            <w:tcW w:w="6890" w:type="dxa"/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i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 Kryterium ma  za zadanie zapewnienie objęcia wsparciem w ramach projektu grup znajdujących się w szczególnie trudnej sytuacji oraz bezpośrednio wpłynie na wsparcie szkół i placówek systemu oświaty położonych na terenach wiejskich. Kierowanie środków w ramach realizowanej interwencji na obszary wiejskie sprzyjać będzie zachowaniu spójności pomiędzy miastem a wsią. Tereny wiejskie należy rozumieć jako obszary słabo zaludnione zgodnie ze stopniem urbanizacji ujętym w klasyfikacji DEGURBA (kategoria 3). Definicja osób zamieszkałych na terenach wiejskich zgodnie z </w:t>
            </w:r>
            <w:r w:rsidRPr="000B1D67">
              <w:rPr>
                <w:rFonts w:ascii="Calibri" w:eastAsia="Times New Roman" w:hAnsi="Calibri" w:cs="Times New Roman"/>
                <w:i/>
                <w:sz w:val="16"/>
                <w:szCs w:val="16"/>
              </w:rPr>
              <w:t>Listą wskaźników na poziomie projektu RPO WO 2014-2020. Zakres EFS.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– osoby zamieszkałe na terenach wiejskich  stanowią mniej niż 15% uczestników projektu;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1 pkt – osoby zamieszkałe na terenach wiejskich stanowią od 15% do 25%  uczestników projektu;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 pkt – osoby zamieszkałe na terenach wiejskich stanowią więcej niż 25% do 35%  uczestników projektu;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 pkt – osoby zamieszkałe na terenach wiejskich stanowią więcej niż 35% do 45% uczestników projektu.</w:t>
            </w:r>
          </w:p>
          <w:p w:rsidR="000B1D67" w:rsidRPr="000B1D67" w:rsidRDefault="000B1D67" w:rsidP="000B1D6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4 pkt – osoby zamieszkałe na terenach wiejskich stanowią więcej niż 45% do 55%  uczestników projektu.</w:t>
            </w:r>
          </w:p>
          <w:p w:rsidR="000B1D67" w:rsidRPr="000B1D67" w:rsidRDefault="000B1D67" w:rsidP="000B1D67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5 pkt – osoby zamieszkałe na terenach wiejskich stanowią więcej niż 55%  uczestników projektu.</w:t>
            </w:r>
          </w:p>
        </w:tc>
      </w:tr>
      <w:tr w:rsidR="000B1D67" w:rsidRPr="000B1D67" w:rsidTr="000B1D67">
        <w:trPr>
          <w:trHeight w:val="159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Ukierunkowanie wsparcia nauczycieli kształcenia zawodowego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Bada się, czy projekt zakłada realizację w pierwszej kolejności studiów podyplomowych lub kursów kwalifikacyjnych przygotowujących do wykonywania zawodu nauczyciela kształcenia zawodowego, w ramach zawodów nowo wprowadzonych do klasyfikacji zawodów szkolnictwa zawodowego, zawodów wprowadzonych w efekcie modernizacji oferty kształcenia zawodowego albo tworzenia nowych kierunków nauczania lub zawodów, na które występuje deficyt na regionalnym lub lokalnym rynku pracy oraz braki kadrowe wśród nauczycieli kształcenia zawodowego.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0 pkt. –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projekt nie zakłada wsparcia w powyższym zakresie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5 pkt – projekt zakłada wsparcie w powyższym zakresie</w:t>
            </w:r>
          </w:p>
        </w:tc>
      </w:tr>
      <w:tr w:rsidR="000B1D67" w:rsidRPr="000B1D67" w:rsidTr="000B1D67">
        <w:trPr>
          <w:trHeight w:val="1559"/>
        </w:trPr>
        <w:tc>
          <w:tcPr>
            <w:tcW w:w="1104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Udział finansowy pracodawców w realizacji projektów 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Bada się czy projekt zakłada udział finansowy każdego pracodawcy w wymiarze co najmniej 5 % kosztów organizacji i prowadzenia pojedynczej praktyki zawodowej lub pojedynczego stażu zawodowego.</w:t>
            </w:r>
            <w:r w:rsidRPr="000B1D67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 kosztów organizacji i prowadzenia praktyki zawodowej lub stażu zawodowego należy zaliczyć m. in. koszty stypendium, które otrzymują uczniowie, koszty związane z odbywaniem praktyki lub stażu zawodowego oraz koszty wynagrodzenia opiekuna praktykanta lub stażysty u pracodawcy.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udziału finansowego pracodawców,</w:t>
            </w:r>
          </w:p>
          <w:p w:rsidR="000B1D67" w:rsidRPr="000B1D67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5 pkt - projekt zakłada udział finansowy pracodawców.</w:t>
            </w:r>
          </w:p>
          <w:p w:rsidR="000B1D67" w:rsidRPr="000B1D67" w:rsidRDefault="000B1D67" w:rsidP="000B1D6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Wnioskodawca zobowiązany jest do wskazania we wniosku o dofinansowanie kosztów organizacji 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br/>
              <w:t>i prowadzenia praktyki zawodowej lub stażu zawodowego w jakich zamierza partycypować finansowo pracodawca/pracodawcy.</w:t>
            </w:r>
          </w:p>
        </w:tc>
      </w:tr>
      <w:tr w:rsidR="000B1D67" w:rsidRPr="000B1D67" w:rsidTr="000B1D67">
        <w:trPr>
          <w:trHeight w:val="1559"/>
        </w:trPr>
        <w:tc>
          <w:tcPr>
            <w:tcW w:w="11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Projekt zakłada wykorzystanie e-podręczników bądź </w:t>
            </w:r>
            <w:r w:rsidRPr="000B1D67" w:rsidDel="00BA1370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/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e-zasobów/ </w:t>
            </w:r>
            <w:r w:rsidRPr="000B1D67" w:rsidDel="00BA1370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/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e-materiałów dydaktycznych.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B1D67" w:rsidRPr="000B1D67" w:rsidRDefault="000B1D67" w:rsidP="000B1D6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B1D67" w:rsidRPr="000B1D67" w:rsidRDefault="000B1D67" w:rsidP="000B1D6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B1D67" w:rsidRPr="000B1D67" w:rsidRDefault="000B1D67" w:rsidP="000B1D6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B1D67" w:rsidRPr="000B1D67" w:rsidDel="00591611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lub 3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 ramach kryterium bada się czy będą wykorzystywane e-podręczniki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e-zasoby/e-materiały dydaktyczne stworzone dzięki środkom EFS w latach 2007-2013 i 2014-2020.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wykorzystania e-podręczników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3 pkt - projekt zakłada </w:t>
            </w:r>
            <w:proofErr w:type="spellStart"/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wykorzystanie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>a</w:t>
            </w:r>
            <w:proofErr w:type="spellEnd"/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 e-podręczników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</w:tc>
      </w:tr>
      <w:tr w:rsidR="000B1D67" w:rsidRPr="000B1D67" w:rsidTr="000B1D67">
        <w:trPr>
          <w:trHeight w:val="1559"/>
        </w:trPr>
        <w:tc>
          <w:tcPr>
            <w:tcW w:w="11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Projekt zakłada szkolenia dla nauczycieli z wykorzystania e-podręczników bądź</w:t>
            </w:r>
            <w:r w:rsidRPr="000B1D67" w:rsidDel="00BA1370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e-zasobów/e-materiałów dydaktycznych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B1D67" w:rsidRPr="000B1D67" w:rsidRDefault="000B1D67" w:rsidP="000B1D6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B1D67" w:rsidRPr="000B1D67" w:rsidRDefault="000B1D67" w:rsidP="000B1D6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B1D67" w:rsidRPr="000B1D67" w:rsidRDefault="000B1D67" w:rsidP="000B1D6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B1D67" w:rsidRPr="000B1D67" w:rsidDel="00591611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lub 3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 ramach kryterium bada się czy będą organizowane szkolenia dla nauczycieli z wykorzystywania w nauczaniu  e-podręczników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 stworzonych dzięki środkom EFS w latach 2007-2013 i 2014-2020.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pkt. – projekt nie zakłada </w:t>
            </w:r>
            <w:proofErr w:type="spellStart"/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realizacji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>ę</w:t>
            </w:r>
            <w:proofErr w:type="spellEnd"/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 szkoleń dla nauczycieli w zakresie wykorzystania e-podręczników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3 pkt – projekt zakłada realizację szkoleń dla nauczycieli w zakresie wykorzystania e-podręczników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B1D67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</w:tc>
      </w:tr>
      <w:tr w:rsidR="000B1D67" w:rsidRPr="000B1D67" w:rsidTr="000B1D67">
        <w:trPr>
          <w:trHeight w:val="1559"/>
        </w:trPr>
        <w:tc>
          <w:tcPr>
            <w:tcW w:w="11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Projekt zakłada objęcie wsparciem miast średnich, w  tym  w  szczególności miast średnich  tracących  funkcje  społeczno-gospodarcze.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B1D6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Del="00591611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0, 1</w:t>
            </w:r>
            <w:r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, 2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lub </w:t>
            </w:r>
            <w:r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3</w:t>
            </w:r>
            <w:r w:rsidRPr="000B1D67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Wsparcie dla średnich miast jest realizacją jednego z punktów Strategii  na  rzecz Odpowiedzialnego Rozwoju (SOR)i dotyczy miast powyżej  20 tys. mieszkańców z wyłączeniem miast wojewódzkich oraz miast z liczbą ludności 15-20 tys. mieszkańców będących stolicami</w:t>
            </w:r>
            <w:r w:rsidRPr="000B1D67" w:rsidDel="00784F74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 Lista miast średnich   wskazana jest w załączniku nr 1 do dokumentu pn. Delimitacja miast średnich 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0 pkt - projekt nie zakłada objęcia wsparciem miast średnich, w  tym  w  szczególności miast średnich  tracących  funkcje  społeczno-gospodarcze.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 xml:space="preserve">1 pkt – projekt zakłada objęcie wsparciem przynajmniej jedno miasto średnie spośród miast wskazanych 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w załączniku nr 1 do dokumentu pn. Delimitacja miast średnich tracących funkcje społeczno-gospodarcze.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2 pkt – projekt zakłada objęcie wsparciem przynajmniej jedno miasto średnie tracące funkcje społeczno-gospodarcze spośród miast wskazanych w załączniku nr 2 do dokumentu pn. Delimitacja miast średnich tracących funkcje społeczno-gospodarcze.</w:t>
            </w:r>
          </w:p>
          <w:p w:rsidR="000B1D67" w:rsidRPr="000B1D67" w:rsidDel="00FD4695" w:rsidRDefault="000B1D67" w:rsidP="000B1D67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B1D67">
              <w:rPr>
                <w:rFonts w:ascii="Calibri" w:eastAsia="Times New Roman" w:hAnsi="Calibri" w:cs="Times New Roman"/>
                <w:sz w:val="16"/>
                <w:szCs w:val="16"/>
              </w:rPr>
              <w:t>Punkty sumują się za wyjątkiem sytuacji, gdy z listy miast wskazanych w załączniku nr 1 oraz listy miast wskazanych w załączniku nr 2 do dokumentu pn. Delimitacja miast średnich tracących funkcje społeczno-gospodarcze wybrano to samo miasto.</w:t>
            </w:r>
          </w:p>
          <w:p w:rsidR="000B1D67" w:rsidRPr="000B1D67" w:rsidRDefault="000B1D67" w:rsidP="000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2C5C49" w:rsidRPr="004A2A7B" w:rsidRDefault="002C5C49" w:rsidP="004A2A7B">
      <w:pPr>
        <w:spacing w:after="200" w:line="27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sectPr w:rsidR="002C5C49" w:rsidRPr="004A2A7B" w:rsidSect="006D087B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7B" w:rsidRDefault="006D087B" w:rsidP="006D087B">
      <w:pPr>
        <w:spacing w:after="0" w:line="240" w:lineRule="auto"/>
      </w:pPr>
      <w:r>
        <w:separator/>
      </w:r>
    </w:p>
  </w:endnote>
  <w:endnote w:type="continuationSeparator" w:id="0">
    <w:p w:rsidR="006D087B" w:rsidRDefault="006D087B" w:rsidP="006D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7B" w:rsidRDefault="006D087B" w:rsidP="006D087B">
      <w:pPr>
        <w:spacing w:after="0" w:line="240" w:lineRule="auto"/>
      </w:pPr>
      <w:r>
        <w:separator/>
      </w:r>
    </w:p>
  </w:footnote>
  <w:footnote w:type="continuationSeparator" w:id="0">
    <w:p w:rsidR="006D087B" w:rsidRDefault="006D087B" w:rsidP="006D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F2" w:rsidRPr="009305FA" w:rsidRDefault="00EE53F2" w:rsidP="00EE53F2">
    <w:pPr>
      <w:tabs>
        <w:tab w:val="center" w:pos="4536"/>
        <w:tab w:val="right" w:pos="9072"/>
      </w:tabs>
      <w:spacing w:after="60" w:line="240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Załącznik do Uchwały Nr 168</w:t>
    </w:r>
    <w:r w:rsidRPr="009305FA">
      <w:rPr>
        <w:i/>
        <w:sz w:val="20"/>
        <w:szCs w:val="20"/>
      </w:rPr>
      <w:t>/2018 KM RPO WO 2014-2020</w:t>
    </w:r>
  </w:p>
  <w:p w:rsidR="00EE53F2" w:rsidRPr="009305FA" w:rsidRDefault="00EE53F2" w:rsidP="00EE53F2">
    <w:pPr>
      <w:tabs>
        <w:tab w:val="center" w:pos="4536"/>
        <w:tab w:val="right" w:pos="9072"/>
      </w:tabs>
      <w:spacing w:after="60" w:line="240" w:lineRule="auto"/>
      <w:jc w:val="right"/>
      <w:rPr>
        <w:sz w:val="20"/>
        <w:szCs w:val="20"/>
      </w:rPr>
    </w:pPr>
    <w:r w:rsidRPr="009305FA">
      <w:rPr>
        <w:i/>
        <w:sz w:val="20"/>
        <w:szCs w:val="20"/>
      </w:rPr>
      <w:t xml:space="preserve">z dnia </w:t>
    </w:r>
    <w:r>
      <w:rPr>
        <w:i/>
        <w:sz w:val="20"/>
        <w:szCs w:val="20"/>
      </w:rPr>
      <w:t>14 lutego</w:t>
    </w:r>
    <w:r w:rsidRPr="009305FA">
      <w:rPr>
        <w:i/>
        <w:sz w:val="20"/>
        <w:szCs w:val="20"/>
      </w:rPr>
      <w:t xml:space="preserve"> 2018 r.</w:t>
    </w:r>
  </w:p>
  <w:p w:rsidR="006D087B" w:rsidRPr="00EE53F2" w:rsidRDefault="006D087B" w:rsidP="00EE53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34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01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1F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1F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2A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57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C7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3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1FF2"/>
    <w:multiLevelType w:val="hybridMultilevel"/>
    <w:tmpl w:val="2D7A0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F6F6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340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39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0007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56D6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110B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6A3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017"/>
    <w:multiLevelType w:val="hybridMultilevel"/>
    <w:tmpl w:val="8F261AEC"/>
    <w:lvl w:ilvl="0" w:tplc="47A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A5AEB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F3CB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31AF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F2BA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0CD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3567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344A2"/>
    <w:multiLevelType w:val="hybridMultilevel"/>
    <w:tmpl w:val="D90AD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7A22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72A9F"/>
    <w:multiLevelType w:val="hybridMultilevel"/>
    <w:tmpl w:val="E88AA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709A6"/>
    <w:multiLevelType w:val="hybridMultilevel"/>
    <w:tmpl w:val="55D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D541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E3F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079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5647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</w:num>
  <w:num w:numId="3">
    <w:abstractNumId w:val="30"/>
  </w:num>
  <w:num w:numId="4">
    <w:abstractNumId w:val="3"/>
  </w:num>
  <w:num w:numId="5">
    <w:abstractNumId w:val="26"/>
  </w:num>
  <w:num w:numId="6">
    <w:abstractNumId w:val="21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9"/>
  </w:num>
  <w:num w:numId="14">
    <w:abstractNumId w:val="8"/>
  </w:num>
  <w:num w:numId="15">
    <w:abstractNumId w:val="7"/>
  </w:num>
  <w:num w:numId="16">
    <w:abstractNumId w:val="16"/>
  </w:num>
  <w:num w:numId="17">
    <w:abstractNumId w:val="34"/>
  </w:num>
  <w:num w:numId="18">
    <w:abstractNumId w:val="36"/>
  </w:num>
  <w:num w:numId="19">
    <w:abstractNumId w:val="15"/>
  </w:num>
  <w:num w:numId="20">
    <w:abstractNumId w:val="35"/>
  </w:num>
  <w:num w:numId="21">
    <w:abstractNumId w:val="6"/>
  </w:num>
  <w:num w:numId="22">
    <w:abstractNumId w:val="23"/>
  </w:num>
  <w:num w:numId="23">
    <w:abstractNumId w:val="0"/>
  </w:num>
  <w:num w:numId="24">
    <w:abstractNumId w:val="12"/>
  </w:num>
  <w:num w:numId="25">
    <w:abstractNumId w:val="17"/>
  </w:num>
  <w:num w:numId="26">
    <w:abstractNumId w:val="32"/>
  </w:num>
  <w:num w:numId="27">
    <w:abstractNumId w:val="33"/>
  </w:num>
  <w:num w:numId="28">
    <w:abstractNumId w:val="29"/>
  </w:num>
  <w:num w:numId="29">
    <w:abstractNumId w:val="18"/>
  </w:num>
  <w:num w:numId="30">
    <w:abstractNumId w:val="13"/>
  </w:num>
  <w:num w:numId="31">
    <w:abstractNumId w:val="9"/>
  </w:num>
  <w:num w:numId="32">
    <w:abstractNumId w:val="28"/>
  </w:num>
  <w:num w:numId="33">
    <w:abstractNumId w:val="4"/>
  </w:num>
  <w:num w:numId="34">
    <w:abstractNumId w:val="25"/>
  </w:num>
  <w:num w:numId="35">
    <w:abstractNumId w:val="38"/>
  </w:num>
  <w:num w:numId="36">
    <w:abstractNumId w:val="5"/>
  </w:num>
  <w:num w:numId="37">
    <w:abstractNumId w:val="24"/>
  </w:num>
  <w:num w:numId="38">
    <w:abstractNumId w:val="22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B"/>
    <w:rsid w:val="000B1D67"/>
    <w:rsid w:val="000C66A7"/>
    <w:rsid w:val="002C5C49"/>
    <w:rsid w:val="00335929"/>
    <w:rsid w:val="00451C4B"/>
    <w:rsid w:val="004A2A7B"/>
    <w:rsid w:val="004D7CC3"/>
    <w:rsid w:val="004F0A81"/>
    <w:rsid w:val="0053408D"/>
    <w:rsid w:val="006D087B"/>
    <w:rsid w:val="006E788E"/>
    <w:rsid w:val="007B089D"/>
    <w:rsid w:val="00A74F69"/>
    <w:rsid w:val="00C01CBC"/>
    <w:rsid w:val="00DB6863"/>
    <w:rsid w:val="00ED0C80"/>
    <w:rsid w:val="00EE53F2"/>
    <w:rsid w:val="00F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13E1F54-9337-44F4-AD0E-004F0C8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87B"/>
  </w:style>
  <w:style w:type="paragraph" w:styleId="Stopka">
    <w:name w:val="footer"/>
    <w:basedOn w:val="Normalny"/>
    <w:link w:val="StopkaZnak"/>
    <w:uiPriority w:val="99"/>
    <w:unhideWhenUsed/>
    <w:rsid w:val="006D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3689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Barbara Łuczywo</cp:lastModifiedBy>
  <cp:revision>7</cp:revision>
  <dcterms:created xsi:type="dcterms:W3CDTF">2018-02-20T10:12:00Z</dcterms:created>
  <dcterms:modified xsi:type="dcterms:W3CDTF">2018-03-14T15:00:00Z</dcterms:modified>
</cp:coreProperties>
</file>