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45803" w:rsidRDefault="005D60B0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5953987E" wp14:editId="770DFFBF">
            <wp:extent cx="7949565" cy="8172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5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45803" w:rsidRP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C45803">
        <w:rPr>
          <w:rFonts w:ascii="Calibri" w:eastAsia="Times New Roman" w:hAnsi="Calibri" w:cs="Times New Roman"/>
          <w:b/>
          <w:color w:val="000099"/>
          <w:sz w:val="36"/>
          <w:szCs w:val="36"/>
        </w:rPr>
        <w:t>OŚ PRIORYTETOWA 9 RPO WO 2014-2020</w:t>
      </w:r>
    </w:p>
    <w:p w:rsidR="00C45803" w:rsidRP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C45803">
        <w:rPr>
          <w:rFonts w:ascii="Calibri" w:eastAsia="Times New Roman" w:hAnsi="Calibri" w:cs="Times New Roman"/>
          <w:b/>
          <w:color w:val="000099"/>
          <w:sz w:val="36"/>
          <w:szCs w:val="36"/>
        </w:rPr>
        <w:t>WYSOKA JAKOŚĆ EDUKACJI</w:t>
      </w:r>
    </w:p>
    <w:p w:rsidR="00C45803" w:rsidRP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C45803">
        <w:rPr>
          <w:rFonts w:ascii="Calibri" w:eastAsia="Times New Roman" w:hAnsi="Calibri" w:cs="Times New Roman"/>
          <w:b/>
          <w:color w:val="000099"/>
          <w:sz w:val="36"/>
          <w:szCs w:val="36"/>
        </w:rPr>
        <w:t>- KRYTERIA MERYTORYCZNE SZCZEGÓŁOWE –</w:t>
      </w:r>
    </w:p>
    <w:p w:rsidR="00C45803" w:rsidRP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45803" w:rsidRP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45803" w:rsidRP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45803" w:rsidRP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45803" w:rsidRP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45803" w:rsidRP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45803" w:rsidRP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69"/>
        <w:gridCol w:w="1601"/>
        <w:gridCol w:w="1682"/>
        <w:gridCol w:w="1867"/>
        <w:gridCol w:w="8475"/>
      </w:tblGrid>
      <w:tr w:rsidR="00E01C5E" w:rsidRPr="00E01C5E" w:rsidTr="00E01C5E">
        <w:trPr>
          <w:trHeight w:val="410"/>
          <w:jc w:val="center"/>
        </w:trPr>
        <w:tc>
          <w:tcPr>
            <w:tcW w:w="7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Oś priorytetowa</w:t>
            </w:r>
          </w:p>
        </w:tc>
        <w:tc>
          <w:tcPr>
            <w:tcW w:w="4296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E01C5E" w:rsidRPr="00E01C5E" w:rsidTr="00E01C5E">
        <w:trPr>
          <w:trHeight w:val="416"/>
          <w:jc w:val="center"/>
        </w:trPr>
        <w:tc>
          <w:tcPr>
            <w:tcW w:w="7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4296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9.1 Rozwój edukacji</w:t>
            </w:r>
          </w:p>
        </w:tc>
      </w:tr>
      <w:tr w:rsidR="00E01C5E" w:rsidRPr="00E01C5E" w:rsidTr="00E01C5E">
        <w:trPr>
          <w:trHeight w:val="412"/>
          <w:jc w:val="center"/>
        </w:trPr>
        <w:tc>
          <w:tcPr>
            <w:tcW w:w="7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Poddziałanie</w:t>
            </w:r>
          </w:p>
        </w:tc>
        <w:tc>
          <w:tcPr>
            <w:tcW w:w="4296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9.1.4 Wsparcie edukacji przedszkolnej w Aglomeracji Opolskiej</w:t>
            </w:r>
          </w:p>
        </w:tc>
      </w:tr>
      <w:tr w:rsidR="00E01C5E" w:rsidRPr="00E01C5E" w:rsidTr="001B5168">
        <w:trPr>
          <w:trHeight w:val="447"/>
          <w:jc w:val="center"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E01C5E" w:rsidRPr="00E01C5E" w:rsidTr="001B5168">
        <w:trPr>
          <w:trHeight w:val="424"/>
          <w:jc w:val="center"/>
        </w:trPr>
        <w:tc>
          <w:tcPr>
            <w:tcW w:w="1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5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6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E01C5E" w:rsidRPr="00E01C5E" w:rsidTr="001B5168">
        <w:trPr>
          <w:trHeight w:val="277"/>
          <w:jc w:val="center"/>
        </w:trPr>
        <w:tc>
          <w:tcPr>
            <w:tcW w:w="1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5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6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E01C5E" w:rsidRPr="00E01C5E" w:rsidTr="001B5168">
        <w:trPr>
          <w:trHeight w:val="428"/>
          <w:jc w:val="center"/>
        </w:trPr>
        <w:tc>
          <w:tcPr>
            <w:tcW w:w="1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Ograniczenie terytorialne realizacji projektu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 o dofinansowanie</w:t>
            </w:r>
            <w:r w:rsidRPr="00E01C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bCs/>
                <w:strike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Ze wsparcia wyłączeni są: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- ośrodki wychowania przedszkolnego (OWP) zlokalizowane poza terenem Aglomeracji Opolskiej,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- dzieci w wieku przedszkolnym wyżej wymienionych ośrodków wychowania przedszkolnego i </w:t>
            </w: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 ich rodzice/opiekunowie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,</w:t>
            </w:r>
            <w:r w:rsidRPr="00E01C5E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br/>
              <w:t>- nauczyciele wyżej wymienionych ośrodków wychowania przedszkolnego.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E01C5E" w:rsidRPr="00E01C5E" w:rsidRDefault="00E01C5E" w:rsidP="00E01C5E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01C5E" w:rsidRPr="00E01C5E" w:rsidRDefault="00E01C5E" w:rsidP="00E01C5E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01C5E" w:rsidRPr="00E01C5E" w:rsidRDefault="00E01C5E" w:rsidP="00E01C5E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01C5E" w:rsidRPr="00E01C5E" w:rsidTr="001B5168">
        <w:trPr>
          <w:trHeight w:val="428"/>
          <w:jc w:val="center"/>
        </w:trPr>
        <w:tc>
          <w:tcPr>
            <w:tcW w:w="1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Zgodność z priorytetami i celami </w:t>
            </w:r>
            <w:r w:rsidRPr="00E01C5E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ZIT</w:t>
            </w:r>
          </w:p>
        </w:tc>
        <w:tc>
          <w:tcPr>
            <w:tcW w:w="6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o dofinansowanie 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wpisuje się w </w:t>
            </w:r>
            <w:r w:rsidRPr="00E01C5E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Strategię ZIT Aglomeracji Opolskiej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 a jego założenia są zgodne z celami zdefiniowanymi w dokumencie.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E01C5E" w:rsidRPr="00E01C5E" w:rsidRDefault="00E01C5E" w:rsidP="00E01C5E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01C5E" w:rsidRPr="00E01C5E" w:rsidRDefault="00E01C5E" w:rsidP="00E01C5E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01C5E" w:rsidRPr="00E01C5E" w:rsidRDefault="00E01C5E" w:rsidP="00E01C5E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01C5E" w:rsidRPr="00E01C5E" w:rsidTr="001B5168">
        <w:trPr>
          <w:trHeight w:val="1353"/>
          <w:jc w:val="center"/>
        </w:trPr>
        <w:tc>
          <w:tcPr>
            <w:tcW w:w="1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Trwałość nowopowstałych miejsc wychowania przedszkolnego </w:t>
            </w:r>
          </w:p>
        </w:tc>
        <w:tc>
          <w:tcPr>
            <w:tcW w:w="6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 o 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W przypadku projektów zakładających tworzenie nowych miejsc wychowania przedszkolnego, będą one finansowane wyłącznie, jeżeli zostanie zagwarantowana trwałość </w:t>
            </w:r>
            <w:r w:rsidRPr="00E01C5E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utworzonych w ramach projektu miejsc wychowania przedszkolnego, przez okres co najmniej 2 lat od daty zakończenia realizacji projektu, określonej w umowie o dofinansowanie projektu. Trwałość powinna być rozumiana jako instytucjonalna gotowość ośrodków wychowania przedszkolnego (OWP)  do świadczenia usług przedszkolnych w ramach utworzonych w projekcie miejsc wychowania przedszkolnego finansowana ze środków innych niż europejskie. Liczba zadeklarowanych w arkuszu organizacyjnym placówki miejsc wychowania przedszkolnego musi uwzględniać dokładną liczbę miejsc utworzonych w projekcie</w:t>
            </w: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.</w:t>
            </w:r>
            <w:r w:rsidRPr="00E01C5E">
              <w:rPr>
                <w:rFonts w:ascii="Calibri" w:eastAsia="Calibri" w:hAnsi="Calibri" w:cs="Arial"/>
                <w:sz w:val="16"/>
                <w:szCs w:val="16"/>
              </w:rPr>
              <w:t xml:space="preserve"> Wnioskodawca zobowiązany jest </w:t>
            </w:r>
            <w:r w:rsidRPr="00E01C5E">
              <w:rPr>
                <w:rFonts w:ascii="Calibri" w:eastAsia="Calibri" w:hAnsi="Calibri" w:cs="Times New Roman"/>
                <w:sz w:val="16"/>
                <w:szCs w:val="16"/>
              </w:rPr>
              <w:t xml:space="preserve">do zamieszczenia we wniosku o dofinansowanie  informacji dotyczącej utrzymania utworzonych w ramach projektu miejsc wychowania przedszkolnego przez okres, co najmniej 2 lat licząc od daty zakończenia </w:t>
            </w:r>
            <w:r w:rsidRPr="00E01C5E">
              <w:rPr>
                <w:rFonts w:ascii="Calibri" w:eastAsia="Calibri" w:hAnsi="Calibri" w:cs="Times New Roman"/>
                <w:bCs/>
                <w:sz w:val="16"/>
                <w:szCs w:val="16"/>
              </w:rPr>
              <w:t>realizacji projektu</w:t>
            </w:r>
            <w:r w:rsidRPr="00E01C5E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E01C5E" w:rsidRPr="00E01C5E" w:rsidRDefault="00E01C5E" w:rsidP="00E01C5E">
            <w:pPr>
              <w:numPr>
                <w:ilvl w:val="0"/>
                <w:numId w:val="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:rsidR="00E01C5E" w:rsidRPr="00E01C5E" w:rsidRDefault="00E01C5E" w:rsidP="00E01C5E">
            <w:pPr>
              <w:numPr>
                <w:ilvl w:val="0"/>
                <w:numId w:val="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01C5E" w:rsidRPr="00E01C5E" w:rsidRDefault="00E01C5E" w:rsidP="00E01C5E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</w:tr>
      <w:tr w:rsidR="00E01C5E" w:rsidRPr="00E01C5E" w:rsidTr="001B5168">
        <w:trPr>
          <w:trHeight w:val="428"/>
          <w:jc w:val="center"/>
        </w:trPr>
        <w:tc>
          <w:tcPr>
            <w:tcW w:w="1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5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Okres finansowania działań realizowanych w ramach projektu</w:t>
            </w:r>
          </w:p>
        </w:tc>
        <w:tc>
          <w:tcPr>
            <w:tcW w:w="6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Finansowanie działalności bieżącej nowoutworzonych miejsc wychowania przedszkolnego w ramach EFS możliwe jest przez okres nie dłuższy niż 12 miesięcy. Finansowanie realizacji dodatkowych zajęć w OWP oraz doskonalenie umiejętności, kompetencji lub kwalifikacji nauczycieli OWP możliwe jest przez okres nie dłuższy niż 24 miesiące.  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E01C5E" w:rsidRPr="00E01C5E" w:rsidRDefault="00E01C5E" w:rsidP="00E01C5E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01C5E" w:rsidRPr="00E01C5E" w:rsidRDefault="00E01C5E" w:rsidP="00E01C5E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01C5E" w:rsidRPr="00E01C5E" w:rsidRDefault="00E01C5E" w:rsidP="00E01C5E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</w:tr>
      <w:tr w:rsidR="00E01C5E" w:rsidRPr="00E01C5E" w:rsidTr="001B5168">
        <w:trPr>
          <w:trHeight w:val="428"/>
          <w:jc w:val="center"/>
        </w:trPr>
        <w:tc>
          <w:tcPr>
            <w:tcW w:w="1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Mechanizm przeciwdziałania ryzyku podwójnego finansowania 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Korzystanie z finansowania działalności bieżącej nowo utworzonych miejsc wychowania przedszkolnego obliguje organ prowadzący OWP do złożenia zobowiązania do sfinansowania działalności bieżącej wyłącznie ze środków EFS bądź wyłącznie z krajowych środków publicznych, przeznaczonych na finansowanie wychowania przedszkolnego. Beneficjent powinien podjąć decyzję, czy działalność bieżąca będzie w tym przypadku finansowana ze środków UE, czy z krajowych środków publicznych.</w:t>
            </w:r>
            <w:r w:rsidRPr="00E01C5E" w:rsidDel="00AD2589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 W przypadku publicznych i niepublicznych OWP prowadzonych przez podmioty inne niż JST,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EFS. Jedynie w stosunku do nowo utworzonych miejsc w ramach projektu podmiot nie może występować o dotację z budżetu gminy w okresie realizacji projektu, gdyż wydatki na finansowanie działalności bieżącej są pokrywane ze środków projektowych</w:t>
            </w:r>
            <w:r w:rsidRPr="00E01C5E" w:rsidDel="004432FE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. Może to robić natomiast wobec dotychczasowej (pozostałej) liczby dzieci objętych wychowaniem przedszkolnym i na tę grupę dzieci uzyskiwać nadal dotacje z budżetu gminy. Po zakończeniu finansowania projektowego możliwe jest uzyskanie dotacji także na dzieci korzystające wcześniej z miejsc przedszkolnych utworzonych z EFS. Wnioskodawca zobowiązany jest do zamieszczenia we wniosku o dofinasowanie powyższej informacji.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E01C5E" w:rsidRPr="00E01C5E" w:rsidRDefault="00E01C5E" w:rsidP="00E01C5E">
            <w:pPr>
              <w:numPr>
                <w:ilvl w:val="0"/>
                <w:numId w:val="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01C5E" w:rsidRPr="00E01C5E" w:rsidRDefault="00E01C5E" w:rsidP="00E01C5E">
            <w:pPr>
              <w:numPr>
                <w:ilvl w:val="0"/>
                <w:numId w:val="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01C5E" w:rsidRPr="00E01C5E" w:rsidRDefault="00E01C5E" w:rsidP="00E01C5E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</w:tr>
      <w:tr w:rsidR="00E01C5E" w:rsidRPr="00E01C5E" w:rsidTr="001B5168">
        <w:trPr>
          <w:trHeight w:val="428"/>
          <w:jc w:val="center"/>
        </w:trPr>
        <w:tc>
          <w:tcPr>
            <w:tcW w:w="1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20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Indywidualna diagnoza potrzeb 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ośrodków wychowania przedszkolnego</w:t>
            </w:r>
          </w:p>
        </w:tc>
        <w:tc>
          <w:tcPr>
            <w:tcW w:w="6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Wniosek</w:t>
            </w: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Weryfikuje się, czy realizacja wsparcia dokonywana jest na podstawie indywidualnie zdiagnozowanego zapotrzebowania OWP objętego wsparciem. Diagnoza powinna być przygotowana i przeprowadzona przez OWP, organ prowadzący OWP lub inny 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podmiot prowadzący działalność o charakterze edukacyjnym lub badawczym oraz zatwierdzona przez organ prowadzący bądź osobę upoważnioną do podejmowania decyzji. Przez organ prowadzący rozumie się ministra właściwego, jednostkę samorządu terytorialnego,</w:t>
            </w:r>
            <w:r w:rsidRPr="00E01C5E" w:rsidDel="00502750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osobę prawną niebędącą jednostką samorządu terytorialnego oraz osobę fizyczną, odpowiedzialną za działalność OWP, szkoły lub placówki systemu oświaty. Podmiot przeprowadzający diagnozę może skorzystać</w:t>
            </w:r>
            <w:r w:rsidRPr="00E01C5E" w:rsidDel="00502750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ze wsparcia instytucji systemu wspomagania pracy OWP tj. placówki doskonalenia nauczycieli, poradni psychologiczno-pedagogicznej, biblioteki pedagogicznej. Wnioski z diagnozy powinny stanowić element wniosku o dofinansowanie projektu. Wnioskodawca zobowiązany jest do zamieszczenia we wniosku o dofinansowanie projektu wniosków z diagnozy oraz informacji, że diagnoza została zatwierdzona przez organ prowadzący lub osobę upoważnioną do podejmowania decyzji.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E01C5E" w:rsidRPr="00E01C5E" w:rsidRDefault="00E01C5E" w:rsidP="00E01C5E">
            <w:pPr>
              <w:numPr>
                <w:ilvl w:val="0"/>
                <w:numId w:val="7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01C5E" w:rsidRPr="00E01C5E" w:rsidRDefault="00E01C5E" w:rsidP="00E01C5E">
            <w:pPr>
              <w:numPr>
                <w:ilvl w:val="0"/>
                <w:numId w:val="7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01C5E" w:rsidRPr="00E01C5E" w:rsidRDefault="00E01C5E" w:rsidP="00E01C5E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E01C5E" w:rsidRPr="00E01C5E" w:rsidRDefault="00E01C5E" w:rsidP="00E01C5E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01C5E" w:rsidRPr="00E01C5E" w:rsidTr="001B5168">
        <w:trPr>
          <w:trHeight w:val="2440"/>
          <w:jc w:val="center"/>
        </w:trPr>
        <w:tc>
          <w:tcPr>
            <w:tcW w:w="1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5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20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Diagnoza</w:t>
            </w:r>
            <w:r w:rsidRPr="00E01C5E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 xml:space="preserve"> 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potrzeb dzieci w wieku przedszkolnym</w:t>
            </w:r>
          </w:p>
        </w:tc>
        <w:tc>
          <w:tcPr>
            <w:tcW w:w="6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                        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 o 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E01C5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Działania realizowane w ramach projektów muszą uwzględniać indywidualne potrzeby rozwojowe i edukacyjne oraz możliwości psychofizyczne dzieci objętych wsparciem, w tym z niepełnosprawnościami co poparte zostanie diagnozą. Wnioskodawca zobowiązany jest do zamieszczenia we wniosku o dofinansowanie informacji, że zakres wsparcia wynika z przeprowadzonej diagnozy.</w:t>
            </w:r>
          </w:p>
          <w:p w:rsidR="00E01C5E" w:rsidRPr="00E01C5E" w:rsidRDefault="00E01C5E" w:rsidP="00E01C5E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E01C5E" w:rsidRPr="00E01C5E" w:rsidRDefault="00E01C5E" w:rsidP="00E01C5E">
            <w:pPr>
              <w:numPr>
                <w:ilvl w:val="0"/>
                <w:numId w:val="8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01C5E" w:rsidRPr="00E01C5E" w:rsidRDefault="00E01C5E" w:rsidP="00E01C5E">
            <w:pPr>
              <w:numPr>
                <w:ilvl w:val="0"/>
                <w:numId w:val="8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01C5E" w:rsidRPr="00E01C5E" w:rsidRDefault="00E01C5E" w:rsidP="00E01C5E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E01C5E" w:rsidRPr="00E01C5E" w:rsidTr="001B5168">
        <w:trPr>
          <w:trHeight w:val="2393"/>
          <w:jc w:val="center"/>
        </w:trPr>
        <w:tc>
          <w:tcPr>
            <w:tcW w:w="1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5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Przedsięwzięcia finansowane ze środków EFS prowadzone w ramach projektu stanowią uzupełnienie działań prowadzonych przed rozpoczęciem realizacji projektu.</w:t>
            </w:r>
          </w:p>
        </w:tc>
        <w:tc>
          <w:tcPr>
            <w:tcW w:w="6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E01C5E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Skala działań prowadzonych przed rozpoczęciem realizacji projektu przez OWP (nakłady środków na ich realizację) nie może ulec zmniejszeniu w stosunku do skali działań (nakładów) prowadzonych przez OWP w okresie 12 miesięcy poprzedzających  złożenie wniosku o dofinansowanie projektu (średniomiesięcznie). </w:t>
            </w:r>
            <w:r w:rsidRPr="00E01C5E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br/>
              <w:t xml:space="preserve">Warunek nie dotyczy działań zrealizowanych w ramach programów rządowych. </w:t>
            </w:r>
          </w:p>
          <w:p w:rsidR="00E01C5E" w:rsidRPr="00E01C5E" w:rsidRDefault="00E01C5E" w:rsidP="00E0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</w:p>
          <w:p w:rsidR="00E01C5E" w:rsidRPr="00E01C5E" w:rsidRDefault="00E01C5E" w:rsidP="00E0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E01C5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W celu uznania kryterium za spełnione Wnioskodawca zobowiązany jest do zamieszczenia we wniosku o dofinansowanie projektu stosownej informacji (Przykład: Oświadczam, iż </w:t>
            </w:r>
            <w:r w:rsidRPr="00E01C5E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przedsięwzięcia finansowane ze środków EFS będą stanowiły uzupełnienie działań prowadzonych przez OWP w okresie 12 miesięcy poprzedzających złożenie wniosku o dofinansowanie projektu).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E01C5E" w:rsidRPr="00E01C5E" w:rsidRDefault="00E01C5E" w:rsidP="00E01C5E">
            <w:pPr>
              <w:numPr>
                <w:ilvl w:val="0"/>
                <w:numId w:val="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01C5E" w:rsidRPr="00E01C5E" w:rsidRDefault="00E01C5E" w:rsidP="00E01C5E">
            <w:pPr>
              <w:numPr>
                <w:ilvl w:val="0"/>
                <w:numId w:val="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01C5E" w:rsidRPr="00E01C5E" w:rsidRDefault="00E01C5E" w:rsidP="00E01C5E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E01C5E" w:rsidRPr="00E01C5E" w:rsidRDefault="00E01C5E" w:rsidP="00E0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340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409"/>
        <w:gridCol w:w="1934"/>
        <w:gridCol w:w="1788"/>
        <w:gridCol w:w="708"/>
        <w:gridCol w:w="1089"/>
        <w:gridCol w:w="8066"/>
      </w:tblGrid>
      <w:tr w:rsidR="00E01C5E" w:rsidRPr="00E01C5E" w:rsidTr="001B5168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 xml:space="preserve">Kryteria merytoryczne szczegółowe (punktowane) </w:t>
            </w:r>
          </w:p>
        </w:tc>
      </w:tr>
      <w:tr w:rsidR="00E01C5E" w:rsidRPr="00E01C5E" w:rsidTr="001B5168">
        <w:trPr>
          <w:trHeight w:val="535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6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6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E01C5E" w:rsidRPr="00E01C5E" w:rsidTr="001B5168">
        <w:trPr>
          <w:trHeight w:val="277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6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E01C5E" w:rsidRPr="00E01C5E" w:rsidRDefault="00E01C5E" w:rsidP="00E01C5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E01C5E" w:rsidRPr="00E01C5E" w:rsidTr="001B5168">
        <w:trPr>
          <w:trHeight w:val="594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6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Komplementarność projektu</w:t>
            </w:r>
          </w:p>
        </w:tc>
        <w:tc>
          <w:tcPr>
            <w:tcW w:w="6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0,2,3, lub 5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Projekt jest komplementarny z:</w:t>
            </w:r>
          </w:p>
          <w:p w:rsidR="00E01C5E" w:rsidRPr="00E01C5E" w:rsidRDefault="00E01C5E" w:rsidP="00E01C5E">
            <w:pPr>
              <w:spacing w:after="0" w:line="276" w:lineRule="auto"/>
              <w:ind w:left="459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- 0 pkt- projekt nie zakłada komplementarności;</w:t>
            </w:r>
          </w:p>
          <w:p w:rsidR="00E01C5E" w:rsidRPr="00E01C5E" w:rsidRDefault="00E01C5E" w:rsidP="00E01C5E">
            <w:pPr>
              <w:spacing w:after="0" w:line="276" w:lineRule="auto"/>
              <w:ind w:left="459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- 2 pkt - projektami z obszaru edukacji współfinansowanymi ze środków unijnych (w tym w zakresie wykorzystania sprzętu zakupionego w ramach projektów realizowanych w perspektywie finansowej UE 2007-2013);</w:t>
            </w:r>
          </w:p>
          <w:p w:rsidR="00E01C5E" w:rsidRPr="00E01C5E" w:rsidRDefault="00E01C5E" w:rsidP="00E01C5E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- 3 pkt inicjatywami zaplanowanymi w ramach Programu SSD.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Punkty sumują się.</w:t>
            </w:r>
          </w:p>
        </w:tc>
      </w:tr>
      <w:tr w:rsidR="00E01C5E" w:rsidRPr="00E01C5E" w:rsidTr="00E01C5E">
        <w:trPr>
          <w:trHeight w:val="594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6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Obszar realizacji projektu</w:t>
            </w:r>
          </w:p>
        </w:tc>
        <w:tc>
          <w:tcPr>
            <w:tcW w:w="6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o dofinansowanie 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1-3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Projekt realizowany na obszarze:</w:t>
            </w:r>
          </w:p>
          <w:p w:rsidR="00E01C5E" w:rsidRPr="00E01C5E" w:rsidRDefault="00E01C5E" w:rsidP="00E01C5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1 pkt -1 gminy </w:t>
            </w:r>
          </w:p>
          <w:p w:rsidR="00E01C5E" w:rsidRPr="00E01C5E" w:rsidRDefault="00E01C5E" w:rsidP="00E01C5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2 pkt - 2 gmin </w:t>
            </w:r>
          </w:p>
          <w:p w:rsidR="00E01C5E" w:rsidRPr="00E01C5E" w:rsidRDefault="00E01C5E" w:rsidP="00E01C5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3 pkt - 3 lub więcej gmin </w:t>
            </w:r>
          </w:p>
        </w:tc>
      </w:tr>
      <w:tr w:rsidR="00E01C5E" w:rsidRPr="00E01C5E" w:rsidTr="001B5168">
        <w:trPr>
          <w:trHeight w:val="594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6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realizowany 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br/>
              <w:t>w partnerstwie</w:t>
            </w:r>
          </w:p>
        </w:tc>
        <w:tc>
          <w:tcPr>
            <w:tcW w:w="6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0-3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Punkt otrzymają projekty realizowane w ramach partnerstwa podmiotów uprawnionych na podstawie </w:t>
            </w:r>
            <w:r w:rsidRPr="00E01C5E">
              <w:rPr>
                <w:rFonts w:ascii="Calibri" w:eastAsia="Times New Roman" w:hAnsi="Calibri" w:cs="Times New Roman"/>
                <w:i/>
                <w:sz w:val="16"/>
                <w:szCs w:val="16"/>
              </w:rPr>
              <w:t>Szczegółowego Opisu Osi Priorytetowych RPO WO 2014-2020 do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 otrzymania wsparcia w ramach poddziałania. Punktacja za: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0 pkt - brak partnerstwa; 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br/>
              <w:t>1 pkt - partnerstwo dwóch podmiotów;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br/>
              <w:t>2 pkt - partnerstwo trzech podmiotów;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br/>
              <w:t>3 pkt - partnerstwo czterech i więcej podmiotów.</w:t>
            </w:r>
          </w:p>
        </w:tc>
      </w:tr>
      <w:tr w:rsidR="00E01C5E" w:rsidRPr="00E01C5E" w:rsidTr="00E01C5E">
        <w:trPr>
          <w:trHeight w:val="594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4.</w:t>
            </w:r>
          </w:p>
        </w:tc>
        <w:tc>
          <w:tcPr>
            <w:tcW w:w="6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Wpływ projektu na osiągnięcie wskaźników określonych dla Aglomeracji Opolskiej</w:t>
            </w:r>
          </w:p>
        </w:tc>
        <w:tc>
          <w:tcPr>
            <w:tcW w:w="6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0-12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Premiowane będą projekty o najwyższym wpływie na realizację wartości docelowej wskaźników produktu wskazanych w </w:t>
            </w:r>
            <w:r w:rsidRPr="00E01C5E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ZIT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, tj.:</w:t>
            </w:r>
          </w:p>
          <w:p w:rsidR="00E01C5E" w:rsidRPr="00E01C5E" w:rsidRDefault="00E01C5E" w:rsidP="00E01C5E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Liczba dzieci objętych w ramach programu dodatkowymi zajęciami zwiększającymi ich szanse edukacyjne w edukacji przedszkolnej (osoby);</w:t>
            </w:r>
          </w:p>
          <w:p w:rsidR="00E01C5E" w:rsidRPr="00E01C5E" w:rsidRDefault="00E01C5E" w:rsidP="00E01C5E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Liczba miejsc wychowania przedszkolnego dofinansowanych w programie (szt.);</w:t>
            </w:r>
          </w:p>
          <w:p w:rsidR="00E01C5E" w:rsidRPr="00E01C5E" w:rsidRDefault="00E01C5E" w:rsidP="00E01C5E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Liczba nauczycieli objętych wsparciem w programie (osoby).</w:t>
            </w:r>
          </w:p>
          <w:p w:rsidR="00E01C5E" w:rsidRPr="00E01C5E" w:rsidRDefault="00E01C5E" w:rsidP="00E01C5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Wpływ na osiągnięcie docelowej wartości wskaźników wyrażony będzie wg wzoru: </w:t>
            </w:r>
          </w:p>
          <w:p w:rsidR="00E01C5E" w:rsidRPr="00E01C5E" w:rsidRDefault="00E01C5E" w:rsidP="00E01C5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sz w:val="16"/>
                <w:szCs w:val="16"/>
              </w:rPr>
              <w:t>[(wartość wskaźnika zadeklarowanego w projekcie/wartość docelowa wskaźnika określona w Strategii ZIT) x 100%]</w:t>
            </w:r>
          </w:p>
          <w:p w:rsidR="00E01C5E" w:rsidRPr="00E01C5E" w:rsidRDefault="00E01C5E" w:rsidP="00E01C5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0 pkt - poniżej 1 %</w:t>
            </w:r>
          </w:p>
          <w:p w:rsidR="00E01C5E" w:rsidRPr="00E01C5E" w:rsidRDefault="00E01C5E" w:rsidP="00E01C5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1 pkt - od 1 % do 3 %</w:t>
            </w:r>
          </w:p>
          <w:p w:rsidR="00E01C5E" w:rsidRPr="00E01C5E" w:rsidRDefault="00E01C5E" w:rsidP="00E01C5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2 pkt - powyżej 3 % do 5 %</w:t>
            </w:r>
          </w:p>
          <w:p w:rsidR="00E01C5E" w:rsidRPr="00E01C5E" w:rsidRDefault="00E01C5E" w:rsidP="00E01C5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3 pkt - powyżej 5 % do 10 %</w:t>
            </w:r>
          </w:p>
          <w:p w:rsidR="00E01C5E" w:rsidRPr="00E01C5E" w:rsidRDefault="00E01C5E" w:rsidP="00E01C5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4 pkt - powyżej 10 %</w:t>
            </w:r>
          </w:p>
          <w:p w:rsidR="00E01C5E" w:rsidRPr="00E01C5E" w:rsidRDefault="00E01C5E" w:rsidP="00E01C5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Punktacja przyznawana jest za każdy ww. wskaźnik osobno. Punkty sumują się.</w:t>
            </w:r>
          </w:p>
        </w:tc>
      </w:tr>
      <w:tr w:rsidR="00E01C5E" w:rsidRPr="00E01C5E" w:rsidTr="00E01C5E">
        <w:trPr>
          <w:trHeight w:val="428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6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Wyrównanie szans rozwojowych i edukacyjnych dzieci </w:t>
            </w:r>
            <w:r w:rsidRPr="00E01C5E">
              <w:rPr>
                <w:rFonts w:ascii="Calibri" w:eastAsia="Times New Roman" w:hAnsi="Calibri" w:cs="Times New Roman"/>
              </w:rPr>
              <w:t xml:space="preserve"> </w:t>
            </w:r>
            <w:r w:rsidRPr="00E01C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ze specjalnymi potrzebami edukacyjnymi</w:t>
            </w:r>
            <w:r w:rsidRPr="00E01C5E" w:rsidDel="009054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0 lub 4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Kryterium ma za zadanie preferowanie objęcia wsparciem w ramach projektu dzieci ze specjalnymi potrzebami rozwojowymi i edukacyjnymi, w tym dzieci z grup defaworyzowanych celem wyrównania ich szans edukacyjnych jak i pozostałych celem rozwijania ich kompetencji i umiejętności, co umożliwi jednocześnie podniesienie poziomu realizowanej w regionie edukacji przedszkolnej.</w:t>
            </w:r>
          </w:p>
          <w:p w:rsidR="00E01C5E" w:rsidRPr="00E01C5E" w:rsidRDefault="00E01C5E" w:rsidP="00E01C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Specjalne potrzeby rozwojowe i edukacyjne stanowią indywidualne potrzeby rozwojowe i edukacyjne dzieci w wieku przedszkolnym oraz uczniów, o których mowa w rozporządzeniu Ministra Edukacji Narodowej z dnia </w:t>
            </w:r>
            <w:r w:rsidRPr="00E01C5E"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E01C5E">
              <w:rPr>
                <w:rFonts w:ascii="Calibri" w:eastAsia="Calibri" w:hAnsi="Calibri" w:cs="Times New Roman"/>
                <w:sz w:val="16"/>
                <w:szCs w:val="16"/>
              </w:rPr>
              <w:t>z dnia 30 kwietnia 2013 r. w sprawie zasad udzielania i organizacji pomocy psychologiczno-pedagogicznej w publicznych przedszkolach, szkołach i placówkach  oraz w rozporządzeniu Ministra Edukacji Narodowej z dnia 9 sierpnia 2017 r. w sprawie zasad organizacji i udzielania pomocy psychologiczno-pedagogicznej w publicznych przedszkolach, szkołach i placówkach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E01C5E" w:rsidRPr="00E01C5E" w:rsidRDefault="00E01C5E" w:rsidP="00E01C5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Przez grupy defaworyzowane rozumie się: osoby z niepełnosprawnościami, osoby przedwcześnie kończące naukę i zagrożone przedwczesnym wypadnięciem z systemu oświaty, osoby niedostosowane społecznie, osoby żyjące w ubóstwie czy doświadczające przejawów dyskryminacji. </w:t>
            </w:r>
          </w:p>
          <w:p w:rsidR="00E01C5E" w:rsidRPr="00E01C5E" w:rsidRDefault="00E01C5E" w:rsidP="00E01C5E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  <w:t xml:space="preserve">Spełnienie 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kryterium zostanie zweryfikowane na podstawie zapisów we wniosku o dofinansowanie projektu.</w:t>
            </w:r>
          </w:p>
          <w:p w:rsidR="00E01C5E" w:rsidRPr="00E01C5E" w:rsidDel="00BE5B8C" w:rsidRDefault="00E01C5E" w:rsidP="00E01C5E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E01C5E" w:rsidRPr="00E01C5E" w:rsidRDefault="00E01C5E" w:rsidP="00E01C5E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</w:t>
            </w:r>
            <w:r w:rsidRPr="00E01C5E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skierowany do:</w:t>
            </w:r>
          </w:p>
          <w:p w:rsidR="00E01C5E" w:rsidRPr="00E01C5E" w:rsidRDefault="00E01C5E" w:rsidP="00E01C5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  <w:t>0 pkt –  mniej niż 15 % grupy docelowej projektu stanowią dzieci ze specjalnymi potrzebami edukacyjnymi i rozwojowymi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, w tym dzieci z grup defaworyzowanych</w:t>
            </w:r>
          </w:p>
          <w:p w:rsidR="00E01C5E" w:rsidRPr="00E01C5E" w:rsidRDefault="00E01C5E" w:rsidP="00E01C5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  <w:t xml:space="preserve">4 pkt –  co najmniej 15% grupy docelowej projektu stanowią dzieci ze specjalnymi potrzebami edukacyjnymi i rozwojowymi, </w:t>
            </w:r>
            <w:r w:rsidRPr="00E01C5E" w:rsidDel="002F0C82">
              <w:rPr>
                <w:rFonts w:ascii="Calibri" w:eastAsia="Times New Roman" w:hAnsi="Calibri" w:cs="Times New Roman"/>
                <w:sz w:val="16"/>
                <w:szCs w:val="16"/>
              </w:rPr>
              <w:t>,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 w tym dzieci z grup defaworyzowanych</w:t>
            </w:r>
            <w:r w:rsidRPr="00E01C5E" w:rsidDel="003A05EF"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  <w:t>.</w:t>
            </w:r>
          </w:p>
        </w:tc>
      </w:tr>
      <w:tr w:rsidR="00E01C5E" w:rsidRPr="00E01C5E" w:rsidTr="00E01C5E">
        <w:trPr>
          <w:trHeight w:val="700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6.</w:t>
            </w:r>
          </w:p>
        </w:tc>
        <w:tc>
          <w:tcPr>
            <w:tcW w:w="6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Projekt skierowany do osób zamieszkałych na terenach wiejskich</w:t>
            </w:r>
          </w:p>
        </w:tc>
        <w:tc>
          <w:tcPr>
            <w:tcW w:w="6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0 - 5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Kryterium ma za zadanie zapewnienie objęcia wsparciem w ramach projektu grup znajdujących się w szczególnie trudnej sytuacji oraz bezpośrednio wpłynie na wsparcie OWP położonych na terenach wiejskich. Kierowanie środków w ramach realizowanej interwencji na obszary wiejskie sprzyjać będzie zachowaniu spójności pomiędzy miastem a wsią. Tereny wiejskie należy rozumieć, jako obszary słabo zaludnione zgodnie ze stopniem urbanizacji ujętym w klasyfikacji DEGURBA (kategoria 3). Definicja osób zamieszkałych na terenach wiejskich zgodnie z </w:t>
            </w:r>
            <w:r w:rsidRPr="00E01C5E">
              <w:rPr>
                <w:rFonts w:ascii="Calibri" w:eastAsia="Times New Roman" w:hAnsi="Calibri" w:cs="Times New Roman"/>
                <w:i/>
                <w:sz w:val="16"/>
                <w:szCs w:val="16"/>
              </w:rPr>
              <w:t>Listą wskaźników na poziomie projektu RPO WO 2014-2020. Zakres EFS.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0 pkt – osoby zamieszkałe na terenach wiejskich stanowią mniej niż 10% uczestników projektu;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1 pkt – osoby zamieszkałe na terenach wiejskich stanowią od 10% do 20% uczestników projektu;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2 pkt – osoby zamieszkałe na terenach wiejskich stanowią więcej niż 20% do 30% uczestników projektu;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3 pkt – osoby zamieszkałe na terenach wiejskich stanowią więcej niż 30% do 40% uczestników projektu.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4 pkt – osoby zamieszkałe na terenach wiejskich stanowią więcej niż 40% do 50% uczestników projektu.</w:t>
            </w:r>
          </w:p>
          <w:p w:rsidR="00E01C5E" w:rsidRPr="00E01C5E" w:rsidRDefault="00E01C5E" w:rsidP="00E01C5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5 pkt – osoby zamieszkałe na terenach wiejskich stanowią więcej niż 50% uczestników projektu</w:t>
            </w:r>
          </w:p>
        </w:tc>
      </w:tr>
      <w:tr w:rsidR="00E01C5E" w:rsidRPr="00E01C5E" w:rsidTr="001B5168">
        <w:trPr>
          <w:trHeight w:val="3545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6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Projekt dotyczy ośrodków wychowania przedszkolnego,  które nie były odbiorcami interwencji współfinansowanej ze środków EFS</w:t>
            </w:r>
          </w:p>
        </w:tc>
        <w:tc>
          <w:tcPr>
            <w:tcW w:w="6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Punktowane będą ośrodki, które nie były odbiorcami interwencji  współfinansowanej ze środków EFS  dostępnych w ramach programów operacyjnych w ciągu 36 miesięcy poprzedzających moment złożenia wniosku o dofinansowanie w ramach RPO WO 2014-2020. Wnioskodawca zobowiązany jest do zamieszczenia  stosownej deklaracji we wniosku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 o dofinansowanie projektu.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0 pkt -  projekt dotyczy OWP, które były odbiorcami interwencji współfinansowanej ze środków EFS  dostępnych w ramach programów operacyjnych w ciągu 36 miesięcy poprzedzających moment złożenia wniosku o dofinansowanie w ramach RPO WO 2014-2020. 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2 pkt – co najmniej jeden OWP objęty wsparciem w ramach projektu nie był odbiorcą interwencji  współfinansowanej ze środków EFS  dostępnych w ramach programów operacyjnych w ciągu 36 miesięcy poprzedzających moment złożenia wniosku o dofinansowanie w ramach RPO WO 2014-2020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01C5E" w:rsidRPr="00E01C5E" w:rsidTr="001B5168">
        <w:trPr>
          <w:trHeight w:val="1553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8.</w:t>
            </w:r>
          </w:p>
        </w:tc>
        <w:tc>
          <w:tcPr>
            <w:tcW w:w="6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Projekt zakłada wsparcie doskonalenia umiejętności, kompetencji lub kwalifikacji nauczycieli w zakresie pedagogiki specjalnej</w:t>
            </w:r>
          </w:p>
        </w:tc>
        <w:tc>
          <w:tcPr>
            <w:tcW w:w="6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Bada się czy wnioskodawca zapewnia, że w ramach wsparcia na rzecz doskonalenia umiejętności, kompetencji lub kwalifikacji nauczycieli będą prowadzone działania służące poprawie kompetencji lub kwalifikacji w zakresie pedagogiki specjalnej: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działań służących poprawie kompetencji lub kwalifikacji nauczycieli w zakresie pedagogiki specjalnej;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5 pkt - projekt zakłada działania służące poprawie kompetencji lub kwalifikacji  nauczycieli w zakresie pedagogiki specjalnej.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E01C5E" w:rsidRPr="00E01C5E" w:rsidRDefault="00E01C5E" w:rsidP="00E01C5E">
      <w:pPr>
        <w:spacing w:after="200" w:line="276" w:lineRule="auto"/>
        <w:rPr>
          <w:rFonts w:ascii="Calibri" w:eastAsia="Times New Roman" w:hAnsi="Calibri" w:cs="Times New Roman"/>
        </w:rPr>
      </w:pPr>
    </w:p>
    <w:p w:rsidR="00E01C5E" w:rsidRPr="00E01C5E" w:rsidRDefault="00E01C5E" w:rsidP="00E01C5E">
      <w:pPr>
        <w:spacing w:after="200" w:line="276" w:lineRule="auto"/>
        <w:rPr>
          <w:rFonts w:ascii="Calibri" w:eastAsia="Times New Roman" w:hAnsi="Calibri" w:cs="Times New Roman"/>
        </w:rPr>
      </w:pPr>
    </w:p>
    <w:p w:rsidR="00E01C5E" w:rsidRPr="00E01C5E" w:rsidRDefault="00E01C5E" w:rsidP="00E01C5E">
      <w:pPr>
        <w:spacing w:after="200" w:line="276" w:lineRule="auto"/>
        <w:rPr>
          <w:rFonts w:ascii="Calibri" w:eastAsia="Times New Roman" w:hAnsi="Calibri" w:cs="Times New Roman"/>
        </w:rPr>
      </w:pPr>
    </w:p>
    <w:p w:rsidR="00E01C5E" w:rsidRPr="00E01C5E" w:rsidRDefault="00E01C5E" w:rsidP="00E01C5E">
      <w:pPr>
        <w:spacing w:after="200" w:line="276" w:lineRule="auto"/>
        <w:rPr>
          <w:rFonts w:ascii="Calibri" w:eastAsia="Times New Roman" w:hAnsi="Calibri" w:cs="Times New Roman"/>
        </w:rPr>
      </w:pPr>
    </w:p>
    <w:p w:rsidR="00E01C5E" w:rsidRPr="00E01C5E" w:rsidRDefault="00E01C5E" w:rsidP="00E01C5E">
      <w:pPr>
        <w:spacing w:after="200" w:line="276" w:lineRule="auto"/>
        <w:rPr>
          <w:rFonts w:ascii="Calibri" w:eastAsia="Times New Roman" w:hAnsi="Calibri" w:cs="Times New Roman"/>
        </w:rPr>
      </w:pPr>
    </w:p>
    <w:p w:rsidR="00E01C5E" w:rsidRPr="00E01C5E" w:rsidRDefault="00E01C5E" w:rsidP="00E01C5E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pPr w:leftFromText="141" w:rightFromText="141" w:vertAnchor="text" w:horzAnchor="margin" w:tblpXSpec="center" w:tblpY="340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439"/>
        <w:gridCol w:w="1965"/>
        <w:gridCol w:w="1643"/>
        <w:gridCol w:w="736"/>
        <w:gridCol w:w="1117"/>
        <w:gridCol w:w="8094"/>
      </w:tblGrid>
      <w:tr w:rsidR="00E01C5E" w:rsidRPr="00E01C5E" w:rsidTr="00E01C5E">
        <w:trPr>
          <w:trHeight w:val="428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Kryteria merytoryczne szczegółowe (punktowane)</w:t>
            </w:r>
          </w:p>
        </w:tc>
      </w:tr>
      <w:tr w:rsidR="00E01C5E" w:rsidRPr="00E01C5E" w:rsidTr="00E01C5E">
        <w:trPr>
          <w:trHeight w:val="428"/>
        </w:trPr>
        <w:tc>
          <w:tcPr>
            <w:tcW w:w="1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7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26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3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289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E01C5E" w:rsidRPr="00E01C5E" w:rsidTr="00E01C5E">
        <w:trPr>
          <w:trHeight w:val="347"/>
        </w:trPr>
        <w:tc>
          <w:tcPr>
            <w:tcW w:w="1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7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26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3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289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E01C5E" w:rsidRPr="00E01C5E" w:rsidTr="001B5168">
        <w:trPr>
          <w:trHeight w:val="1601"/>
        </w:trPr>
        <w:tc>
          <w:tcPr>
            <w:tcW w:w="1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9.</w:t>
            </w:r>
          </w:p>
        </w:tc>
        <w:tc>
          <w:tcPr>
            <w:tcW w:w="7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Wydłużenie godzin pracy ośrodków wychowania przedszkolnego</w:t>
            </w:r>
          </w:p>
        </w:tc>
        <w:tc>
          <w:tcPr>
            <w:tcW w:w="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6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3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289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Bada się czy Wnioskodawca zapewnia w ramach projektu wydłużenie godzin pracy ośrodków wychowania przedszkolnego o min. 10 % dotychczasowego czasu pracy: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wydłużenia godzin pracy ośrodków wychowania przedszkolnego;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5 pkt - projekt zakłada wydłużenie godzin pracy ośrodków wychowania przedszkolnego.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Zakres wsparcia musi wynikać</w:t>
            </w:r>
            <w:r w:rsidRPr="00E01C5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 z przeprowadzonej diagnozy.</w:t>
            </w:r>
          </w:p>
        </w:tc>
      </w:tr>
      <w:tr w:rsidR="00E01C5E" w:rsidRPr="00E01C5E" w:rsidTr="001B5168">
        <w:trPr>
          <w:trHeight w:val="428"/>
        </w:trPr>
        <w:tc>
          <w:tcPr>
            <w:tcW w:w="1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10.</w:t>
            </w:r>
          </w:p>
        </w:tc>
        <w:tc>
          <w:tcPr>
            <w:tcW w:w="7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Upowszechnienie edukacji przedszkolnej</w:t>
            </w:r>
          </w:p>
        </w:tc>
        <w:tc>
          <w:tcPr>
            <w:tcW w:w="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  <w:p w:rsidR="00E01C5E" w:rsidRPr="00E01C5E" w:rsidRDefault="00E01C5E" w:rsidP="00E01C5E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E01C5E" w:rsidRPr="00E01C5E" w:rsidRDefault="00E01C5E" w:rsidP="00E01C5E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E01C5E" w:rsidRPr="00E01C5E" w:rsidRDefault="00E01C5E" w:rsidP="00E01C5E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E01C5E" w:rsidRPr="00E01C5E" w:rsidRDefault="00E01C5E" w:rsidP="00E01C5E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0, 2, 4 lub 6 pkt</w:t>
            </w:r>
          </w:p>
        </w:tc>
        <w:tc>
          <w:tcPr>
            <w:tcW w:w="289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Upowszechnieniem edukacji przedszkolnej jest wzrost liczby dzieci rozumiany, jako: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- wykorzystywanie już istniejących, dotychczas wolnych miejsc przedszkolnych w ośrodkach wychowania przedszkolnego;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- stworzenie nowych miejsc przedszkolnych w ośrodkach wychowania przedszkolnego sfinansowanych w Programie w ramach RPO WO 2014-2020. 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wzrostu liczby dzieci uczestniczących w edukacji przedszkolnej.</w:t>
            </w:r>
          </w:p>
          <w:p w:rsidR="00E01C5E" w:rsidRPr="00E01C5E" w:rsidDel="00E17412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2 pkt – zakładające wzrost liczby dzieci uczestniczących w edukacji przedszkolnej (dot. wykorzystania już istniejących, dotychczas wolnych miejsc wychowania przedszkolnego i/lub stworzenia nowych miejsc przedszkolnych w ramach RPO WO 2014-2020);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4 pkt – zakładające wzrost liczby dzieci z niepełnosprawnościami uczestniczących w edukacji przedszkolnej (dot. wykorzystania już istniejących, dotychczas wolnych miejsc wychowania przedszkolnego i/lub stworzenia nowych miejsc przedszkolnych w ramach RPO WO 2014-2020).</w:t>
            </w:r>
            <w:r w:rsidRPr="00E01C5E" w:rsidDel="00413EB1">
              <w:rPr>
                <w:rFonts w:ascii="Calibri" w:eastAsia="Times New Roman" w:hAnsi="Calibri" w:cs="Times New Roman"/>
                <w:sz w:val="16"/>
                <w:szCs w:val="16"/>
              </w:rPr>
              <w:t>;</w:t>
            </w:r>
          </w:p>
          <w:p w:rsidR="00E01C5E" w:rsidRPr="00E01C5E" w:rsidDel="00413EB1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Punkty sumują się.</w:t>
            </w:r>
            <w:r w:rsidRPr="00E01C5E" w:rsidDel="00413EB1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wzrostu liczby dzieci uczestniczących w edukacji przedszkolnej.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Zakres wsparcia musi wynikać</w:t>
            </w:r>
            <w:r w:rsidRPr="00E01C5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 z przeprowadzonej diagnozy. </w:t>
            </w:r>
          </w:p>
        </w:tc>
      </w:tr>
    </w:tbl>
    <w:p w:rsidR="00E01C5E" w:rsidRPr="00E01C5E" w:rsidRDefault="00E01C5E" w:rsidP="00E01C5E">
      <w:pPr>
        <w:spacing w:after="200" w:line="276" w:lineRule="auto"/>
        <w:rPr>
          <w:rFonts w:ascii="Calibri" w:eastAsia="Times New Roman" w:hAnsi="Calibri" w:cs="Times New Roman"/>
        </w:rPr>
      </w:pPr>
    </w:p>
    <w:p w:rsidR="00E01C5E" w:rsidRPr="00E01C5E" w:rsidRDefault="00E01C5E" w:rsidP="00E01C5E">
      <w:pPr>
        <w:spacing w:after="200" w:line="276" w:lineRule="auto"/>
        <w:rPr>
          <w:rFonts w:ascii="Calibri" w:eastAsia="Times New Roman" w:hAnsi="Calibri" w:cs="Times New Roman"/>
        </w:rPr>
      </w:pPr>
    </w:p>
    <w:p w:rsidR="00E01C5E" w:rsidRPr="00E01C5E" w:rsidRDefault="00E01C5E" w:rsidP="00E01C5E">
      <w:pPr>
        <w:spacing w:after="200" w:line="276" w:lineRule="auto"/>
        <w:rPr>
          <w:rFonts w:ascii="Calibri" w:eastAsia="Times New Roman" w:hAnsi="Calibri" w:cs="Times New Roman"/>
        </w:rPr>
      </w:pPr>
    </w:p>
    <w:p w:rsidR="00E01C5E" w:rsidRPr="00E01C5E" w:rsidRDefault="00E01C5E" w:rsidP="00E01C5E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pPr w:leftFromText="141" w:rightFromText="141" w:vertAnchor="text" w:horzAnchor="margin" w:tblpXSpec="center" w:tblpY="340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439"/>
        <w:gridCol w:w="1965"/>
        <w:gridCol w:w="1643"/>
        <w:gridCol w:w="736"/>
        <w:gridCol w:w="1117"/>
        <w:gridCol w:w="8094"/>
      </w:tblGrid>
      <w:tr w:rsidR="00E01C5E" w:rsidRPr="00E01C5E" w:rsidTr="00E01C5E">
        <w:trPr>
          <w:trHeight w:val="428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Kryteria merytoryczne szczegółowe (punktowane)</w:t>
            </w:r>
          </w:p>
        </w:tc>
      </w:tr>
      <w:tr w:rsidR="00E01C5E" w:rsidRPr="00E01C5E" w:rsidTr="00E01C5E">
        <w:trPr>
          <w:trHeight w:val="428"/>
        </w:trPr>
        <w:tc>
          <w:tcPr>
            <w:tcW w:w="1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7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BFBFB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BFBFB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3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289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E01C5E" w:rsidRPr="00E01C5E" w:rsidTr="00E01C5E">
        <w:trPr>
          <w:trHeight w:val="60"/>
        </w:trPr>
        <w:tc>
          <w:tcPr>
            <w:tcW w:w="1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7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D9D9D9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D9D9D9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3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289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E01C5E" w:rsidRPr="00E01C5E" w:rsidTr="001B5168">
        <w:trPr>
          <w:trHeight w:val="4952"/>
        </w:trPr>
        <w:tc>
          <w:tcPr>
            <w:tcW w:w="1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11.</w:t>
            </w:r>
          </w:p>
        </w:tc>
        <w:tc>
          <w:tcPr>
            <w:tcW w:w="7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  <w:t>Projekt jest realizowany na wiejskich obszarach funkcjonalnych Aglomeracji Opolskiej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92D050"/>
            </w:tcBorders>
            <w:shd w:val="clear" w:color="auto" w:fill="FFFFFF"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  <w:t>Wniosek o dofinansowanie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92D050"/>
            </w:tcBorders>
            <w:shd w:val="clear" w:color="auto" w:fill="FFFFFF"/>
            <w:noWrap/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  <w:t>1</w:t>
            </w:r>
          </w:p>
        </w:tc>
        <w:tc>
          <w:tcPr>
            <w:tcW w:w="3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  <w:t>0 lub 2 pkt</w:t>
            </w:r>
          </w:p>
        </w:tc>
        <w:tc>
          <w:tcPr>
            <w:tcW w:w="289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Kryterium premiuje obszary wiejskie Aglomeracji Opolskiej, które zgodnie z </w:t>
            </w:r>
            <w:r w:rsidRPr="00E01C5E">
              <w:rPr>
                <w:rFonts w:ascii="Calibri" w:eastAsia="Times New Roman" w:hAnsi="Calibri" w:cs="Times New Roman"/>
                <w:i/>
                <w:iCs/>
                <w:color w:val="0D0D0D"/>
                <w:sz w:val="16"/>
                <w:szCs w:val="16"/>
              </w:rPr>
              <w:t xml:space="preserve">Diagnozą wyzwań, potrzeb i potencjałów obszarów/sektorów objętych RPO WO 2014-2020 </w:t>
            </w:r>
            <w:r w:rsidRPr="00E01C5E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wymagają wsparcia procesów rozwojowych.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0 pkt – realizowane poza obszarem wiejskim wymagającym wsparcia procesów rozwojowych;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2 pkt -  realizowane na obszarze wiejskim wymagającym wsparcia procesów rozwojowych wskazanym w ww. </w:t>
            </w:r>
            <w:r w:rsidRPr="00E01C5E">
              <w:rPr>
                <w:rFonts w:ascii="Calibri" w:eastAsia="Times New Roman" w:hAnsi="Calibri" w:cs="Times New Roman"/>
                <w:i/>
                <w:color w:val="0D0D0D"/>
                <w:sz w:val="16"/>
                <w:szCs w:val="16"/>
              </w:rPr>
              <w:t>Diagnozie</w:t>
            </w:r>
            <w:r w:rsidRPr="00E01C5E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 (Popielów, Murów, Ozimek, Tarnów Opolski, Gogolin, Zdzieszowice, Krapkowice, Walce, Strzeleczki, Tułowice, Niemodlin, Lewin Brzeski).</w:t>
            </w:r>
          </w:p>
          <w:p w:rsidR="00E01C5E" w:rsidRPr="00E01C5E" w:rsidRDefault="00E01C5E" w:rsidP="00E01C5E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01C5E" w:rsidRPr="00E01C5E" w:rsidTr="001B5168">
        <w:trPr>
          <w:trHeight w:val="4952"/>
        </w:trPr>
        <w:tc>
          <w:tcPr>
            <w:tcW w:w="1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lastRenderedPageBreak/>
              <w:t>12</w:t>
            </w:r>
          </w:p>
        </w:tc>
        <w:tc>
          <w:tcPr>
            <w:tcW w:w="7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  <w:r w:rsidRPr="00E01C5E"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92D050"/>
            </w:tcBorders>
            <w:shd w:val="clear" w:color="auto" w:fill="FFFFFF"/>
            <w:vAlign w:val="center"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  <w:r w:rsidRPr="00E01C5E"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  <w:t>Wniosek o dofinansowanie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92D050"/>
            </w:tcBorders>
            <w:shd w:val="clear" w:color="auto" w:fill="FFFFFF"/>
            <w:noWrap/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  <w:r w:rsidRPr="00E01C5E"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  <w:t>1</w:t>
            </w:r>
          </w:p>
        </w:tc>
        <w:tc>
          <w:tcPr>
            <w:tcW w:w="3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</w:p>
          <w:p w:rsidR="00E01C5E" w:rsidRPr="00E01C5E" w:rsidRDefault="00E01C5E" w:rsidP="00E01C5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  <w:r w:rsidRPr="00E01C5E"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  <w:t>0, 1 lub 2 pkt</w:t>
            </w:r>
          </w:p>
        </w:tc>
        <w:tc>
          <w:tcPr>
            <w:tcW w:w="289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01C5E" w:rsidRPr="00E01C5E" w:rsidRDefault="00E01C5E" w:rsidP="00E0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Wsparcie dla średnich miast jest realizacją jednego z punktów Strategii  na  rzecz Odpowiedzialnego Rozwoju (SOR)</w:t>
            </w:r>
          </w:p>
          <w:p w:rsidR="00E01C5E" w:rsidRPr="00E01C5E" w:rsidRDefault="00E01C5E" w:rsidP="00E0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i dotyczy miast powyżej </w:t>
            </w:r>
            <w:r w:rsidRPr="00E01C5E">
              <w:rPr>
                <w:rFonts w:ascii="Calibri" w:eastAsia="Times New Roman" w:hAnsi="Calibri" w:cs="Times New Roman"/>
              </w:rPr>
              <w:t xml:space="preserve"> </w:t>
            </w: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20 tys. mieszkańców z wyłączeniem miast wojewódzkich oraz miast z liczbą ludności 15-20 tys. mieszkańców będących stolicami powiatów. Lista miast średnich   wskazana jest w załączniku nr 1 do dokumentu pn. Delimitacja miast średnich tracących funkcje społeczno-gospodarcze opracowanego na potrzeby Strategii na rzecz Odpowiedzialnego Rozwoju, natomiast lista miast średnich   tracących funkcje społeczno-gospodarcze  wskazana  jest  w  załączniku  nr  2  do wspomnianego dokumentu. Dokument pn. Delimitacja miast średnich tracących funkcje społeczno-gospodarcze stanowi załącznik do regulaminu konkursu.</w:t>
            </w:r>
          </w:p>
          <w:p w:rsidR="00E01C5E" w:rsidRPr="00E01C5E" w:rsidRDefault="00E01C5E" w:rsidP="00E0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E01C5E" w:rsidRPr="00E01C5E" w:rsidRDefault="00E01C5E" w:rsidP="00E0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0 pkt - projekt nie zakłada objęcia wsparciem miast średnich, w  tym  w  szczególności miast średnich  tracących  funkcje  społeczno-gospodarcze.</w:t>
            </w:r>
          </w:p>
          <w:p w:rsidR="00E01C5E" w:rsidRPr="00E01C5E" w:rsidRDefault="00E01C5E" w:rsidP="00E0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1 pkt – projekt zakłada objęcie wsparciem przynajmniej jedno miasto średnie spośród miast wskazanych </w:t>
            </w:r>
          </w:p>
          <w:p w:rsidR="00E01C5E" w:rsidRPr="00E01C5E" w:rsidRDefault="00E01C5E" w:rsidP="00E0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w załączniku nr 1 do dokumentu pn. Delimitacja miast średnich tracących funkcje społeczno-gospodarcze.</w:t>
            </w:r>
          </w:p>
          <w:p w:rsidR="00E01C5E" w:rsidRPr="00E01C5E" w:rsidRDefault="00E01C5E" w:rsidP="00E0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1 pkt – projekt zakłada objęcie wsparciem przynajmniej jedno miasto średnie tracące funkcje społeczno-gospodarcze spośród miast wskazanych w załączniku nr 2 do dokumentu pn. Delimitacja miast średnich tracących funkcje społeczno-gospodarcze.</w:t>
            </w:r>
          </w:p>
          <w:p w:rsidR="00E01C5E" w:rsidRPr="00E01C5E" w:rsidRDefault="00E01C5E" w:rsidP="00E0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 xml:space="preserve">Punkty sumują się za wyjątkiem sytuacji, gdy z listy miast wskazanych w załączniku nr 1 oraz listy miast wskazanych 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01C5E">
              <w:rPr>
                <w:rFonts w:ascii="Calibri" w:eastAsia="Times New Roman" w:hAnsi="Calibri" w:cs="Times New Roman"/>
                <w:sz w:val="16"/>
                <w:szCs w:val="16"/>
              </w:rPr>
              <w:t>w załączniku nr 2 do dokumentu pn. Delimitacja miast średnich tracących funkcje społeczno-gospodarcze wybrano to samo miasto.</w:t>
            </w:r>
          </w:p>
          <w:p w:rsidR="00E01C5E" w:rsidRPr="00E01C5E" w:rsidRDefault="00E01C5E" w:rsidP="00E01C5E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</w:p>
        </w:tc>
      </w:tr>
    </w:tbl>
    <w:p w:rsidR="00C45803" w:rsidRPr="00C45803" w:rsidRDefault="00C45803" w:rsidP="00C45803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sectPr w:rsidR="00C45803" w:rsidRPr="00C45803" w:rsidSect="00AF4C0B"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0B" w:rsidRDefault="00AF4C0B" w:rsidP="00AF4C0B">
      <w:pPr>
        <w:spacing w:after="0" w:line="240" w:lineRule="auto"/>
      </w:pPr>
      <w:r>
        <w:separator/>
      </w:r>
    </w:p>
  </w:endnote>
  <w:endnote w:type="continuationSeparator" w:id="0">
    <w:p w:rsidR="00AF4C0B" w:rsidRDefault="00AF4C0B" w:rsidP="00AF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0B" w:rsidRDefault="00AF4C0B" w:rsidP="00AF4C0B">
      <w:pPr>
        <w:spacing w:after="0" w:line="240" w:lineRule="auto"/>
      </w:pPr>
      <w:r>
        <w:separator/>
      </w:r>
    </w:p>
  </w:footnote>
  <w:footnote w:type="continuationSeparator" w:id="0">
    <w:p w:rsidR="00AF4C0B" w:rsidRDefault="00AF4C0B" w:rsidP="00AF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B0" w:rsidRPr="009305FA" w:rsidRDefault="005D60B0" w:rsidP="005D60B0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167</w:t>
    </w:r>
    <w:r w:rsidRPr="009305FA">
      <w:rPr>
        <w:i/>
        <w:sz w:val="20"/>
        <w:szCs w:val="20"/>
      </w:rPr>
      <w:t>/2018 KM RPO WO 2014-2020</w:t>
    </w:r>
  </w:p>
  <w:p w:rsidR="005D60B0" w:rsidRPr="009305FA" w:rsidRDefault="005D60B0" w:rsidP="005D60B0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 w:rsidRPr="009305FA">
      <w:rPr>
        <w:i/>
        <w:sz w:val="20"/>
        <w:szCs w:val="20"/>
      </w:rPr>
      <w:t xml:space="preserve">z dnia </w:t>
    </w:r>
    <w:r>
      <w:rPr>
        <w:i/>
        <w:sz w:val="20"/>
        <w:szCs w:val="20"/>
      </w:rPr>
      <w:t>14 lutego</w:t>
    </w:r>
    <w:r w:rsidRPr="009305FA">
      <w:rPr>
        <w:i/>
        <w:sz w:val="20"/>
        <w:szCs w:val="20"/>
      </w:rPr>
      <w:t xml:space="preserve"> 2018 r.</w:t>
    </w:r>
  </w:p>
  <w:p w:rsidR="00AF4C0B" w:rsidRDefault="00AF4C0B" w:rsidP="00AF4C0B">
    <w:pPr>
      <w:pStyle w:val="Nagwek"/>
      <w:ind w:left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5D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B584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3867"/>
    <w:multiLevelType w:val="hybridMultilevel"/>
    <w:tmpl w:val="CC743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8263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086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2B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E252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D329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420A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03"/>
    <w:rsid w:val="005D60B0"/>
    <w:rsid w:val="00703375"/>
    <w:rsid w:val="00AF4C0B"/>
    <w:rsid w:val="00C45803"/>
    <w:rsid w:val="00E0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23F5B82-6292-45DC-9805-CE7350C1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C0B"/>
  </w:style>
  <w:style w:type="paragraph" w:styleId="Stopka">
    <w:name w:val="footer"/>
    <w:basedOn w:val="Normalny"/>
    <w:link w:val="StopkaZnak"/>
    <w:uiPriority w:val="99"/>
    <w:unhideWhenUsed/>
    <w:rsid w:val="00AF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44E6-F434-4071-9A48-790389C2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3094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MICHLIK</dc:creator>
  <cp:keywords/>
  <dc:description/>
  <cp:lastModifiedBy>Barbara Łuczywo</cp:lastModifiedBy>
  <cp:revision>4</cp:revision>
  <dcterms:created xsi:type="dcterms:W3CDTF">2018-02-21T08:07:00Z</dcterms:created>
  <dcterms:modified xsi:type="dcterms:W3CDTF">2018-03-14T14:59:00Z</dcterms:modified>
</cp:coreProperties>
</file>