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2BCA0" w14:textId="15D08864" w:rsidR="00842F3A" w:rsidRPr="004A2391" w:rsidRDefault="000F2E15" w:rsidP="00F122C5">
      <w:pPr>
        <w:jc w:val="center"/>
        <w:rPr>
          <w:b/>
          <w:i/>
          <w:color w:val="000099"/>
          <w:sz w:val="44"/>
          <w:szCs w:val="28"/>
        </w:rPr>
      </w:pPr>
      <w:r w:rsidRPr="0060149B">
        <w:rPr>
          <w:noProof/>
        </w:rPr>
        <w:drawing>
          <wp:inline distT="0" distB="0" distL="0" distR="0" wp14:anchorId="726ED947" wp14:editId="21926944">
            <wp:extent cx="5762625" cy="561975"/>
            <wp:effectExtent l="0" t="0" r="9525" b="9525"/>
            <wp:docPr id="2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B223F" w14:textId="77777777" w:rsidR="00F122C5" w:rsidRDefault="006B2D2B" w:rsidP="006B2D2B">
      <w:pPr>
        <w:tabs>
          <w:tab w:val="left" w:pos="6165"/>
        </w:tabs>
        <w:rPr>
          <w:b/>
        </w:rPr>
      </w:pPr>
      <w:r>
        <w:rPr>
          <w:b/>
        </w:rPr>
        <w:tab/>
      </w:r>
    </w:p>
    <w:p w14:paraId="174EB16B" w14:textId="77777777" w:rsidR="006B2D2B" w:rsidRPr="00B437A3" w:rsidRDefault="004A54F1" w:rsidP="006B2D2B">
      <w:pPr>
        <w:spacing w:after="0"/>
        <w:ind w:firstLine="6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en-US"/>
        </w:rPr>
      </w:pPr>
      <w:r w:rsidRPr="00B437A3">
        <w:rPr>
          <w:rFonts w:ascii="Calibri" w:eastAsia="Times New Roman" w:hAnsi="Calibri" w:cs="Times New Roman"/>
          <w:b/>
          <w:color w:val="000099"/>
          <w:sz w:val="36"/>
          <w:szCs w:val="36"/>
          <w:lang w:eastAsia="en-US"/>
        </w:rPr>
        <w:t xml:space="preserve">ZAŁĄCZNIK NR </w:t>
      </w:r>
      <w:r w:rsidR="00FC3C2B" w:rsidRPr="00B437A3">
        <w:rPr>
          <w:rFonts w:ascii="Calibri" w:eastAsia="Times New Roman" w:hAnsi="Calibri" w:cs="Times New Roman"/>
          <w:b/>
          <w:color w:val="000099"/>
          <w:sz w:val="36"/>
          <w:szCs w:val="36"/>
          <w:lang w:eastAsia="en-US"/>
        </w:rPr>
        <w:t>8</w:t>
      </w:r>
    </w:p>
    <w:p w14:paraId="40F90FF1" w14:textId="77777777" w:rsidR="00F122C5" w:rsidRPr="00B437A3" w:rsidRDefault="00F122C5" w:rsidP="00B437A3">
      <w:pPr>
        <w:spacing w:after="0"/>
        <w:ind w:firstLine="6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en-US"/>
        </w:rPr>
      </w:pPr>
    </w:p>
    <w:p w14:paraId="2DE561A0" w14:textId="77777777" w:rsidR="002C2993" w:rsidRPr="00B437A3" w:rsidRDefault="005F154E" w:rsidP="00B437A3">
      <w:pPr>
        <w:spacing w:after="0"/>
        <w:ind w:firstLine="6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en-US"/>
        </w:rPr>
      </w:pPr>
      <w:r w:rsidRPr="00B437A3">
        <w:rPr>
          <w:rFonts w:ascii="Calibri" w:eastAsia="Times New Roman" w:hAnsi="Calibri" w:cs="Times New Roman"/>
          <w:b/>
          <w:color w:val="000099"/>
          <w:sz w:val="36"/>
          <w:szCs w:val="36"/>
          <w:lang w:eastAsia="en-US"/>
        </w:rPr>
        <w:t xml:space="preserve">LISTA WSKAŹNIKÓW NA POZIOMIE PROJEKTU DLA PODDZIAŁANIA </w:t>
      </w:r>
      <w:r w:rsidRPr="00B437A3">
        <w:rPr>
          <w:rFonts w:ascii="Calibri" w:eastAsia="Times New Roman" w:hAnsi="Calibri" w:cs="Times New Roman"/>
          <w:b/>
          <w:color w:val="000099"/>
          <w:sz w:val="36"/>
          <w:szCs w:val="36"/>
          <w:lang w:eastAsia="en-US"/>
        </w:rPr>
        <w:br/>
        <w:t>3.</w:t>
      </w:r>
      <w:r w:rsidR="002C2993" w:rsidRPr="00B437A3">
        <w:rPr>
          <w:rFonts w:ascii="Calibri" w:eastAsia="Times New Roman" w:hAnsi="Calibri" w:cs="Times New Roman"/>
          <w:b/>
          <w:color w:val="000099"/>
          <w:sz w:val="36"/>
          <w:szCs w:val="36"/>
          <w:lang w:eastAsia="en-US"/>
        </w:rPr>
        <w:t>2.2</w:t>
      </w:r>
      <w:r w:rsidRPr="00B437A3">
        <w:rPr>
          <w:rFonts w:ascii="Calibri" w:eastAsia="Times New Roman" w:hAnsi="Calibri" w:cs="Times New Roman"/>
          <w:b/>
          <w:color w:val="000099"/>
          <w:sz w:val="36"/>
          <w:szCs w:val="36"/>
          <w:lang w:eastAsia="en-US"/>
        </w:rPr>
        <w:t xml:space="preserve"> </w:t>
      </w:r>
      <w:r w:rsidR="002C2993" w:rsidRPr="00B437A3">
        <w:rPr>
          <w:rFonts w:ascii="Calibri" w:eastAsia="Times New Roman" w:hAnsi="Calibri" w:cs="Times New Roman"/>
          <w:b/>
          <w:color w:val="000099"/>
          <w:sz w:val="36"/>
          <w:szCs w:val="36"/>
          <w:lang w:eastAsia="en-US"/>
        </w:rPr>
        <w:t xml:space="preserve">Efektywność energetyczna w budynkach publicznych </w:t>
      </w:r>
    </w:p>
    <w:p w14:paraId="53DEFF21" w14:textId="77777777" w:rsidR="005F154E" w:rsidRPr="00B437A3" w:rsidRDefault="002C2993" w:rsidP="00B437A3">
      <w:pPr>
        <w:spacing w:after="0"/>
        <w:ind w:firstLine="6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en-US"/>
        </w:rPr>
      </w:pPr>
      <w:r w:rsidRPr="00B437A3">
        <w:rPr>
          <w:rFonts w:ascii="Calibri" w:eastAsia="Times New Roman" w:hAnsi="Calibri" w:cs="Times New Roman"/>
          <w:b/>
          <w:color w:val="000099"/>
          <w:sz w:val="36"/>
          <w:szCs w:val="36"/>
          <w:lang w:eastAsia="en-US"/>
        </w:rPr>
        <w:t xml:space="preserve">Aglomeracji Opolskiej </w:t>
      </w:r>
      <w:r w:rsidR="005F154E" w:rsidRPr="00B437A3">
        <w:rPr>
          <w:rFonts w:ascii="Calibri" w:eastAsia="Times New Roman" w:hAnsi="Calibri" w:cs="Times New Roman"/>
          <w:b/>
          <w:color w:val="000099"/>
          <w:sz w:val="36"/>
          <w:szCs w:val="36"/>
          <w:lang w:eastAsia="en-US"/>
        </w:rPr>
        <w:t xml:space="preserve"> </w:t>
      </w:r>
    </w:p>
    <w:p w14:paraId="2CEE842F" w14:textId="77777777" w:rsidR="005F154E" w:rsidRPr="00B437A3" w:rsidRDefault="005F154E" w:rsidP="00B437A3">
      <w:pPr>
        <w:spacing w:after="0"/>
        <w:ind w:firstLine="6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en-US"/>
        </w:rPr>
      </w:pPr>
      <w:r w:rsidRPr="00B437A3">
        <w:rPr>
          <w:rFonts w:ascii="Calibri" w:eastAsia="Times New Roman" w:hAnsi="Calibri" w:cs="Times New Roman"/>
          <w:b/>
          <w:color w:val="000099"/>
          <w:sz w:val="36"/>
          <w:szCs w:val="36"/>
          <w:lang w:eastAsia="en-US"/>
        </w:rPr>
        <w:t>(zakres EFRR)</w:t>
      </w:r>
    </w:p>
    <w:p w14:paraId="5551C7D4" w14:textId="77777777" w:rsidR="00F122C5" w:rsidRPr="004A2391" w:rsidRDefault="00F122C5">
      <w:pPr>
        <w:rPr>
          <w:b/>
        </w:rPr>
      </w:pPr>
    </w:p>
    <w:p w14:paraId="3D6BF82B" w14:textId="77777777" w:rsidR="00F122C5" w:rsidRPr="004A2391" w:rsidRDefault="00F122C5">
      <w:pPr>
        <w:rPr>
          <w:b/>
        </w:rPr>
      </w:pPr>
    </w:p>
    <w:p w14:paraId="721C4F87" w14:textId="77777777" w:rsidR="00F122C5" w:rsidRPr="004A2391" w:rsidRDefault="00F122C5">
      <w:pPr>
        <w:rPr>
          <w:b/>
        </w:rPr>
      </w:pPr>
    </w:p>
    <w:p w14:paraId="4323D9F1" w14:textId="77777777" w:rsidR="00F122C5" w:rsidRPr="004A2391" w:rsidRDefault="00F122C5">
      <w:pPr>
        <w:rPr>
          <w:b/>
        </w:rPr>
      </w:pPr>
    </w:p>
    <w:p w14:paraId="516CBB9B" w14:textId="77777777" w:rsidR="00F122C5" w:rsidRPr="004A2391" w:rsidRDefault="00F122C5">
      <w:pPr>
        <w:rPr>
          <w:b/>
        </w:rPr>
      </w:pPr>
    </w:p>
    <w:p w14:paraId="536606F8" w14:textId="77777777" w:rsidR="00F122C5" w:rsidRPr="004A2391" w:rsidRDefault="00F122C5">
      <w:pPr>
        <w:rPr>
          <w:b/>
        </w:rPr>
      </w:pPr>
    </w:p>
    <w:p w14:paraId="0C2633E2" w14:textId="77777777" w:rsidR="00F122C5" w:rsidRPr="004A2391" w:rsidRDefault="00F122C5">
      <w:pPr>
        <w:rPr>
          <w:b/>
        </w:rPr>
      </w:pPr>
    </w:p>
    <w:p w14:paraId="30A12C23" w14:textId="77777777" w:rsidR="00F122C5" w:rsidRPr="004A2391" w:rsidRDefault="00F122C5">
      <w:pPr>
        <w:rPr>
          <w:b/>
        </w:rPr>
      </w:pPr>
    </w:p>
    <w:p w14:paraId="3226F5AF" w14:textId="77777777" w:rsidR="00F122C5" w:rsidRPr="004A2391" w:rsidRDefault="00F122C5">
      <w:pPr>
        <w:rPr>
          <w:b/>
        </w:rPr>
      </w:pPr>
    </w:p>
    <w:p w14:paraId="1BAC128B" w14:textId="77777777" w:rsidR="00F122C5" w:rsidRDefault="00F122C5">
      <w:pPr>
        <w:rPr>
          <w:b/>
        </w:rPr>
      </w:pPr>
    </w:p>
    <w:p w14:paraId="33501B6A" w14:textId="77777777" w:rsidR="00D74914" w:rsidRDefault="00D74914">
      <w:pPr>
        <w:rPr>
          <w:b/>
        </w:rPr>
      </w:pPr>
    </w:p>
    <w:p w14:paraId="23387ED6" w14:textId="77777777" w:rsidR="00D74914" w:rsidRDefault="00D74914">
      <w:pPr>
        <w:rPr>
          <w:b/>
        </w:rPr>
      </w:pPr>
    </w:p>
    <w:p w14:paraId="49669C9A" w14:textId="77777777" w:rsidR="00D74914" w:rsidRDefault="00D74914">
      <w:pPr>
        <w:rPr>
          <w:b/>
        </w:rPr>
      </w:pPr>
    </w:p>
    <w:p w14:paraId="00929704" w14:textId="77777777" w:rsidR="00DF2D9B" w:rsidRDefault="00DF2D9B">
      <w:pPr>
        <w:rPr>
          <w:b/>
        </w:rPr>
      </w:pPr>
    </w:p>
    <w:p w14:paraId="12B82A7B" w14:textId="77777777" w:rsidR="00DF2D9B" w:rsidRDefault="00DF2D9B">
      <w:pPr>
        <w:rPr>
          <w:b/>
        </w:rPr>
      </w:pPr>
    </w:p>
    <w:p w14:paraId="3E4262BD" w14:textId="77777777" w:rsidR="00DF2D9B" w:rsidRDefault="00DF2D9B">
      <w:pPr>
        <w:rPr>
          <w:b/>
        </w:rPr>
      </w:pPr>
    </w:p>
    <w:p w14:paraId="13D2B887" w14:textId="77777777" w:rsidR="00DF2D9B" w:rsidRDefault="00DF2D9B">
      <w:pPr>
        <w:rPr>
          <w:b/>
        </w:rPr>
      </w:pPr>
    </w:p>
    <w:p w14:paraId="15FDD655" w14:textId="77777777" w:rsidR="00D74914" w:rsidRPr="004A2391" w:rsidRDefault="00D74914" w:rsidP="006B2D2B">
      <w:pPr>
        <w:tabs>
          <w:tab w:val="left" w:pos="3751"/>
        </w:tabs>
        <w:rPr>
          <w:b/>
        </w:rPr>
      </w:pPr>
    </w:p>
    <w:p w14:paraId="461432B3" w14:textId="77777777" w:rsidR="00F122C5" w:rsidRPr="004A2391" w:rsidRDefault="00F122C5" w:rsidP="00F122C5">
      <w:pPr>
        <w:spacing w:after="0"/>
        <w:rPr>
          <w:b/>
          <w:color w:val="000099"/>
          <w:sz w:val="18"/>
          <w:u w:val="single"/>
        </w:rPr>
      </w:pPr>
      <w:r w:rsidRPr="004A2391">
        <w:rPr>
          <w:b/>
          <w:color w:val="000099"/>
          <w:sz w:val="18"/>
          <w:u w:val="single"/>
        </w:rPr>
        <w:t>Opracowanie:</w:t>
      </w:r>
    </w:p>
    <w:p w14:paraId="0FE9E33C" w14:textId="77777777" w:rsidR="00F122C5" w:rsidRPr="004A2391" w:rsidRDefault="00F122C5" w:rsidP="000E521A">
      <w:pPr>
        <w:tabs>
          <w:tab w:val="center" w:pos="7001"/>
        </w:tabs>
        <w:spacing w:after="0"/>
        <w:rPr>
          <w:color w:val="000099"/>
          <w:sz w:val="18"/>
        </w:rPr>
      </w:pPr>
      <w:r w:rsidRPr="004A2391">
        <w:rPr>
          <w:color w:val="000099"/>
          <w:sz w:val="18"/>
        </w:rPr>
        <w:t>Departament Koordynacji Programów Operacyjnych</w:t>
      </w:r>
      <w:r w:rsidR="000E521A">
        <w:rPr>
          <w:color w:val="000099"/>
          <w:sz w:val="18"/>
        </w:rPr>
        <w:tab/>
      </w:r>
    </w:p>
    <w:p w14:paraId="1ABF1EFC" w14:textId="77777777" w:rsidR="00F122C5" w:rsidRPr="004A2391" w:rsidRDefault="00F122C5" w:rsidP="00F122C5">
      <w:pPr>
        <w:spacing w:after="0"/>
        <w:rPr>
          <w:color w:val="000099"/>
          <w:sz w:val="18"/>
        </w:rPr>
      </w:pPr>
      <w:r w:rsidRPr="004A2391">
        <w:rPr>
          <w:color w:val="000099"/>
          <w:sz w:val="18"/>
        </w:rPr>
        <w:t>Urząd Marszałkowski Województwa Opolskiego</w:t>
      </w:r>
    </w:p>
    <w:p w14:paraId="31146724" w14:textId="035F35AE" w:rsidR="00F122C5" w:rsidRPr="004A2391" w:rsidRDefault="00AA17E8" w:rsidP="00F122C5">
      <w:pPr>
        <w:spacing w:after="0"/>
        <w:rPr>
          <w:b/>
        </w:rPr>
      </w:pPr>
      <w:r>
        <w:rPr>
          <w:color w:val="000099"/>
          <w:sz w:val="18"/>
        </w:rPr>
        <w:t xml:space="preserve">Opole, </w:t>
      </w:r>
      <w:r w:rsidR="000F2E15">
        <w:rPr>
          <w:color w:val="000099"/>
          <w:sz w:val="18"/>
        </w:rPr>
        <w:t>marzec</w:t>
      </w:r>
      <w:r w:rsidR="000F2E15">
        <w:rPr>
          <w:color w:val="000099"/>
          <w:sz w:val="18"/>
        </w:rPr>
        <w:t xml:space="preserve"> </w:t>
      </w:r>
      <w:r w:rsidR="00212E41">
        <w:rPr>
          <w:color w:val="000099"/>
          <w:sz w:val="18"/>
        </w:rPr>
        <w:t>2019</w:t>
      </w:r>
      <w:r w:rsidR="00F122C5" w:rsidRPr="00223F9A">
        <w:rPr>
          <w:color w:val="000099"/>
          <w:sz w:val="18"/>
        </w:rPr>
        <w:t xml:space="preserve"> r.</w:t>
      </w:r>
      <w:r w:rsidR="00F122C5" w:rsidRPr="004A2391">
        <w:rPr>
          <w:b/>
        </w:rPr>
        <w:br w:type="page"/>
      </w:r>
    </w:p>
    <w:p w14:paraId="76C58F64" w14:textId="77777777" w:rsidR="00350EEC" w:rsidRDefault="0075189A" w:rsidP="00FC3C2B">
      <w:pPr>
        <w:tabs>
          <w:tab w:val="left" w:pos="4650"/>
          <w:tab w:val="left" w:pos="12300"/>
        </w:tabs>
        <w:spacing w:after="60"/>
        <w:rPr>
          <w:b/>
        </w:rPr>
      </w:pPr>
      <w:r>
        <w:rPr>
          <w:b/>
        </w:rPr>
        <w:lastRenderedPageBreak/>
        <w:tab/>
      </w:r>
      <w:r w:rsidR="00FC3C2B">
        <w:rPr>
          <w:b/>
        </w:rPr>
        <w:tab/>
      </w:r>
    </w:p>
    <w:p w14:paraId="141ADBD4" w14:textId="77777777" w:rsidR="00512467" w:rsidRPr="004A2391" w:rsidRDefault="006D162A" w:rsidP="00CE7C94">
      <w:pPr>
        <w:spacing w:after="60"/>
        <w:rPr>
          <w:i/>
        </w:rPr>
      </w:pPr>
      <w:r w:rsidRPr="004A2391">
        <w:rPr>
          <w:b/>
        </w:rPr>
        <w:t>Tabela 1</w:t>
      </w:r>
      <w:r w:rsidR="00CE7C94" w:rsidRPr="004A2391">
        <w:rPr>
          <w:b/>
        </w:rPr>
        <w:t xml:space="preserve"> </w:t>
      </w:r>
      <w:r w:rsidR="00055EE7" w:rsidRPr="004A2391">
        <w:rPr>
          <w:i/>
        </w:rPr>
        <w:t>Zestawieni</w:t>
      </w:r>
      <w:r w:rsidR="00F5104E" w:rsidRPr="004A2391">
        <w:rPr>
          <w:i/>
        </w:rPr>
        <w:t>e</w:t>
      </w:r>
      <w:r w:rsidR="00055EE7" w:rsidRPr="004A2391">
        <w:rPr>
          <w:i/>
        </w:rPr>
        <w:t xml:space="preserve"> wskaźników </w:t>
      </w:r>
      <w:r w:rsidR="007435C8" w:rsidRPr="004A2391">
        <w:rPr>
          <w:i/>
        </w:rPr>
        <w:t xml:space="preserve">EFRR </w:t>
      </w:r>
      <w:r w:rsidR="00055EE7" w:rsidRPr="004A2391">
        <w:rPr>
          <w:i/>
        </w:rPr>
        <w:t xml:space="preserve">na poziomie projektu </w:t>
      </w:r>
      <w:r w:rsidR="00881689" w:rsidRPr="004A2391">
        <w:rPr>
          <w:i/>
        </w:rPr>
        <w:t>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276"/>
        <w:gridCol w:w="1276"/>
        <w:gridCol w:w="1275"/>
        <w:gridCol w:w="1276"/>
        <w:gridCol w:w="5954"/>
      </w:tblGrid>
      <w:tr w:rsidR="00212E41" w:rsidRPr="004A2391" w14:paraId="03EE1421" w14:textId="77777777" w:rsidTr="00905BB1">
        <w:trPr>
          <w:tblHeader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65700817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15F33D6A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Nazwa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2F87C3EE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067452B0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Rodzaj wskaźnika</w:t>
            </w:r>
          </w:p>
        </w:tc>
        <w:tc>
          <w:tcPr>
            <w:tcW w:w="1275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3794D985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Typ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646983E7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Inne uwagi</w:t>
            </w:r>
          </w:p>
        </w:tc>
        <w:tc>
          <w:tcPr>
            <w:tcW w:w="5954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14:paraId="3EF624C9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212E41" w:rsidRPr="004A2391" w14:paraId="580D3100" w14:textId="77777777" w:rsidTr="00905BB1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14:paraId="5F86F90C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5046F5">
              <w:rPr>
                <w:b/>
                <w:color w:val="000099"/>
                <w:sz w:val="28"/>
                <w:szCs w:val="24"/>
              </w:rPr>
              <w:t>Wskaźniki horyzontalne</w:t>
            </w:r>
          </w:p>
        </w:tc>
      </w:tr>
      <w:tr w:rsidR="00212E41" w:rsidRPr="004A2391" w14:paraId="53B0FA06" w14:textId="77777777" w:rsidTr="00905BB1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0D1DBF9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494AED19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obiektów dostosowanych</w:t>
            </w:r>
            <w:r>
              <w:rPr>
                <w:i/>
                <w:sz w:val="24"/>
                <w:szCs w:val="24"/>
              </w:rPr>
              <w:t xml:space="preserve"> do potrzeb osób </w:t>
            </w:r>
            <w:r w:rsidRPr="00A635F2">
              <w:rPr>
                <w:i/>
                <w:sz w:val="24"/>
                <w:szCs w:val="24"/>
              </w:rPr>
              <w:t xml:space="preserve">z </w:t>
            </w:r>
            <w:bookmarkStart w:id="0" w:name="_GoBack"/>
            <w:bookmarkEnd w:id="0"/>
            <w:r w:rsidRPr="00A635F2">
              <w:rPr>
                <w:i/>
                <w:sz w:val="24"/>
                <w:szCs w:val="24"/>
              </w:rPr>
              <w:t>niepełnosprawnościami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A76C69A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19ADD8B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3D5FA4F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19498D2D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  <w:p w14:paraId="35B9B637" w14:textId="77777777" w:rsidR="00212E41" w:rsidRPr="00A635F2" w:rsidRDefault="00212E41" w:rsidP="00905BB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30901EAB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odnosi się do liczby obiektów, które zaopatrzono w specjalne podjazdy, windy, urządzenia głośnomówiące, bądź inne </w:t>
            </w:r>
            <w:r w:rsidRPr="00A635F2">
              <w:rPr>
                <w:sz w:val="24"/>
                <w:szCs w:val="24"/>
              </w:rPr>
              <w:t>rozwiązania umożliwiające dostęp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(tj. usunięcie barier w dostępie, w szczególności barier archi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tektonicznych) do tych obiektów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poruszanie się po nich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niepełnosprawnościami ruchowymi czy sensorycznymi.</w:t>
            </w:r>
          </w:p>
          <w:p w14:paraId="23F552ED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Jako obiekty budowlane należy rozumieć konstrukcje połączone z gruntem w sposób trwały, wykonane z materiałów budowlanych i elementów składowych, będące wynikiem prac budowlanych (wg. def. PKOB).</w:t>
            </w:r>
          </w:p>
          <w:p w14:paraId="157B088B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Należy podać liczbę obiektów, w których zastosowano rozwiązania umożliwiające dostęp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niepełnosprawnościami ruchowymi czy sensorycznymi lub zaopatrzonych w sprzęt, a nie liczbę sprzętów, urządzeń itp.</w:t>
            </w:r>
          </w:p>
          <w:p w14:paraId="2C038A0C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Jeśli instytucja, zakład itp. składa się z kilku obiektów, należy zliczyć wszystkie, które dostosowano do potrzeb osób z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niepełnosprawnościami.</w:t>
            </w:r>
          </w:p>
          <w:p w14:paraId="1ED3C820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mierzony w momencie rozliczenia wydatku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związanego z dostosowaniem obiektów do potrzeb osób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z niepełnosprawnościami w ramach danego projektu.</w:t>
            </w:r>
          </w:p>
          <w:p w14:paraId="3DB13E54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Do wskaźnika powinny zostać wliczone zarówno obiekty dostosowane w projektach ogólnodostępnych, jak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dedykowanych (zgodnie z kategoryzacją projektów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dostępności dla osób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212E41" w:rsidRPr="004A2391" w14:paraId="354CFCD9" w14:textId="77777777" w:rsidTr="00905BB1">
        <w:trPr>
          <w:trHeight w:val="1481"/>
        </w:trPr>
        <w:tc>
          <w:tcPr>
            <w:tcW w:w="552" w:type="dxa"/>
            <w:shd w:val="clear" w:color="auto" w:fill="FFFFFF" w:themeFill="background1"/>
            <w:vAlign w:val="center"/>
          </w:tcPr>
          <w:p w14:paraId="4774AC65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2066DF7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B57D5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954512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587A9A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84CEC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71FD70F8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osób objętych szkoleniami / doradztwem w zakresie nabywania / doskonalenia umiejętności warunkujących efektywne korzystanie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mediów elektronicznych tj. m.in. korzystania z komputera, różnych rodzajów oprogramowania, internetu oraz kompetencji ściśle informatycznych (np. programowanie, zarządzanie bazami danych, administracja sieciami, administracja witrynami internetowymi).</w:t>
            </w:r>
          </w:p>
          <w:p w14:paraId="22E3E1A4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ma agregować wszystkie osoby, które skorzystały ze wsparcia w zakresie TIK we wszystkich programach i projektach, także tych, gdzie szkolenie dotycz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y obsługi specyficznego systemu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teleinformatycznego, którego wdrożenia dotyczy projekt. </w:t>
            </w:r>
          </w:p>
          <w:p w14:paraId="1B541AAF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  <w:p w14:paraId="049077B5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Identyfikacja charakteru i zakresu nabywanych kompetencji będzie możliwa dzięki możliwości pogrupowania wskaźnika według programów, osi priorytetowych i priorytetów inwestycyjnych.</w:t>
            </w:r>
          </w:p>
        </w:tc>
      </w:tr>
      <w:tr w:rsidR="00212E41" w:rsidRPr="004A2391" w14:paraId="7AD53E6E" w14:textId="77777777" w:rsidTr="00905BB1">
        <w:trPr>
          <w:trHeight w:val="1828"/>
        </w:trPr>
        <w:tc>
          <w:tcPr>
            <w:tcW w:w="552" w:type="dxa"/>
            <w:shd w:val="clear" w:color="auto" w:fill="FFFFFF" w:themeFill="background1"/>
            <w:vAlign w:val="center"/>
          </w:tcPr>
          <w:p w14:paraId="658CDD1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2a.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80B5190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kobiety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44EBB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137C43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692D355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C2382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0AF1D717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12E41" w:rsidRPr="004A2391" w14:paraId="69B7B7E5" w14:textId="77777777" w:rsidTr="00905BB1">
        <w:tc>
          <w:tcPr>
            <w:tcW w:w="552" w:type="dxa"/>
            <w:shd w:val="clear" w:color="auto" w:fill="FFFFFF" w:themeFill="background1"/>
            <w:vAlign w:val="center"/>
          </w:tcPr>
          <w:p w14:paraId="61C9013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2b.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73F78C2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Liczba osób objętych szkoleniami / doradztwem w zakresie kompetencji </w:t>
            </w:r>
            <w:r w:rsidRPr="00A635F2">
              <w:rPr>
                <w:i/>
                <w:sz w:val="24"/>
                <w:szCs w:val="24"/>
              </w:rPr>
              <w:lastRenderedPageBreak/>
              <w:t>cyfrowych</w:t>
            </w:r>
            <w:r w:rsidRPr="00A635F2">
              <w:rPr>
                <w:i/>
                <w:sz w:val="24"/>
                <w:szCs w:val="24"/>
              </w:rPr>
              <w:br/>
              <w:t>- mężczyźni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08A10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15D7B7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001695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32EA9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795FC28E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12E41" w:rsidRPr="004A2391" w14:paraId="4BEBC1BA" w14:textId="77777777" w:rsidTr="00905BB1">
        <w:trPr>
          <w:trHeight w:val="3184"/>
        </w:trPr>
        <w:tc>
          <w:tcPr>
            <w:tcW w:w="552" w:type="dxa"/>
            <w:shd w:val="clear" w:color="auto" w:fill="FFFFFF" w:themeFill="background1"/>
            <w:vAlign w:val="center"/>
          </w:tcPr>
          <w:p w14:paraId="4816C53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981CC8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Liczba projektów, w których sfinansowano koszty racjonalnych usprawnień dla osób </w:t>
            </w:r>
            <w:r w:rsidRPr="00A635F2">
              <w:rPr>
                <w:i/>
                <w:sz w:val="24"/>
                <w:szCs w:val="24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94E3A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EF0E1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1FD0CB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DE437E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40CFFF48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Racjonalne usprawnienie oznacza konieczne i odpowiednie zmiany oraz dostosowania, nie nakładające nieproporcjonaln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ego lub nadmiernego obciążenia,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rozpatrywane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osobno dla każdego konkretnego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przypadku, w celu zapewnienia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niepełnosprawnościami możliwości korzystania z wszelkich praw człowieka i podstawowych wolności oraz ich wykonywania na zasadzie równości z innymi osobami.</w:t>
            </w:r>
          </w:p>
          <w:p w14:paraId="06814414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mierzony w momencie rozliczenia wydatku związanego z racjonalnymi usprawnieniami w ramach danego projektu.</w:t>
            </w:r>
          </w:p>
          <w:p w14:paraId="281D5B5B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14:paraId="09466C5B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powinny zostać wliczone zarówno projekty ogólnodostępne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w których sfinansowano koszty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racjonalnych usprawnień, jak i dedykowane (zgodnie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dostępności dla osób 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  <w:p w14:paraId="6DB79EAC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Definicja na podstawie: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Wytyczne w zakresie realizacji zasady równości szans i niedyskryminacji, w tym dostępności dla osób z niepełnosprawnościami oraz równości szans kobiet i mężczyzn w ramach funduszy unijnych na lata 2014-</w:t>
            </w: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2020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384F0E7E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Wyjaśnienie:</w:t>
            </w:r>
            <w:r w:rsidRPr="00A635F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 xml:space="preserve">Jeśli projekt spełnia kryteria w/w definicji wnioskodawca powinien wykazać wartość „1”,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w przeciwnym wypadku „0”. W przypadku projektów partnerskich wskaźnik powinien być wykazany wyłącznie przez lidera projektu, b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ez względu na liczbę partnerów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w projekcie realizujących wskaźnik.</w:t>
            </w:r>
          </w:p>
        </w:tc>
      </w:tr>
      <w:tr w:rsidR="00212E41" w:rsidRPr="004A2391" w14:paraId="2791E4D2" w14:textId="77777777" w:rsidTr="00905BB1">
        <w:tc>
          <w:tcPr>
            <w:tcW w:w="55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E73E12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E905953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podmiotów wykorzystujących technologie informacyjno-komunikacyjne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2BF90AD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A1E40A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5A2E74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58ECFB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2C3087B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5F291339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Przez technologie informacyjno-komunikacyjne (ang. ITC – Information and Communications Technology) należy rozumieć technologie pozyskiwania/ produkcji, gromadzenia /przechowywania, przesyłania, przetwarzania i rozpowszechniania informacji w formie elektronicznej z wykorzystaniem technik cyfrowych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 wszelkich narzędzi komunikacji elektronicznej oraz wszelkie działania związane z produkcją i wykorzystaniem urządzeń telekomunikacyjnych i informatycznych oraz usług im towarzy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szących; działania edukacyjne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szkoleniowe. </w:t>
            </w:r>
          </w:p>
          <w:p w14:paraId="45D368EB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 / szkolenie / zakup TIK lub podmioty, które otrzymują wsparcie w tym zakresie (uczestnicy projektów). Podmiotu, do którego odnosi się wskaźnik, w przypadku gdy nie spełnia definicji uczestnika projektu zgodnie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rozdziałem 3.3 Wytycznych w zakresie monitorowania postępu rzeczowego realizacji programów operacyjnych na lata 2014-2020, nie należy wykazywać w module Uczestnicy projektów w SL2014. </w:t>
            </w:r>
          </w:p>
          <w:p w14:paraId="5A6CD8D6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Podmiotami realizującymi projekty TIK mogą być m.in. MŚP, duże przedsiębiorstwa, administracja publiczna,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tym jednostki samorządu terytorialnego, NGO, jednostki naukowe, szkoły, które będą wykorzystywać TIK do usprawnienia swojego działania i do prowadzenia relacji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innymi podmiotami. </w:t>
            </w:r>
          </w:p>
          <w:p w14:paraId="1CC75EF0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 przypadku, gdy beneficjentem pozostaje jeden podmiot, we wskaź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niku należy ująć wartość „1”.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212E41" w:rsidRPr="004A2391" w14:paraId="24B88BBE" w14:textId="77777777" w:rsidTr="00905BB1">
        <w:trPr>
          <w:trHeight w:val="6161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30418A5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F3228F0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Style w:val="Odwoanieprzypisudolnego"/>
                <w:rFonts w:cs="Arial"/>
                <w:i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259657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A965DD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59A282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603BC2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 w:val="restart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8562FC2" w14:textId="77777777" w:rsidR="00212E41" w:rsidRPr="00A635F2" w:rsidRDefault="00212E41" w:rsidP="009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Liczba brutto nowych miejsc pracy we wspieranych przedsiębiorstwach w przeliczeniu na pełne etaty na podstawie umowy o pracę (nie dotyczy umów cywilnoprawnych). Zasadniczo wskaźnik "przed-po", który oddaje część wzrostu zatrudnienia będącą bezpośrednią konsekwencją realizacji projektu (pracownicy zatrudnieni do realizacji projektu nie są liczeni). Stanowiska muszą być wypełnione (wolne stanowiska nie są liczone) oraz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 xml:space="preserve">zwiększać całkowitą liczbę miejsc pracy </w:t>
            </w:r>
            <w:r>
              <w:rPr>
                <w:rFonts w:cs="Times New Roman"/>
                <w:sz w:val="24"/>
                <w:szCs w:val="24"/>
              </w:rPr>
              <w:br/>
              <w:t xml:space="preserve">w </w:t>
            </w:r>
            <w:r w:rsidRPr="00A635F2">
              <w:rPr>
                <w:rFonts w:cs="Times New Roman"/>
                <w:sz w:val="24"/>
                <w:szCs w:val="24"/>
              </w:rPr>
              <w:t xml:space="preserve">przedsiębiorstwie. Jeśli łączne zatrudnienie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 xml:space="preserve">w przedsiębiorstwie nie zwiększa się, wartość jest równa zero - to wskaźnik jest traktowany jako wyregulowanie,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a nie zwiększenie. Zagwarantowane itp. miejsca pracy nie są wliczone.</w:t>
            </w:r>
          </w:p>
          <w:p w14:paraId="1D730E87" w14:textId="77777777" w:rsidR="00212E41" w:rsidRPr="00A635F2" w:rsidRDefault="00212E41" w:rsidP="009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pacing w:val="-1"/>
                <w:sz w:val="24"/>
                <w:szCs w:val="24"/>
              </w:rPr>
              <w:t>Brutto: Nie licząc pochodzenia zatrudnionego dopóki bezpośrednio przyczynia się do wzrostu całkowitej liczby zatrudnionych w organizacji. Wskaźnik powinien być stosowany, jeśli wzrost zatrudnienia może być wiarygodnie przypisany do wsparcia.</w:t>
            </w:r>
          </w:p>
          <w:p w14:paraId="62011DFE" w14:textId="77777777" w:rsidR="00212E41" w:rsidRPr="00A635F2" w:rsidRDefault="00212E41" w:rsidP="009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Ekwiwalent pełnego czasu pracy: stanowiska mogą być pełnymi etatami, pracą w niepełnym wymiarze czasu pracy lub pracą sezonową. Sezonowe i niepełne etaty zostaną przeliczone na ekwiwalenty pełnego czasu pracy za pomocą standardów ILO/statystycznych/innych.</w:t>
            </w:r>
          </w:p>
          <w:p w14:paraId="5FE88804" w14:textId="77777777" w:rsidR="00212E41" w:rsidRPr="00A635F2" w:rsidRDefault="00212E41" w:rsidP="009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Trwałość: oczekuje się, że stanowiska będą stałe tj. będą trwały odpowiednio długo, w zależności od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>charakterystyki przemysłowo-technologicznej: prace sezonowe powinny być cykliczne. Dane liczbowe przedsiębiorstw, które zbankrutowały są zapisywane jako zerowy wzrost zatrudnienia.</w:t>
            </w:r>
          </w:p>
          <w:p w14:paraId="76B6ED1F" w14:textId="77777777" w:rsidR="00212E41" w:rsidRPr="00A635F2" w:rsidRDefault="00212E41" w:rsidP="009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 xml:space="preserve">Czas: Dane są zbierane przed rozpoczęciem projektu i po jego zakończeniu; Instytucje Zarządzające mają swobodę </w:t>
            </w:r>
            <w:r w:rsidRPr="00A635F2">
              <w:rPr>
                <w:rFonts w:cs="Times New Roman"/>
                <w:sz w:val="24"/>
                <w:szCs w:val="24"/>
              </w:rPr>
              <w:br/>
              <w:t xml:space="preserve">w określaniu dokładnego czasu. Preferowane jest stosowanie średniego zatrudnienia w oparciu o dane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z 6 miesięcy lub z roku, dla danych dotyczących zatrudnienia w określonych terminach.</w:t>
            </w:r>
          </w:p>
          <w:p w14:paraId="62B3BF23" w14:textId="77777777" w:rsidR="00212E41" w:rsidRPr="00A635F2" w:rsidRDefault="00212E41" w:rsidP="0011026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>Dla celów monitoringowych Beneficjent w opisie metodologii wskaźnika (w wierszu pod wskaźnikiem) powinien przedstawić dane dotyczące stanu zatrudnienia w przedsiębiorstwie przed rozpoczęciem realizacji projektu.</w:t>
            </w:r>
          </w:p>
        </w:tc>
      </w:tr>
      <w:tr w:rsidR="00212E41" w:rsidRPr="004A2391" w14:paraId="54A5C706" w14:textId="77777777" w:rsidTr="00905BB1">
        <w:trPr>
          <w:trHeight w:val="1543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6D5AC5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5a.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E40BDBF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 xml:space="preserve"> – kobiety 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4BC412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51D075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5AF135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8857A6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3B65349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12E41" w:rsidRPr="004A2391" w14:paraId="76020382" w14:textId="77777777" w:rsidTr="00905BB1">
        <w:tc>
          <w:tcPr>
            <w:tcW w:w="552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76D1112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4D8C45E2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 xml:space="preserve">Wzrost zatrudnienia we wspieranych przedsiębiorstwach 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>– mężczyźni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1961CFD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586F0B5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7124D0A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542242F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416FB866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12E41" w:rsidRPr="004A2391" w14:paraId="0EF49548" w14:textId="77777777" w:rsidTr="00905BB1">
        <w:trPr>
          <w:trHeight w:val="1692"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464D85FE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  <w:highlight w:val="red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271A2D2D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Wzrost zatrudnienia we wspieranych podmiotach (innych </w:t>
            </w:r>
            <w:r>
              <w:rPr>
                <w:i/>
                <w:sz w:val="24"/>
                <w:szCs w:val="24"/>
              </w:rPr>
              <w:t xml:space="preserve">niż </w:t>
            </w:r>
            <w:r w:rsidRPr="00A635F2">
              <w:rPr>
                <w:i/>
                <w:sz w:val="24"/>
                <w:szCs w:val="24"/>
              </w:rPr>
              <w:t>przedsiębiorstwa)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3243F143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738B6FFA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4753C57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73CAC1E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447D1DFF" w14:textId="77777777" w:rsidR="00212E41" w:rsidRPr="00A635F2" w:rsidRDefault="00212E41" w:rsidP="00905BB1">
            <w:pPr>
              <w:spacing w:before="80" w:after="80"/>
              <w:rPr>
                <w:color w:val="C00000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Należy stosować analogiczną definicję jak we wskaźniku „</w:t>
            </w:r>
            <w:r w:rsidRPr="00A635F2">
              <w:rPr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sz w:val="24"/>
                <w:szCs w:val="24"/>
              </w:rPr>
              <w:t xml:space="preserve">” w odniesieniu do podmiotów innych niż przedsiębiorstwa. </w:t>
            </w:r>
          </w:p>
        </w:tc>
      </w:tr>
      <w:tr w:rsidR="00212E41" w:rsidRPr="004A2391" w14:paraId="3C56FAB3" w14:textId="77777777" w:rsidTr="00905BB1">
        <w:trPr>
          <w:trHeight w:val="1747"/>
        </w:trPr>
        <w:tc>
          <w:tcPr>
            <w:tcW w:w="552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80FB63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6a.</w:t>
            </w:r>
          </w:p>
        </w:tc>
        <w:tc>
          <w:tcPr>
            <w:tcW w:w="2977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DCEF5C9" w14:textId="77777777" w:rsidR="00212E41" w:rsidRPr="00A635F2" w:rsidRDefault="00212E41" w:rsidP="00905B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14:paraId="37B7FFA1" w14:textId="77777777" w:rsidR="00212E41" w:rsidRPr="00A635F2" w:rsidRDefault="00212E41" w:rsidP="00905B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8D694A3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B110030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6411C8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AEF96B8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0475F57A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212E41" w:rsidRPr="004A2391" w14:paraId="03E58A0A" w14:textId="77777777" w:rsidTr="00905BB1">
        <w:trPr>
          <w:trHeight w:val="1706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FDC736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744101B" w14:textId="77777777" w:rsidR="00212E41" w:rsidRPr="00A635F2" w:rsidRDefault="00212E41" w:rsidP="00905B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14:paraId="092AC5FC" w14:textId="77777777" w:rsidR="00212E41" w:rsidRPr="00A635F2" w:rsidRDefault="00212E41" w:rsidP="00905B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8FA16DC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D4BC63F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F012DF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0B4C1BDE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01D5D8A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212E41" w:rsidRPr="004A2391" w14:paraId="7E71E592" w14:textId="77777777" w:rsidTr="00905BB1">
        <w:trPr>
          <w:trHeight w:val="1484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7ED4F6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60C85AC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970B87E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646280EA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1F88FFA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7B8287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5EF50B03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miejsc pracy, które zostały utrzymane w wyniku wsparcia, w ciągu pełnego roku kalendarzowego od zakończenia realizacji projektu,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a które byłyby zlikwidowane, gdyby tego wsparcia Beneficjent nie uzyskał. Etaty muszą być obsadzone (nieobsadzonych etatów się nie wlicza). Prace sezonowe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niepełnowymiarowe należy przeliczyć na ekwiwalent pełnego czasu pracy. </w:t>
            </w:r>
          </w:p>
          <w:p w14:paraId="79B44B40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Zatrudnienie w ekwiwalentach pełnego czasu pracy ustala się na podstawie proporcji czasu przepracowanego przez poszczególnych pracowników w ciągu roku sprawozdawczego w stosunku do pełnego czasu pracy obowiązującego w danej instytucji. </w:t>
            </w:r>
          </w:p>
          <w:p w14:paraId="14B7DC4D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 </w:t>
            </w:r>
          </w:p>
          <w:p w14:paraId="6C8B27CC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celu weryfikacji, czy utrzymano wymaganą liczbę nowych miejsc pracy, należy porównać poziom wyjściowy zatrudnienia (na moment złożenia wniosku aplikacyjnego), z poziomem zatrudnienia w okresie utrzymania nowych miejsc pracy.</w:t>
            </w:r>
          </w:p>
          <w:p w14:paraId="3182B54C" w14:textId="77777777" w:rsidR="00212E41" w:rsidRPr="00A635F2" w:rsidRDefault="00212E41" w:rsidP="00905BB1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212E41" w:rsidRPr="004A2391" w14:paraId="0B36A6DE" w14:textId="77777777" w:rsidTr="00905BB1">
        <w:trPr>
          <w:trHeight w:val="1185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280FE6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7a.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59ABE89E" w14:textId="77777777" w:rsidR="00212E41" w:rsidRPr="00A635F2" w:rsidRDefault="00212E41" w:rsidP="00905B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14:paraId="3307C858" w14:textId="77777777" w:rsidR="00212E41" w:rsidRPr="00A635F2" w:rsidRDefault="00212E41" w:rsidP="00905B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C9DB4B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592B3ED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6B161D2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A68A48D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2B7D9129" w14:textId="77777777" w:rsidR="00212E41" w:rsidRPr="00A635F2" w:rsidRDefault="00212E41" w:rsidP="00905B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212E41" w:rsidRPr="004A2391" w14:paraId="0D0FC472" w14:textId="77777777" w:rsidTr="00905BB1"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AAC456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7b.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DEE4C97" w14:textId="77777777" w:rsidR="00212E41" w:rsidRPr="00A635F2" w:rsidRDefault="00212E41" w:rsidP="00905B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14:paraId="49FD1918" w14:textId="77777777" w:rsidR="00212E41" w:rsidRPr="00A635F2" w:rsidRDefault="00212E41" w:rsidP="00905B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DB8783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8E8052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819C39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F705FD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65190CDF" w14:textId="77777777" w:rsidR="00212E41" w:rsidRPr="00A635F2" w:rsidRDefault="00212E41" w:rsidP="00905B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212E41" w:rsidRPr="004A2391" w14:paraId="34D38959" w14:textId="77777777" w:rsidTr="00B437A3">
        <w:trPr>
          <w:trHeight w:val="1932"/>
        </w:trPr>
        <w:tc>
          <w:tcPr>
            <w:tcW w:w="552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0EFFF7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0227441B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76C802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587DF2F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72DE326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513FDF3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1A627C46" w14:textId="77777777" w:rsidR="00212E41" w:rsidRPr="00A635F2" w:rsidRDefault="00212E41" w:rsidP="00905BB1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pracowników zatrudnionych bezpośrednio w efekcie realizacji projektu, pracujących </w:t>
            </w:r>
            <w:r w:rsidRPr="00A635F2">
              <w:rPr>
                <w:rFonts w:asciiTheme="minorHAnsi" w:hAnsiTheme="minorHAnsi"/>
                <w:b/>
                <w:bCs/>
              </w:rPr>
              <w:t xml:space="preserve">na podstawie umów cywilnoprawnych </w:t>
            </w:r>
            <w:r>
              <w:rPr>
                <w:rFonts w:asciiTheme="minorHAnsi" w:hAnsiTheme="minorHAnsi"/>
                <w:b/>
                <w:bCs/>
              </w:rPr>
              <w:br/>
            </w:r>
            <w:r w:rsidRPr="00A635F2">
              <w:rPr>
                <w:rFonts w:asciiTheme="minorHAnsi" w:hAnsiTheme="minorHAnsi"/>
              </w:rPr>
              <w:t xml:space="preserve">tj.: umów o dzieło, umów zlecenia </w:t>
            </w:r>
            <w:r w:rsidRPr="00A635F2">
              <w:rPr>
                <w:rFonts w:asciiTheme="minorHAnsi" w:hAnsiTheme="minorHAnsi"/>
                <w:b/>
                <w:bCs/>
              </w:rPr>
              <w:t xml:space="preserve">czy samozatrudnienia </w:t>
            </w:r>
            <w:r w:rsidRPr="00A635F2">
              <w:rPr>
                <w:rFonts w:asciiTheme="minorHAnsi" w:hAnsiTheme="minorHAnsi"/>
              </w:rPr>
              <w:t xml:space="preserve">– kontraktu, jak i pracujących </w:t>
            </w:r>
            <w:r w:rsidRPr="00A635F2">
              <w:rPr>
                <w:rFonts w:asciiTheme="minorHAnsi" w:hAnsiTheme="minorHAnsi"/>
                <w:b/>
                <w:bCs/>
              </w:rPr>
              <w:t>na podstawie umów o pracę na czas określony</w:t>
            </w:r>
            <w:r w:rsidRPr="00A635F2">
              <w:rPr>
                <w:rFonts w:asciiTheme="minorHAnsi" w:hAnsiTheme="minorHAnsi"/>
              </w:rPr>
              <w:t xml:space="preserve">, </w:t>
            </w:r>
            <w:r w:rsidRPr="00A635F2">
              <w:rPr>
                <w:rFonts w:asciiTheme="minorHAnsi" w:hAnsiTheme="minorHAnsi"/>
                <w:b/>
                <w:bCs/>
              </w:rPr>
              <w:t xml:space="preserve">zarówno w przedsiębiorstwach </w:t>
            </w:r>
            <w:r w:rsidRPr="00A635F2">
              <w:rPr>
                <w:rFonts w:asciiTheme="minorHAnsi" w:hAnsiTheme="minorHAnsi"/>
              </w:rPr>
              <w:t xml:space="preserve">jak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pozostałych </w:t>
            </w:r>
            <w:r w:rsidRPr="00A635F2">
              <w:rPr>
                <w:rFonts w:asciiTheme="minorHAnsi" w:hAnsiTheme="minorHAnsi"/>
                <w:b/>
                <w:bCs/>
              </w:rPr>
              <w:t>podmiotach niebędących przedsiębiorstwami</w:t>
            </w:r>
            <w:r w:rsidRPr="00A635F2">
              <w:rPr>
                <w:rFonts w:asciiTheme="minorHAnsi" w:hAnsiTheme="minorHAnsi"/>
              </w:rPr>
              <w:t xml:space="preserve">. </w:t>
            </w:r>
          </w:p>
          <w:p w14:paraId="4F464D9D" w14:textId="77777777" w:rsidR="00212E41" w:rsidRPr="00A635F2" w:rsidRDefault="00212E41" w:rsidP="00905BB1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14:paraId="571C651D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</w:t>
            </w:r>
          </w:p>
          <w:p w14:paraId="775FE4A5" w14:textId="77777777" w:rsidR="00212E41" w:rsidRPr="00A635F2" w:rsidRDefault="00212E41" w:rsidP="00905B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212E41" w:rsidRPr="004A2391" w14:paraId="2B917C1E" w14:textId="77777777" w:rsidTr="00B437A3">
        <w:trPr>
          <w:trHeight w:val="1805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248FB7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8a.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4E3DFCB" w14:textId="77777777" w:rsidR="00212E41" w:rsidRPr="00A635F2" w:rsidRDefault="00212E41" w:rsidP="00905B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14:paraId="250D473D" w14:textId="77777777" w:rsidR="00212E41" w:rsidRPr="00A635F2" w:rsidRDefault="00212E41" w:rsidP="00905B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972B67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0CFD69E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06932E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ED1C685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40B99B8E" w14:textId="77777777" w:rsidR="00212E41" w:rsidRPr="00A635F2" w:rsidRDefault="00212E41" w:rsidP="00905B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212E41" w:rsidRPr="004A2391" w14:paraId="14428C11" w14:textId="77777777" w:rsidTr="00B437A3">
        <w:trPr>
          <w:trHeight w:val="3521"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0753431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8b.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2041D267" w14:textId="77777777" w:rsidR="00212E41" w:rsidRPr="00A635F2" w:rsidRDefault="00212E41" w:rsidP="00905B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14:paraId="1831755D" w14:textId="77777777" w:rsidR="00212E41" w:rsidRPr="00A635F2" w:rsidRDefault="00212E41" w:rsidP="00905B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C70304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6F7DB5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5DA5AAF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79D695A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2CDF7970" w14:textId="77777777" w:rsidR="00212E41" w:rsidRPr="00A635F2" w:rsidRDefault="00212E41" w:rsidP="00905B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212E41" w:rsidRPr="00212E41" w14:paraId="309FE79A" w14:textId="77777777" w:rsidTr="00905BB1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 w:themeFill="background1" w:themeFillShade="D9"/>
            <w:vAlign w:val="center"/>
          </w:tcPr>
          <w:p w14:paraId="58041B80" w14:textId="77777777" w:rsidR="00212E41" w:rsidRPr="00212E41" w:rsidRDefault="00212E41" w:rsidP="00905BB1">
            <w:pPr>
              <w:spacing w:before="80" w:after="80"/>
              <w:rPr>
                <w:b/>
                <w:i/>
                <w:color w:val="FF0000"/>
                <w:sz w:val="28"/>
                <w:szCs w:val="24"/>
              </w:rPr>
            </w:pPr>
            <w:r w:rsidRPr="00212E41">
              <w:rPr>
                <w:i/>
                <w:color w:val="000099"/>
                <w:sz w:val="28"/>
                <w:szCs w:val="24"/>
              </w:rPr>
              <w:t xml:space="preserve">Oś priorytetowa III </w:t>
            </w:r>
            <w:r w:rsidRPr="00212E41">
              <w:rPr>
                <w:b/>
                <w:i/>
                <w:color w:val="000099"/>
                <w:sz w:val="28"/>
                <w:szCs w:val="24"/>
              </w:rPr>
              <w:t>Gospodarka niskoemisyjna</w:t>
            </w:r>
          </w:p>
        </w:tc>
      </w:tr>
      <w:tr w:rsidR="00212E41" w:rsidRPr="00212E41" w14:paraId="5BE89D74" w14:textId="77777777" w:rsidTr="00905BB1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14:paraId="0184BA38" w14:textId="77777777" w:rsidR="00212E41" w:rsidRPr="00212E41" w:rsidRDefault="00212E41" w:rsidP="00212E41">
            <w:pPr>
              <w:spacing w:before="80" w:after="80"/>
              <w:rPr>
                <w:i/>
                <w:color w:val="000099"/>
                <w:sz w:val="28"/>
                <w:szCs w:val="24"/>
              </w:rPr>
            </w:pPr>
            <w:r w:rsidRPr="00212E41">
              <w:rPr>
                <w:i/>
                <w:color w:val="000099"/>
                <w:sz w:val="28"/>
                <w:szCs w:val="24"/>
              </w:rPr>
              <w:t xml:space="preserve">Poddziałanie 3.2.2  </w:t>
            </w:r>
            <w:r w:rsidRPr="00212E41">
              <w:rPr>
                <w:rFonts w:cs="Arial"/>
                <w:b/>
                <w:i/>
                <w:color w:val="000099"/>
                <w:sz w:val="28"/>
                <w:szCs w:val="24"/>
              </w:rPr>
              <w:t>Efektywność energetyczna w budynkach publicznych Aglomeracji Opolskiej</w:t>
            </w:r>
          </w:p>
        </w:tc>
      </w:tr>
      <w:tr w:rsidR="00212E41" w:rsidRPr="004A2391" w14:paraId="2A923530" w14:textId="77777777" w:rsidTr="00905BB1">
        <w:tc>
          <w:tcPr>
            <w:tcW w:w="552" w:type="dxa"/>
            <w:tcBorders>
              <w:top w:val="single" w:sz="12" w:space="0" w:color="33CC33"/>
            </w:tcBorders>
            <w:vAlign w:val="center"/>
          </w:tcPr>
          <w:p w14:paraId="05ED644E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vAlign w:val="center"/>
          </w:tcPr>
          <w:p w14:paraId="7F2DB842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zmodernizowanych energetycznie budynków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1802B776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3B44EA88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14:paraId="5DE633E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63611BB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z ram wykonania</w:t>
            </w:r>
          </w:p>
        </w:tc>
        <w:tc>
          <w:tcPr>
            <w:tcW w:w="5954" w:type="dxa"/>
            <w:tcBorders>
              <w:top w:val="single" w:sz="12" w:space="0" w:color="33CC33"/>
            </w:tcBorders>
            <w:vAlign w:val="center"/>
          </w:tcPr>
          <w:p w14:paraId="1F717202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mierzy liczbę zmodernizowanych energetycznie budynków w wyniku realizacji projektu.</w:t>
            </w:r>
          </w:p>
          <w:p w14:paraId="5E2F7C7C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Modernizacja – obejmuje przebudowę, remont oraz rozbudowę budynków w celu dokonania modernizacji urządzeń energetycznych.</w:t>
            </w:r>
          </w:p>
          <w:p w14:paraId="5EC77F01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Przebudowa – wykonywanie robót budowlanych, </w:t>
            </w:r>
            <w:r w:rsidRPr="00A635F2">
              <w:rPr>
                <w:sz w:val="24"/>
                <w:szCs w:val="24"/>
              </w:rPr>
              <w:br/>
              <w:t xml:space="preserve">w wyniku których następuje zmiana parametrów użytkowych lub technicznych istniejącego obiektu budowlanego, z wyjątkiem charakterystycznych parametrów, jak: kubatura, powierzchnia zabudowy, wysokość, długość, szerokość bądź liczba kondygnacji. </w:t>
            </w:r>
          </w:p>
          <w:p w14:paraId="26604107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Remont – wykonywanie w istniejącym obiekcie budowlanym robót budowlanych polegających na odtworzeniu stanu pierwotnego, a niestanowiących bieżącej konserwacji, przy czym dopuszcza się stosowanie wyrobów budowlanych innych niż użyto w stanie pierwotnym. </w:t>
            </w:r>
          </w:p>
          <w:p w14:paraId="55AB6017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Rozbudowa – w budownictwie rodzaj budowy, w wyniku którego powstaje nowa część istniejącego już obiektu budowlanego.</w:t>
            </w:r>
          </w:p>
        </w:tc>
      </w:tr>
      <w:tr w:rsidR="00212E41" w:rsidRPr="004A2391" w14:paraId="6E4C9A14" w14:textId="77777777" w:rsidTr="00905BB1">
        <w:tc>
          <w:tcPr>
            <w:tcW w:w="552" w:type="dxa"/>
            <w:vAlign w:val="center"/>
          </w:tcPr>
          <w:p w14:paraId="460F3C5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5189CD03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wybudowanych jednostek wytwarzania energii elektrycznej z OZE</w:t>
            </w:r>
          </w:p>
        </w:tc>
        <w:tc>
          <w:tcPr>
            <w:tcW w:w="1276" w:type="dxa"/>
            <w:vAlign w:val="center"/>
          </w:tcPr>
          <w:p w14:paraId="2E8AC0E9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1C1775CD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4B0EF41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17B60BAA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3DEA4A48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Jednostka wytwarzania energii elektrycznej obejmuje:</w:t>
            </w:r>
          </w:p>
          <w:p w14:paraId="6030779B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wyprowadzania mocy, opisany poprzez dane techniczne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handlowe, w przypadku budynków mieszkalnych </w:t>
            </w:r>
            <w:r w:rsidRPr="00A635F2">
              <w:rPr>
                <w:sz w:val="24"/>
                <w:szCs w:val="24"/>
              </w:rPr>
              <w:br/>
              <w:t>i budynków użyteczności publicznej: zespół urządzeń służących do wytwarzania energii elektrycznej z OZE.</w:t>
            </w:r>
          </w:p>
          <w:p w14:paraId="3E697224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10 kwietnia 1997 r. Prawo energetyczne) – źródło wykorzystujące w procesie przetwarzania energię wiatru, promieniowania słonecznego, aerotermalną,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</w:t>
            </w:r>
            <w:r w:rsidRPr="00A635F2">
              <w:rPr>
                <w:i/>
                <w:sz w:val="24"/>
                <w:szCs w:val="24"/>
              </w:rPr>
              <w:br/>
              <w:t>i zwierzęcych.</w:t>
            </w:r>
          </w:p>
        </w:tc>
      </w:tr>
      <w:tr w:rsidR="00212E41" w:rsidRPr="004A2391" w14:paraId="553CCD02" w14:textId="77777777" w:rsidTr="00905BB1">
        <w:tc>
          <w:tcPr>
            <w:tcW w:w="552" w:type="dxa"/>
            <w:vAlign w:val="center"/>
          </w:tcPr>
          <w:p w14:paraId="0BBFEAA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5C99C608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przebudowanych jednostek wytwarzania energii elektrycznej z OZE</w:t>
            </w:r>
          </w:p>
        </w:tc>
        <w:tc>
          <w:tcPr>
            <w:tcW w:w="1276" w:type="dxa"/>
            <w:vAlign w:val="center"/>
          </w:tcPr>
          <w:p w14:paraId="124F180C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7F5A307D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42032B1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0E98D89E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18BACEE9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Jednostka wytwarzania energii elektrycznej obejmuje:</w:t>
            </w:r>
          </w:p>
          <w:p w14:paraId="51A08C3F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wyprowadzania mocy, opisany poprzez dane techniczne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handlowe, w przypadku budynków mieszkalnych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>i budynków użyteczności publicznej: zespół urządzeń służących do wytwarzania energii elektrycznej z OZE.</w:t>
            </w:r>
          </w:p>
          <w:p w14:paraId="1731314B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</w:t>
            </w:r>
            <w:r>
              <w:rPr>
                <w:i/>
                <w:sz w:val="24"/>
                <w:szCs w:val="24"/>
              </w:rPr>
              <w:br/>
            </w:r>
            <w:r w:rsidRPr="00A635F2">
              <w:rPr>
                <w:i/>
                <w:sz w:val="24"/>
                <w:szCs w:val="24"/>
              </w:rPr>
              <w:t>10 kwietnia 1997 r. Prawo energetyczne) – źródło wykorzystujące w procesie przetwarzania energię wiatru, promieniowania słonecznego, aerotermalną,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212E41" w:rsidRPr="004A2391" w14:paraId="51360EFA" w14:textId="77777777" w:rsidTr="00905BB1">
        <w:tc>
          <w:tcPr>
            <w:tcW w:w="552" w:type="dxa"/>
            <w:vAlign w:val="center"/>
          </w:tcPr>
          <w:p w14:paraId="1891998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24BA79D3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wybudowanych jednostek wytwarzania energii cieplnej z OZE</w:t>
            </w:r>
          </w:p>
        </w:tc>
        <w:tc>
          <w:tcPr>
            <w:tcW w:w="1276" w:type="dxa"/>
            <w:vAlign w:val="center"/>
          </w:tcPr>
          <w:p w14:paraId="20E06194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5B0C4102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0026C63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6A8DFED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6475A0E5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Jednostka wytwarzania energii cieplnej obejmuje: </w:t>
            </w:r>
          </w:p>
          <w:p w14:paraId="0FAA5AEB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wyprowadzania mocy, opisany poprzez dane techniczne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handlowe, w przypadku budynków mieszkalnych </w:t>
            </w:r>
            <w:r w:rsidRPr="00A635F2">
              <w:rPr>
                <w:sz w:val="24"/>
                <w:szCs w:val="24"/>
              </w:rPr>
              <w:br/>
              <w:t>i budynków użyteczności publicznej: zespół urządzeń służących do wytwarzania energii cieplnej z OZE.</w:t>
            </w:r>
          </w:p>
          <w:p w14:paraId="156EA82A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</w:t>
            </w:r>
            <w:r>
              <w:rPr>
                <w:i/>
                <w:sz w:val="24"/>
                <w:szCs w:val="24"/>
              </w:rPr>
              <w:br/>
            </w:r>
            <w:r w:rsidRPr="00A635F2">
              <w:rPr>
                <w:i/>
                <w:sz w:val="24"/>
                <w:szCs w:val="24"/>
              </w:rPr>
              <w:t>10 kwietnia 1997 r. Prawo energetyczne) – źródło wykorzystujące w procesie przetwarzania energię wiatru, promieniowania słonecznego, aerotermalną,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212E41" w:rsidRPr="004A2391" w14:paraId="2FE0C09F" w14:textId="77777777" w:rsidTr="00905BB1">
        <w:tc>
          <w:tcPr>
            <w:tcW w:w="552" w:type="dxa"/>
            <w:vAlign w:val="center"/>
          </w:tcPr>
          <w:p w14:paraId="21E95DB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10BE2276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przebudowanych jednostek wytwarzania energii cieplnej z OZE</w:t>
            </w:r>
          </w:p>
        </w:tc>
        <w:tc>
          <w:tcPr>
            <w:tcW w:w="1276" w:type="dxa"/>
            <w:vAlign w:val="center"/>
          </w:tcPr>
          <w:p w14:paraId="693CB393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58C1FCC5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250B00C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3229019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6A2F0C5E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Jednostka wytwarzania energii elektrycznej obejmuje:</w:t>
            </w:r>
          </w:p>
          <w:p w14:paraId="29FA5E6C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wyprowadzania mocy, opisany poprzez dane techniczne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handlowe, w przypadku budynków mieszkalnych </w:t>
            </w:r>
            <w:r w:rsidRPr="00A635F2">
              <w:rPr>
                <w:sz w:val="24"/>
                <w:szCs w:val="24"/>
              </w:rPr>
              <w:br/>
              <w:t>i budynków użyteczności publicznej: zespół urządzeń służących do wytwarzania energii cieplnej z OZE.</w:t>
            </w:r>
          </w:p>
          <w:p w14:paraId="05051AC6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</w:t>
            </w:r>
            <w:r>
              <w:rPr>
                <w:i/>
                <w:sz w:val="24"/>
                <w:szCs w:val="24"/>
              </w:rPr>
              <w:br/>
            </w:r>
            <w:r w:rsidRPr="00A635F2">
              <w:rPr>
                <w:i/>
                <w:sz w:val="24"/>
                <w:szCs w:val="24"/>
              </w:rPr>
              <w:t>10 kwietnia 1997 r. Prawo energetyczne) – źródło wykorzystujące w procesie przetwarzania energię wiatru, promieniowania słonecznego, aerotermalną,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212E41" w:rsidRPr="004A2391" w14:paraId="6A525147" w14:textId="77777777" w:rsidTr="00905BB1">
        <w:tc>
          <w:tcPr>
            <w:tcW w:w="552" w:type="dxa"/>
            <w:vAlign w:val="center"/>
          </w:tcPr>
          <w:p w14:paraId="5C4A716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14:paraId="2EEE1806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Dodatkowa zdolność wytwarzania energii elektrycznej ze źródeł odnawialnych</w:t>
            </w:r>
          </w:p>
        </w:tc>
        <w:tc>
          <w:tcPr>
            <w:tcW w:w="1276" w:type="dxa"/>
            <w:vAlign w:val="center"/>
          </w:tcPr>
          <w:p w14:paraId="7F1C6535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MWe</w:t>
            </w:r>
          </w:p>
        </w:tc>
        <w:tc>
          <w:tcPr>
            <w:tcW w:w="1276" w:type="dxa"/>
            <w:vAlign w:val="center"/>
          </w:tcPr>
          <w:p w14:paraId="7F63A9F2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2D7BA75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7BCEB8B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44926DEC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Wzrost zdolności produkcyjnych energii urządzeń wykorzystują</w:t>
            </w:r>
            <w:r>
              <w:rPr>
                <w:sz w:val="24"/>
                <w:szCs w:val="24"/>
              </w:rPr>
              <w:t xml:space="preserve">cych odnawialne źródła energii, </w:t>
            </w:r>
            <w:r w:rsidRPr="00A635F2">
              <w:rPr>
                <w:sz w:val="24"/>
                <w:szCs w:val="24"/>
              </w:rPr>
              <w:t>zbudowanych / wyposażonych w ramach projektu. Obejmuje energię elektryczną i cieplną.</w:t>
            </w:r>
          </w:p>
          <w:p w14:paraId="408FDE5C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Odnawialne źródło energii: Wszelkie źródło energii, która nie jest paliwem kopalnym i jądrowym.</w:t>
            </w:r>
            <w:r>
              <w:rPr>
                <w:sz w:val="24"/>
                <w:szCs w:val="24"/>
              </w:rPr>
              <w:t xml:space="preserve"> Patrz </w:t>
            </w:r>
            <w:r w:rsidRPr="00A635F2">
              <w:rPr>
                <w:sz w:val="24"/>
                <w:szCs w:val="24"/>
              </w:rPr>
              <w:t>rozporządzenie 2009/28, art. 2(a).</w:t>
            </w:r>
          </w:p>
        </w:tc>
      </w:tr>
      <w:tr w:rsidR="00212E41" w:rsidRPr="004A2391" w14:paraId="73CB5942" w14:textId="77777777" w:rsidTr="00905BB1">
        <w:tc>
          <w:tcPr>
            <w:tcW w:w="552" w:type="dxa"/>
            <w:vAlign w:val="center"/>
          </w:tcPr>
          <w:p w14:paraId="7304F32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14:paraId="1FF1CBC8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Dodatkowa zdolność wytwarzania energii cieplnej ze źródeł odnawialnych</w:t>
            </w:r>
          </w:p>
        </w:tc>
        <w:tc>
          <w:tcPr>
            <w:tcW w:w="1276" w:type="dxa"/>
            <w:vAlign w:val="center"/>
          </w:tcPr>
          <w:p w14:paraId="1A23879B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MWt</w:t>
            </w:r>
          </w:p>
        </w:tc>
        <w:tc>
          <w:tcPr>
            <w:tcW w:w="1276" w:type="dxa"/>
            <w:vAlign w:val="center"/>
          </w:tcPr>
          <w:p w14:paraId="601617E1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4A9EF305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4EDDF05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335923AD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Wzrost zdolności produkcyjnych energii urządzeń wykorzystujących odnawialne źródła energii, zbudowanych / wyposażonych w ramach projektu. Obejmuje energię elektryczną i cieplną.</w:t>
            </w:r>
          </w:p>
          <w:p w14:paraId="7DBA6BED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Odnawialne źródło energii: Wszelkie źródło energii, która nie jest paliwem kopalnym i jądrowym. Patrz rozporządzenie 2009/28, art. 2(a).</w:t>
            </w:r>
          </w:p>
        </w:tc>
      </w:tr>
      <w:tr w:rsidR="00212E41" w:rsidRPr="004A2391" w14:paraId="06A92987" w14:textId="77777777" w:rsidTr="00905BB1">
        <w:tc>
          <w:tcPr>
            <w:tcW w:w="552" w:type="dxa"/>
            <w:vAlign w:val="center"/>
          </w:tcPr>
          <w:p w14:paraId="5B2C240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14:paraId="476FCFED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Powierzchnia użytkowa budynków poddanych termomodernizacji</w:t>
            </w:r>
          </w:p>
        </w:tc>
        <w:tc>
          <w:tcPr>
            <w:tcW w:w="1276" w:type="dxa"/>
            <w:vAlign w:val="center"/>
          </w:tcPr>
          <w:p w14:paraId="2788A2B2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</w:t>
            </w:r>
            <w:r w:rsidRPr="00A635F2">
              <w:rPr>
                <w:rFonts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3FD65A36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1D4F916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1089D05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120A9517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Ilość m2 powierzchni użytkowej poddanej termomodernizacji, gdzie termomodernizacja definiowana jest jako przedsięwzięcia służące poprawie efektywności energetycznej, zgodnie z zapisami:</w:t>
            </w:r>
          </w:p>
          <w:p w14:paraId="3B065405" w14:textId="77777777" w:rsidR="00212E41" w:rsidRPr="00A635F2" w:rsidRDefault="00212E41" w:rsidP="00905BB1">
            <w:pPr>
              <w:numPr>
                <w:ilvl w:val="0"/>
                <w:numId w:val="10"/>
              </w:numPr>
              <w:spacing w:before="60" w:after="60"/>
              <w:ind w:left="317" w:hanging="218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Ustawy z dnia 15 kwietnia 2011 r. o efektywności energetycznej;</w:t>
            </w:r>
          </w:p>
          <w:p w14:paraId="7CD21449" w14:textId="77777777" w:rsidR="00212E41" w:rsidRPr="00A635F2" w:rsidRDefault="00212E41" w:rsidP="00905BB1">
            <w:pPr>
              <w:numPr>
                <w:ilvl w:val="0"/>
                <w:numId w:val="10"/>
              </w:numPr>
              <w:spacing w:before="60" w:after="60"/>
              <w:ind w:left="317" w:hanging="218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Obwieszczenia Ministra Gospodarki z dnia 21 grudnia 2012 r. </w:t>
            </w:r>
            <w:r w:rsidRPr="00A635F2">
              <w:rPr>
                <w:sz w:val="24"/>
                <w:szCs w:val="24"/>
              </w:rPr>
              <w:br/>
              <w:t>w sprawie szczegółowego wykazu przedsięwzięć służących poprawie efektywności energetycznej;</w:t>
            </w:r>
          </w:p>
          <w:p w14:paraId="226137DF" w14:textId="77777777" w:rsidR="00212E41" w:rsidRPr="00A635F2" w:rsidRDefault="00212E41" w:rsidP="00905BB1">
            <w:pPr>
              <w:numPr>
                <w:ilvl w:val="0"/>
                <w:numId w:val="10"/>
              </w:numPr>
              <w:spacing w:before="60" w:after="60"/>
              <w:ind w:left="317" w:hanging="218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Ustawy z dnia 21 listopada 2008 r. o wspieraniu termomodernizacji i remontów.</w:t>
            </w:r>
          </w:p>
        </w:tc>
      </w:tr>
      <w:tr w:rsidR="00212E41" w:rsidRPr="004A2391" w14:paraId="5AB3AC30" w14:textId="77777777" w:rsidTr="00905BB1">
        <w:tc>
          <w:tcPr>
            <w:tcW w:w="552" w:type="dxa"/>
            <w:vAlign w:val="center"/>
          </w:tcPr>
          <w:p w14:paraId="22AAC66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14:paraId="0C8A5DA0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zmodernizowanych źródeł ciepła</w:t>
            </w:r>
          </w:p>
        </w:tc>
        <w:tc>
          <w:tcPr>
            <w:tcW w:w="1276" w:type="dxa"/>
            <w:vAlign w:val="center"/>
          </w:tcPr>
          <w:p w14:paraId="33366E6F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4A3771B7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4C1247B5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7455B68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17476535" w14:textId="77777777" w:rsidR="00212E41" w:rsidRPr="00A635F2" w:rsidRDefault="00212E41" w:rsidP="00905BB1">
            <w:pPr>
              <w:spacing w:before="40" w:after="40"/>
              <w:rPr>
                <w:i/>
                <w:color w:val="000000" w:themeColor="text1"/>
                <w:sz w:val="24"/>
                <w:szCs w:val="24"/>
              </w:rPr>
            </w:pPr>
            <w:r w:rsidRPr="00A635F2">
              <w:rPr>
                <w:color w:val="000000" w:themeColor="text1"/>
                <w:sz w:val="24"/>
                <w:szCs w:val="24"/>
              </w:rPr>
              <w:t>Liczba wymienionych lub zmodernizowanych źródeł ciepła, gdzie źródła ciepła rozumiane są jako zespół urządzeń lub instalacji służących do wytwarzania ciepła.</w:t>
            </w:r>
          </w:p>
          <w:p w14:paraId="29025CED" w14:textId="77777777" w:rsidR="00212E41" w:rsidRPr="00A635F2" w:rsidRDefault="00212E41" w:rsidP="00905BB1">
            <w:pPr>
              <w:spacing w:before="40" w:after="40"/>
              <w:rPr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212E41" w:rsidRPr="004A2391" w14:paraId="6B8FBE34" w14:textId="77777777" w:rsidTr="00905BB1">
        <w:tc>
          <w:tcPr>
            <w:tcW w:w="552" w:type="dxa"/>
            <w:vAlign w:val="center"/>
          </w:tcPr>
          <w:p w14:paraId="39E1A13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14:paraId="1FF213B8" w14:textId="77777777" w:rsidR="00212E41" w:rsidRPr="00A635F2" w:rsidRDefault="00212E41" w:rsidP="00905BB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Udział projektu w odniesieniu do obszaru objętego programem rewitalizacji</w:t>
            </w:r>
          </w:p>
        </w:tc>
        <w:tc>
          <w:tcPr>
            <w:tcW w:w="1276" w:type="dxa"/>
            <w:vAlign w:val="center"/>
          </w:tcPr>
          <w:p w14:paraId="24EB4CCB" w14:textId="77777777" w:rsidR="00212E41" w:rsidRPr="00A635F2" w:rsidRDefault="00212E41" w:rsidP="00905BB1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71EDBE2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48A4665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59335E">
              <w:rPr>
                <w:szCs w:val="24"/>
              </w:rPr>
              <w:t>specyficzny</w:t>
            </w:r>
          </w:p>
        </w:tc>
        <w:tc>
          <w:tcPr>
            <w:tcW w:w="1276" w:type="dxa"/>
            <w:vAlign w:val="center"/>
          </w:tcPr>
          <w:p w14:paraId="65F6C37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46B4837E" w14:textId="77777777" w:rsidR="00212E41" w:rsidRPr="00A635F2" w:rsidRDefault="00212E41" w:rsidP="00905BB1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obrazuje w jakim stopniu (%) projekt dotyczy części rewitalizacyjnej projektu. J</w:t>
            </w:r>
            <w:r>
              <w:rPr>
                <w:sz w:val="24"/>
                <w:szCs w:val="24"/>
              </w:rPr>
              <w:t xml:space="preserve">eżeli projekt w całości wynika </w:t>
            </w:r>
            <w:r w:rsidRPr="00A635F2">
              <w:rPr>
                <w:sz w:val="24"/>
                <w:szCs w:val="24"/>
              </w:rPr>
              <w:t>z programu rewitalizacji lub ma zasięg horyzontalny, ale w całości sprofilowany jest na obszary objęte rewitalizacją to wartość wskaźnika będzie wynosiła 100%.</w:t>
            </w:r>
          </w:p>
          <w:p w14:paraId="16255084" w14:textId="77777777" w:rsidR="00212E41" w:rsidRPr="00A635F2" w:rsidRDefault="00212E41" w:rsidP="00905BB1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projektów, które dotyczą obszarów objętych programami rewitalizacyjnymi tylko w części (np. projekty o szerszym charakterze takie jak projekty „miękkie” nakierowane na specyficzne grupy odbiorców efektów tych projektów), udział projektu w odniesieniu do obszaru programu rewitalizacji należy oszacować proporcjonalnie do wydatków planowanych do poniesienia/ lub poniesionych na tym obszarze.</w:t>
            </w:r>
          </w:p>
          <w:p w14:paraId="308EA654" w14:textId="77777777" w:rsidR="00212E41" w:rsidRPr="00A635F2" w:rsidRDefault="00212E41" w:rsidP="00905BB1">
            <w:pPr>
              <w:autoSpaceDE w:val="0"/>
              <w:autoSpaceDN w:val="0"/>
              <w:adjustRightInd w:val="0"/>
              <w:spacing w:before="80" w:after="40"/>
              <w:rPr>
                <w:rFonts w:cs="Times New Roman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Definicja programu rewitalizacji zgodnie z </w:t>
            </w:r>
            <w:r w:rsidRPr="00A635F2">
              <w:rPr>
                <w:i/>
                <w:sz w:val="24"/>
                <w:szCs w:val="24"/>
              </w:rPr>
              <w:t xml:space="preserve">Wytycznymi </w:t>
            </w:r>
            <w:r>
              <w:rPr>
                <w:i/>
                <w:sz w:val="24"/>
                <w:szCs w:val="24"/>
              </w:rPr>
              <w:br/>
            </w:r>
            <w:r w:rsidRPr="00A635F2">
              <w:rPr>
                <w:i/>
                <w:sz w:val="24"/>
                <w:szCs w:val="24"/>
              </w:rPr>
              <w:t>w zakresie rewitalizacji w programach operacyjnych na lata 2014-2020</w:t>
            </w:r>
            <w:r w:rsidRPr="00A635F2">
              <w:rPr>
                <w:sz w:val="24"/>
                <w:szCs w:val="24"/>
              </w:rPr>
              <w:t>.</w:t>
            </w:r>
          </w:p>
        </w:tc>
      </w:tr>
      <w:tr w:rsidR="00212E41" w:rsidRPr="004A2391" w14:paraId="680C200C" w14:textId="77777777" w:rsidTr="00905BB1">
        <w:tc>
          <w:tcPr>
            <w:tcW w:w="552" w:type="dxa"/>
            <w:vAlign w:val="center"/>
          </w:tcPr>
          <w:p w14:paraId="0480BAFE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14:paraId="59925D8A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Zmniejszenie rocznego zużycia energii pierwotnej w budynkach publicznych</w:t>
            </w:r>
          </w:p>
        </w:tc>
        <w:tc>
          <w:tcPr>
            <w:tcW w:w="1276" w:type="dxa"/>
            <w:vAlign w:val="center"/>
          </w:tcPr>
          <w:p w14:paraId="5F1B6AF8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kWh/rok</w:t>
            </w:r>
          </w:p>
        </w:tc>
        <w:tc>
          <w:tcPr>
            <w:tcW w:w="1276" w:type="dxa"/>
            <w:vAlign w:val="center"/>
          </w:tcPr>
          <w:p w14:paraId="39E3A541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6D477D6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6AA40ED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Align w:val="center"/>
          </w:tcPr>
          <w:p w14:paraId="32D9861A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Obliczenia są oparte na świadectwie energetycznym budynków (patrz Art.12.1.b Dyrektywy 2010/31/UE). Zgodnie z wytycznymi określonymi w dyrektywie, wskaźnik musi dotyczyć wszystkich budynków publicznych powyżej 500m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całkowitej powierzchni użytkowej, które zostały zrekonstruowane z wykorzystaniem wsparcia z funduszy strukturalnych. Jeśli budowa rozpocznie się po 9 lipca 2015 r., to wartość progowa dla budynków publicznych spada do 250m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całkowitej powierzchni użytkowej. Instytucja Zarządzająca może włączyć do obliczeń budynki o powierzchni mniejszej niż 250m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(lub 500m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przed 9/7/2015).</w:t>
            </w:r>
          </w:p>
          <w:p w14:paraId="5DFA57EE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Wartość będzie obliczana ze świadectw energetycznych wydanych przed i po przebudowie. Wskaźnik pokaże całkowitą redukcję rocznego  zużycia, a nie sumę wielkości zaoszczędzonych (niezużytych).</w:t>
            </w:r>
          </w:p>
        </w:tc>
      </w:tr>
      <w:tr w:rsidR="00212E41" w:rsidRPr="004A2391" w14:paraId="340BB27B" w14:textId="77777777" w:rsidTr="00905BB1">
        <w:tc>
          <w:tcPr>
            <w:tcW w:w="552" w:type="dxa"/>
            <w:vAlign w:val="center"/>
          </w:tcPr>
          <w:p w14:paraId="34365D5A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14:paraId="24A81C3D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Szacowany roczny spadek emisji gazów cieplarnianych</w:t>
            </w:r>
          </w:p>
        </w:tc>
        <w:tc>
          <w:tcPr>
            <w:tcW w:w="1276" w:type="dxa"/>
            <w:vAlign w:val="center"/>
          </w:tcPr>
          <w:p w14:paraId="60502221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59335E">
              <w:rPr>
                <w:rFonts w:eastAsia="Times New Roman" w:cs="Arial"/>
                <w:szCs w:val="24"/>
              </w:rPr>
              <w:t>tony równowa</w:t>
            </w:r>
            <w:r>
              <w:rPr>
                <w:rFonts w:eastAsia="Times New Roman" w:cs="Arial"/>
                <w:szCs w:val="24"/>
              </w:rPr>
              <w:t>-</w:t>
            </w:r>
            <w:r w:rsidRPr="0059335E">
              <w:rPr>
                <w:rFonts w:eastAsia="Times New Roman" w:cs="Arial"/>
                <w:szCs w:val="24"/>
              </w:rPr>
              <w:t>żnika CO</w:t>
            </w:r>
            <w:r w:rsidRPr="0059335E">
              <w:rPr>
                <w:rFonts w:eastAsia="Times New Roman" w:cs="Arial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14:paraId="7D3A413F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3EE6185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1C41285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Align w:val="center"/>
          </w:tcPr>
          <w:p w14:paraId="0AB442F5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ten jest obliczany dla interwencji bezpośrednio zmierzających do zwiększenia produkcji energii ze źródeł odnawialnych lub zmierzających do zmniejszenia zużycia energii poprzez oszczędność energii, a tym samym jego stosowanie jest obowiązkowe tylko w przypadku gdy wskaźniki te są istotne. Zastosowania do innych interwencji z ewentualnym wpływem emisji gazów cieplarnianych są opcjonalne. Wskaźnik pokaże łączny szacunkowy roczny spadek na koniec okresu, a nie całkowity spadek w całym okresie.</w:t>
            </w:r>
          </w:p>
          <w:p w14:paraId="407965D4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produkcji energii odnawialnej, prognoza opiera się na ilości energii pierwotnej produkowanej przez wspierane obiekty w danym roku (albo jeden rok po zakończeniu projektu lub w roku kalendarzowym, po zakończeniu projektu). Energia odnawialna ma być neutralna w kwestii emisji gazów cieplarnianych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>i zastępować produkcję energii ze źródeł nieodnawialnych. Wpływ emisji gazów cieplarnianych na energię nieodnawialną określany jest poprzez emisję całkowitą gazów cieplarnianych w państwie członkowskim na jednostkę wyprodukowanej energii nieodnawialnej.</w:t>
            </w:r>
          </w:p>
          <w:p w14:paraId="0C445208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działań na rzecz oszczędności energii, prognoza opiera się na ilości energii pierwotnej zaoszczędzonej przez wspierane działania w danym roku (albo jeden rok po zakończeniu projektu lub w roku kalendarzowym, po zakończeniu projektu). Energia zaoszczędzona ma zastąpić produkcję energii ze źródeł nieodnawialnych. Wpływ emisji gazów cieplarnianych na energię nieodnawialną określany jest poprzez emisję całkowitą gazów cieplarnianych w państwie członkowskim na jednostkę wyprodukowanej energii nieodnawialnej.</w:t>
            </w:r>
          </w:p>
        </w:tc>
      </w:tr>
      <w:tr w:rsidR="00212E41" w:rsidRPr="004A2391" w14:paraId="4977E7B9" w14:textId="77777777" w:rsidTr="00905BB1">
        <w:tc>
          <w:tcPr>
            <w:tcW w:w="552" w:type="dxa"/>
            <w:tcBorders>
              <w:bottom w:val="single" w:sz="8" w:space="0" w:color="33CC33"/>
            </w:tcBorders>
            <w:vAlign w:val="center"/>
          </w:tcPr>
          <w:p w14:paraId="3FCAEDA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bottom w:val="single" w:sz="4" w:space="0" w:color="33CC33"/>
            </w:tcBorders>
            <w:vAlign w:val="center"/>
          </w:tcPr>
          <w:p w14:paraId="670BF8C1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Ilość zaoszczędzonej energii elektrycznej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14:paraId="51530331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MWh/</w:t>
            </w:r>
            <w:r w:rsidRPr="00A635F2">
              <w:rPr>
                <w:rFonts w:cs="Arial"/>
                <w:sz w:val="24"/>
                <w:szCs w:val="24"/>
              </w:rPr>
              <w:t>rok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14:paraId="78AE4B09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vAlign w:val="center"/>
          </w:tcPr>
          <w:p w14:paraId="5181891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14:paraId="7175E64A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33CC33"/>
            </w:tcBorders>
            <w:vAlign w:val="center"/>
          </w:tcPr>
          <w:p w14:paraId="53108D08" w14:textId="77777777" w:rsidR="00212E41" w:rsidRPr="00A635F2" w:rsidRDefault="00212E41" w:rsidP="00905BB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Ilość zaoszczędzonej w wyniku realizacji projektu energii elektrycznej w dystrybucji w ciągu pełnego roku po zakończeniu projektu w stosunku do roku bazowego. </w:t>
            </w:r>
          </w:p>
          <w:p w14:paraId="3CFF5854" w14:textId="77777777" w:rsidR="00212E41" w:rsidRPr="00A635F2" w:rsidRDefault="00212E41" w:rsidP="00905BB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W przypadku przedsiębiorstw produkcyjnych: różnica między rocznym zużyciem energii elektrycznej w roku bazowym w stosunku do rocznego zużycia energii elektrycznej po zakończeniu projektu, skorygowana w przypadku zmiany wielkości produkcji. </w:t>
            </w:r>
          </w:p>
          <w:p w14:paraId="2AEC61FD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W przypadku modernizacji energetycznej budynków: różnica między rocznym zużyciem energii elektrycznej w roku bazowym w stosunku do rocznego zużycia energii elektrycznej po zakończeniu projektu.</w:t>
            </w:r>
          </w:p>
        </w:tc>
      </w:tr>
      <w:tr w:rsidR="00212E41" w:rsidRPr="004A2391" w14:paraId="62419722" w14:textId="77777777" w:rsidTr="00905BB1"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1801829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0CFCBC25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Ilość zaoszczędzonej energii cieplnej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56CA9BA0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GJ/rok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35C12E34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4F165C0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27D4676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1A8FE0D8" w14:textId="77777777" w:rsidR="00212E41" w:rsidRPr="00A635F2" w:rsidRDefault="00212E41" w:rsidP="00905BB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Ilość zaoszczędzonej w wyniku realizacji projektu energii cieplnej w dystrybucji w ciągu pełnego roku po zakończeniu projektu.</w:t>
            </w:r>
          </w:p>
          <w:p w14:paraId="1CB16CB4" w14:textId="77777777" w:rsidR="00212E41" w:rsidRPr="00A635F2" w:rsidRDefault="00212E41" w:rsidP="00905BB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W przypadku przedsiębiorstw produkcyjnych: różnica między rocznym zużyciem energii cieplnej w roku bazowym w stosunku do rocznego zużycia energii cieplnej po zakończeniu projektu, skorygowana w przypadku zmiany wielkości produkcji. </w:t>
            </w:r>
          </w:p>
          <w:p w14:paraId="5DA3EBA3" w14:textId="77777777" w:rsidR="00212E41" w:rsidRPr="00A635F2" w:rsidRDefault="00212E41" w:rsidP="00905BB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W przypadku modernizacji energetycznej budynków: różnica między rocznym zużyciem energii cieplnej  w roku bazowym w stosunku do rocznego zużycia energii cieplnej po zakończeniu projektu.</w:t>
            </w:r>
          </w:p>
          <w:p w14:paraId="7493B988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Energia cieplna – energia w wodzie gorącej, parze lub </w:t>
            </w:r>
            <w:r>
              <w:rPr>
                <w:rFonts w:cs="Arial"/>
                <w:sz w:val="24"/>
                <w:szCs w:val="24"/>
              </w:rPr>
              <w:br/>
            </w:r>
            <w:r w:rsidRPr="00A635F2">
              <w:rPr>
                <w:rFonts w:cs="Arial"/>
                <w:sz w:val="24"/>
                <w:szCs w:val="24"/>
              </w:rPr>
              <w:t>w innych nośnikach.</w:t>
            </w:r>
          </w:p>
        </w:tc>
      </w:tr>
      <w:tr w:rsidR="00212E41" w:rsidRPr="004A2391" w14:paraId="55791AF7" w14:textId="77777777" w:rsidTr="00905BB1">
        <w:tc>
          <w:tcPr>
            <w:tcW w:w="552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14:paraId="094FCF98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14:paraId="55DB9E55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 xml:space="preserve">Zmniejszenie zużycia energii końcowej w wyniku realizacji projektów 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655611D9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GJ/rok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14:paraId="31F78C0C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14:paraId="00C4768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14:paraId="0C03446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auto"/>
            <w:vAlign w:val="center"/>
          </w:tcPr>
          <w:p w14:paraId="7462E6F9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Przez bezpośrednie (końcowe) zużycie energii, wyrażone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>w GJ/rok, w procesie technologicznym (w tym wytwarzania ciepła na cele bytowe) należy rozumieć:</w:t>
            </w:r>
          </w:p>
          <w:p w14:paraId="1143CA78" w14:textId="77777777" w:rsidR="00212E41" w:rsidRPr="00A635F2" w:rsidRDefault="00212E41" w:rsidP="00905BB1">
            <w:pPr>
              <w:pStyle w:val="Akapitzlist"/>
              <w:numPr>
                <w:ilvl w:val="0"/>
                <w:numId w:val="11"/>
              </w:numPr>
              <w:spacing w:before="60" w:after="60"/>
              <w:ind w:left="317" w:hanging="218"/>
              <w:contextualSpacing w:val="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zużycie poszczególnych nośników energii nie podlegających dalszemu przetwarzaniu na inne nośniki energii,</w:t>
            </w:r>
          </w:p>
          <w:p w14:paraId="70BB1DF4" w14:textId="77777777" w:rsidR="00212E41" w:rsidRPr="00A635F2" w:rsidRDefault="00212E41" w:rsidP="00905BB1">
            <w:pPr>
              <w:pStyle w:val="Akapitzlist"/>
              <w:numPr>
                <w:ilvl w:val="0"/>
                <w:numId w:val="11"/>
              </w:numPr>
              <w:spacing w:before="60" w:after="60"/>
              <w:ind w:left="317" w:hanging="218"/>
              <w:contextualSpacing w:val="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zużycie energii doprowadzonej do procesu technologicznego za pośrednictwem tzw. mediów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>(np. wody przemysłowej, sprężonego powietrza, tlenu, azotu).</w:t>
            </w:r>
          </w:p>
        </w:tc>
      </w:tr>
      <w:tr w:rsidR="00212E41" w:rsidRPr="004A2391" w14:paraId="0A9FD0E2" w14:textId="77777777" w:rsidTr="00905BB1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14:paraId="220C635A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14:paraId="504C4391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elektrycznej z nowo wybudowanych instalacji wykorzystujących OZE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12" w:space="0" w:color="33CC33"/>
              <w:right w:val="single" w:sz="8" w:space="0" w:color="33CC33"/>
            </w:tcBorders>
            <w:vAlign w:val="center"/>
          </w:tcPr>
          <w:p w14:paraId="18C903A5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MWhe/</w:t>
            </w:r>
            <w:r>
              <w:rPr>
                <w:rFonts w:cs="Arial"/>
                <w:sz w:val="24"/>
                <w:szCs w:val="24"/>
              </w:rPr>
              <w:br/>
            </w:r>
            <w:r w:rsidRPr="00A635F2">
              <w:rPr>
                <w:rFonts w:cs="Arial"/>
                <w:sz w:val="24"/>
                <w:szCs w:val="24"/>
              </w:rPr>
              <w:t>rok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14:paraId="729D8EFB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14:paraId="21831C4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14:paraId="3DE1D68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14:paraId="1BF07627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Wskaźnik mierzy roczną wielkość produkcji energii elektrycznej z nowo wybudowanych instalacji odnawialnego źródła energii.</w:t>
            </w:r>
          </w:p>
          <w:p w14:paraId="72F17FF8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Energia </w:t>
            </w:r>
            <w:r w:rsidRPr="00A635F2">
              <w:rPr>
                <w:rFonts w:asciiTheme="minorHAnsi" w:hAnsiTheme="minorHAnsi"/>
              </w:rPr>
              <w:t xml:space="preserve">– energia przetworzona w dowolnej postaci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(art. 3 pkt 1 ustawy z dnia 10 kwietnia 1997 r. Prawo energetyczne). </w:t>
            </w:r>
          </w:p>
          <w:p w14:paraId="35C74A13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o odnawialnych źródłach energii). </w:t>
            </w:r>
          </w:p>
          <w:p w14:paraId="397193D8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20 lutego 2015 r. o odnawialnych źródłach energii). </w:t>
            </w:r>
          </w:p>
          <w:p w14:paraId="5541903F" w14:textId="77777777" w:rsidR="00212E41" w:rsidRPr="00A635F2" w:rsidRDefault="00212E41" w:rsidP="00905BB1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14:paraId="4F47A55D" w14:textId="77777777" w:rsidR="00212E41" w:rsidRPr="00A635F2" w:rsidRDefault="00212E41" w:rsidP="00905BB1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212E41" w:rsidRPr="004A2391" w14:paraId="518CB613" w14:textId="77777777" w:rsidTr="00905BB1">
        <w:tc>
          <w:tcPr>
            <w:tcW w:w="552" w:type="dxa"/>
            <w:vAlign w:val="center"/>
          </w:tcPr>
          <w:p w14:paraId="301D176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vAlign w:val="center"/>
          </w:tcPr>
          <w:p w14:paraId="67170E06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elektrycznej z nowych mocy wytwórczych instalacji wykorzystujących OZE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7A81ECF2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MWhe/</w:t>
            </w:r>
            <w:r>
              <w:rPr>
                <w:rFonts w:cs="Arial"/>
                <w:sz w:val="24"/>
                <w:szCs w:val="24"/>
              </w:rPr>
              <w:br/>
            </w:r>
            <w:r w:rsidRPr="00A635F2">
              <w:rPr>
                <w:rFonts w:cs="Arial"/>
                <w:sz w:val="24"/>
                <w:szCs w:val="24"/>
              </w:rPr>
              <w:t>rok</w:t>
            </w:r>
          </w:p>
        </w:tc>
        <w:tc>
          <w:tcPr>
            <w:tcW w:w="1276" w:type="dxa"/>
            <w:vAlign w:val="center"/>
          </w:tcPr>
          <w:p w14:paraId="656BE7EA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77ACDA5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3D412FB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8D17AD9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mierzy roczną wielkość produkcji energii elektrycznej z nowych mocy wytwórczych (istniejących instalacji) wykorzystujących odnawialne źródła energii. </w:t>
            </w:r>
          </w:p>
          <w:p w14:paraId="67627CBE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Energia </w:t>
            </w:r>
            <w:r w:rsidRPr="00A635F2">
              <w:rPr>
                <w:rFonts w:asciiTheme="minorHAnsi" w:hAnsiTheme="minorHAnsi"/>
              </w:rPr>
              <w:t xml:space="preserve">– energia przetworzona w dowolnej postaci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(art. 3 pkt 1 ustawy z dnia 10 kwietnia 1997 r. Prawo energetyczne). </w:t>
            </w:r>
          </w:p>
          <w:p w14:paraId="485881C7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o odnawialnych źródłach energii). </w:t>
            </w:r>
          </w:p>
          <w:p w14:paraId="067799B2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20 lutego 2015 r. o odnawialnych źródłach energii). </w:t>
            </w:r>
          </w:p>
          <w:p w14:paraId="354FF272" w14:textId="77777777" w:rsidR="00212E41" w:rsidRPr="00A635F2" w:rsidRDefault="00212E41" w:rsidP="00905BB1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14:paraId="5714BC68" w14:textId="77777777" w:rsidR="00212E41" w:rsidRPr="00A635F2" w:rsidRDefault="00212E41" w:rsidP="00905BB1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212E41" w:rsidRPr="004A2391" w14:paraId="6AE7EE1C" w14:textId="77777777" w:rsidTr="00905BB1">
        <w:tc>
          <w:tcPr>
            <w:tcW w:w="552" w:type="dxa"/>
            <w:vAlign w:val="center"/>
          </w:tcPr>
          <w:p w14:paraId="1E31DE0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vAlign w:val="center"/>
          </w:tcPr>
          <w:p w14:paraId="7A1EA3CD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cieplnej z nowo wybudowanych instalacji wykorzystujących OZE</w:t>
            </w:r>
          </w:p>
        </w:tc>
        <w:tc>
          <w:tcPr>
            <w:tcW w:w="1276" w:type="dxa"/>
            <w:vAlign w:val="center"/>
          </w:tcPr>
          <w:p w14:paraId="047EEEB4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MWht/rok</w:t>
            </w:r>
          </w:p>
        </w:tc>
        <w:tc>
          <w:tcPr>
            <w:tcW w:w="1276" w:type="dxa"/>
            <w:vAlign w:val="center"/>
          </w:tcPr>
          <w:p w14:paraId="1498335B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2DF6D3D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712AD31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2F2468C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mierzy roczną wielkość produkcji energii cieplnej z nowo wybudowanych instalacji odnawialnego źródła energii.  </w:t>
            </w:r>
          </w:p>
          <w:p w14:paraId="73892D1E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Ciepło </w:t>
            </w:r>
            <w:r w:rsidRPr="00A635F2">
              <w:rPr>
                <w:rFonts w:asciiTheme="minorHAnsi" w:hAnsiTheme="minorHAnsi"/>
              </w:rPr>
              <w:t xml:space="preserve">– energia cieplna w wodzie gorącej, parze lub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w innych nośnikach (art. 3 pkt 2 ustawy z dnia 10 kwietnia 1997 r. Prawo energetyczne). </w:t>
            </w:r>
          </w:p>
          <w:p w14:paraId="7094C3F1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o odnawialnych źródłach energii). </w:t>
            </w:r>
          </w:p>
          <w:p w14:paraId="162DF20F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20 lutego 2015 r. o odnawialnych źródłach energii). </w:t>
            </w:r>
          </w:p>
          <w:p w14:paraId="7BABE683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14:paraId="0CB73138" w14:textId="77777777" w:rsidR="00212E41" w:rsidRPr="00A635F2" w:rsidRDefault="00212E41" w:rsidP="00905BB1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212E41" w:rsidRPr="004A2391" w14:paraId="75959C8C" w14:textId="77777777" w:rsidTr="00905BB1">
        <w:tc>
          <w:tcPr>
            <w:tcW w:w="552" w:type="dxa"/>
            <w:vAlign w:val="center"/>
          </w:tcPr>
          <w:p w14:paraId="5EA68DE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vAlign w:val="center"/>
          </w:tcPr>
          <w:p w14:paraId="369F8A5A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cieplnej z nowych mocy wytwórczych instalacji wykorzystujących OZE</w:t>
            </w:r>
          </w:p>
        </w:tc>
        <w:tc>
          <w:tcPr>
            <w:tcW w:w="1276" w:type="dxa"/>
            <w:vAlign w:val="center"/>
          </w:tcPr>
          <w:p w14:paraId="218B5C97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MWht/rok</w:t>
            </w:r>
          </w:p>
        </w:tc>
        <w:tc>
          <w:tcPr>
            <w:tcW w:w="1276" w:type="dxa"/>
            <w:vAlign w:val="center"/>
          </w:tcPr>
          <w:p w14:paraId="7A6BC1AD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12F20C3A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6ACBC2A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5F708E9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mierzy roczną wielkość produkcji energii cieplnej z nowych mocy wytwórczych (istniejących instalacji) wykorzystujących odnawialne źródła energii. </w:t>
            </w:r>
          </w:p>
          <w:p w14:paraId="111DABE3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Ciepło </w:t>
            </w:r>
            <w:r w:rsidRPr="00A635F2">
              <w:rPr>
                <w:rFonts w:asciiTheme="minorHAnsi" w:hAnsiTheme="minorHAnsi"/>
              </w:rPr>
              <w:t xml:space="preserve">– energia cieplna w wodzie gorącej, parze lub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w innych nośnikach (art. 3 pkt 2 ustawy z dnia 10 kwietnia 1997 r. Prawo energetyczne). </w:t>
            </w:r>
          </w:p>
          <w:p w14:paraId="3A57E3C1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o odnawialnych źródłach energii). </w:t>
            </w:r>
          </w:p>
          <w:p w14:paraId="58C9371B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20 lutego 2015 r. o odnawialnych źródłach energii). </w:t>
            </w:r>
          </w:p>
          <w:p w14:paraId="3A53F867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14:paraId="426D48FB" w14:textId="77777777" w:rsidR="00212E41" w:rsidRPr="00A635F2" w:rsidRDefault="00212E41" w:rsidP="00905BB1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</w:tbl>
    <w:p w14:paraId="07A39F20" w14:textId="77777777" w:rsidR="00ED1091" w:rsidRDefault="00ED1091" w:rsidP="00355D2E">
      <w:pPr>
        <w:spacing w:after="0" w:line="240" w:lineRule="auto"/>
        <w:jc w:val="both"/>
        <w:rPr>
          <w:b/>
          <w:sz w:val="20"/>
        </w:rPr>
      </w:pPr>
    </w:p>
    <w:p w14:paraId="73748FE5" w14:textId="5AA3E773" w:rsidR="001D3621" w:rsidRPr="00942B70" w:rsidRDefault="00355D2E" w:rsidP="00942B70">
      <w:pPr>
        <w:spacing w:after="0" w:line="240" w:lineRule="auto"/>
        <w:jc w:val="both"/>
        <w:rPr>
          <w:sz w:val="20"/>
        </w:rPr>
      </w:pPr>
      <w:r>
        <w:rPr>
          <w:b/>
          <w:sz w:val="20"/>
        </w:rPr>
        <w:t>UWAGA:</w:t>
      </w:r>
      <w:r w:rsidR="000F2E15">
        <w:rPr>
          <w:sz w:val="20"/>
        </w:rPr>
        <w:t xml:space="preserve"> </w:t>
      </w:r>
      <w:r>
        <w:rPr>
          <w:sz w:val="20"/>
        </w:rPr>
        <w:t xml:space="preserve">Dla wskaźników </w:t>
      </w:r>
      <w:r>
        <w:rPr>
          <w:i/>
          <w:sz w:val="20"/>
        </w:rPr>
        <w:t>Common Indicators</w:t>
      </w:r>
      <w:r>
        <w:rPr>
          <w:rStyle w:val="Odwoanieprzypisudolnego"/>
          <w:sz w:val="20"/>
        </w:rPr>
        <w:footnoteReference w:id="2"/>
      </w:r>
      <w:r>
        <w:rPr>
          <w:i/>
          <w:sz w:val="20"/>
        </w:rPr>
        <w:t xml:space="preserve"> </w:t>
      </w:r>
      <w:r>
        <w:rPr>
          <w:sz w:val="20"/>
        </w:rPr>
        <w:t xml:space="preserve">przedstawione definicje są roboczym tłumaczeniem IZ RPO WO 2014-2020. Oryginalne definicje (w języku angielskim) znajdują się </w:t>
      </w:r>
      <w:r w:rsidR="009F0E49">
        <w:rPr>
          <w:sz w:val="20"/>
        </w:rPr>
        <w:br/>
      </w:r>
      <w:r>
        <w:rPr>
          <w:sz w:val="20"/>
        </w:rPr>
        <w:t xml:space="preserve">w dokumencie </w:t>
      </w:r>
      <w:r>
        <w:rPr>
          <w:i/>
          <w:sz w:val="20"/>
        </w:rPr>
        <w:t xml:space="preserve">The programming period 2014-2020. </w:t>
      </w:r>
      <w:r>
        <w:rPr>
          <w:i/>
          <w:sz w:val="20"/>
          <w:lang w:val="en-US"/>
        </w:rPr>
        <w:t xml:space="preserve">Guidance document on monitoring and evaluation. European Cohesion Fund. European Regional Development Fund. </w:t>
      </w:r>
      <w:r>
        <w:rPr>
          <w:i/>
          <w:sz w:val="20"/>
        </w:rPr>
        <w:t>Concepts and Recommendations. March 2014</w:t>
      </w:r>
      <w:r>
        <w:rPr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>dostępnym na stronie inte</w:t>
      </w:r>
      <w:r w:rsidR="009F0E49">
        <w:rPr>
          <w:sz w:val="20"/>
        </w:rPr>
        <w:t xml:space="preserve">rnetowej Komisji Europejskiej: </w:t>
      </w:r>
      <w:hyperlink r:id="rId9" w:anchor="1" w:history="1">
        <w:r>
          <w:rPr>
            <w:rStyle w:val="Hipercze"/>
            <w:i/>
            <w:sz w:val="20"/>
          </w:rPr>
          <w:t>http://ec.europa.eu/regional_policy/pl/policy/evaluations/guidance/#1</w:t>
        </w:r>
      </w:hyperlink>
    </w:p>
    <w:sectPr w:rsidR="001D3621" w:rsidRPr="00942B70" w:rsidSect="00FC3C2B">
      <w:headerReference w:type="default" r:id="rId10"/>
      <w:footerReference w:type="default" r:id="rId11"/>
      <w:headerReference w:type="first" r:id="rId12"/>
      <w:pgSz w:w="16838" w:h="11906" w:orient="landscape"/>
      <w:pgMar w:top="1418" w:right="962" w:bottom="1418" w:left="1418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73DC" w14:textId="77777777" w:rsidR="009E0383" w:rsidRDefault="009E0383" w:rsidP="00A11280">
      <w:pPr>
        <w:spacing w:after="0" w:line="240" w:lineRule="auto"/>
      </w:pPr>
      <w:r>
        <w:separator/>
      </w:r>
    </w:p>
  </w:endnote>
  <w:endnote w:type="continuationSeparator" w:id="0">
    <w:p w14:paraId="735B075E" w14:textId="77777777" w:rsidR="009E0383" w:rsidRDefault="009E0383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180119589"/>
      <w:docPartObj>
        <w:docPartGallery w:val="Page Numbers (Bottom of Page)"/>
        <w:docPartUnique/>
      </w:docPartObj>
    </w:sdtPr>
    <w:sdtEndPr/>
    <w:sdtContent>
      <w:p w14:paraId="2C2A51AF" w14:textId="77777777" w:rsidR="00E27129" w:rsidRPr="00D47A5A" w:rsidRDefault="00E27129">
        <w:pPr>
          <w:pStyle w:val="Stopka"/>
          <w:jc w:val="center"/>
          <w:rPr>
            <w:sz w:val="20"/>
          </w:rPr>
        </w:pPr>
        <w:r w:rsidRPr="00D47A5A">
          <w:rPr>
            <w:sz w:val="20"/>
          </w:rPr>
          <w:fldChar w:fldCharType="begin"/>
        </w:r>
        <w:r w:rsidRPr="00D47A5A">
          <w:rPr>
            <w:sz w:val="20"/>
          </w:rPr>
          <w:instrText xml:space="preserve"> PAGE   \* MERGEFORMAT </w:instrText>
        </w:r>
        <w:r w:rsidRPr="00D47A5A">
          <w:rPr>
            <w:sz w:val="20"/>
          </w:rPr>
          <w:fldChar w:fldCharType="separate"/>
        </w:r>
        <w:r w:rsidR="00B437A3">
          <w:rPr>
            <w:noProof/>
            <w:sz w:val="20"/>
          </w:rPr>
          <w:t>22</w:t>
        </w:r>
        <w:r w:rsidRPr="00D47A5A">
          <w:rPr>
            <w:sz w:val="20"/>
          </w:rPr>
          <w:fldChar w:fldCharType="end"/>
        </w:r>
      </w:p>
    </w:sdtContent>
  </w:sdt>
  <w:p w14:paraId="6E8C789E" w14:textId="77777777" w:rsidR="00E27129" w:rsidRDefault="00E27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B7F0D" w14:textId="77777777" w:rsidR="009E0383" w:rsidRDefault="009E0383" w:rsidP="00A11280">
      <w:pPr>
        <w:spacing w:after="0" w:line="240" w:lineRule="auto"/>
      </w:pPr>
      <w:r>
        <w:separator/>
      </w:r>
    </w:p>
  </w:footnote>
  <w:footnote w:type="continuationSeparator" w:id="0">
    <w:p w14:paraId="39B2A711" w14:textId="77777777" w:rsidR="009E0383" w:rsidRDefault="009E0383" w:rsidP="00A11280">
      <w:pPr>
        <w:spacing w:after="0" w:line="240" w:lineRule="auto"/>
      </w:pPr>
      <w:r>
        <w:continuationSeparator/>
      </w:r>
    </w:p>
  </w:footnote>
  <w:footnote w:id="1">
    <w:p w14:paraId="511FB794" w14:textId="77777777" w:rsidR="00212E41" w:rsidRPr="00137AD2" w:rsidRDefault="00212E41" w:rsidP="00212E41">
      <w:pPr>
        <w:pStyle w:val="Tekstprzypisudolnego"/>
      </w:pPr>
      <w:r>
        <w:rPr>
          <w:rStyle w:val="Odwoanieprzypisudolnego"/>
        </w:rPr>
        <w:footnoteRef/>
      </w:r>
      <w:r>
        <w:t xml:space="preserve"> Wskaźniki 5, 5a i 5b nie dotyczą działania 1.2 </w:t>
      </w:r>
      <w:r>
        <w:rPr>
          <w:i/>
        </w:rPr>
        <w:t xml:space="preserve">Infrastruktura B + R </w:t>
      </w:r>
      <w:r>
        <w:t xml:space="preserve">oraz działania 6.1 </w:t>
      </w:r>
      <w:r>
        <w:rPr>
          <w:i/>
        </w:rPr>
        <w:t xml:space="preserve">Infrastruktura drogowa </w:t>
      </w:r>
      <w:r>
        <w:t>RPO WO 2014-2020</w:t>
      </w:r>
    </w:p>
  </w:footnote>
  <w:footnote w:id="2">
    <w:p w14:paraId="48D28A79" w14:textId="77777777" w:rsidR="00E27129" w:rsidRDefault="00E27129" w:rsidP="00355D2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8"/>
          <w:szCs w:val="16"/>
        </w:rPr>
        <w:footnoteRef/>
      </w:r>
      <w:r>
        <w:rPr>
          <w:sz w:val="18"/>
          <w:szCs w:val="16"/>
        </w:rPr>
        <w:t xml:space="preserve"> Są to wskaźniki określone w Załączniku I do </w:t>
      </w:r>
      <w:r>
        <w:rPr>
          <w:i/>
          <w:sz w:val="18"/>
          <w:szCs w:val="16"/>
        </w:rPr>
        <w:t xml:space="preserve">Rozporządzenia Parlamentu Europejskiego i Rady (UE) nr 1301/2013 z dnia 13 grudnia 2013 r. w sprawie Europejskiego Funduszu Rozwoju Regionalnego i przepisów szczególnych dotyczących celu „Inwestycje na rzecz wzrostu i zatrudnienia” oraz w sprawie uchylenia rozporządzenia (WE) nr 1080/2006.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E07E7" w14:textId="77777777" w:rsidR="00FC3C2B" w:rsidRPr="00E71656" w:rsidRDefault="00FC3C2B" w:rsidP="00FC3C2B">
    <w:pPr>
      <w:spacing w:after="0" w:line="240" w:lineRule="auto"/>
      <w:jc w:val="right"/>
      <w:rPr>
        <w:rFonts w:cs="Calibri"/>
        <w:i/>
        <w:sz w:val="20"/>
        <w:szCs w:val="20"/>
      </w:rPr>
    </w:pPr>
    <w:r w:rsidRPr="00E71656">
      <w:rPr>
        <w:b/>
        <w:i/>
        <w:sz w:val="20"/>
      </w:rPr>
      <w:t>Z</w:t>
    </w:r>
    <w:r>
      <w:rPr>
        <w:b/>
        <w:i/>
        <w:sz w:val="20"/>
      </w:rPr>
      <w:t>ałącznik nr 8</w:t>
    </w:r>
    <w:r w:rsidRPr="00E71656">
      <w:rPr>
        <w:b/>
        <w:i/>
        <w:sz w:val="20"/>
      </w:rPr>
      <w:t xml:space="preserve"> </w:t>
    </w:r>
    <w:r w:rsidRPr="00E71656">
      <w:rPr>
        <w:i/>
        <w:sz w:val="20"/>
      </w:rPr>
      <w:t xml:space="preserve">do Regulaminu konkursu </w:t>
    </w:r>
  </w:p>
  <w:p w14:paraId="6182084D" w14:textId="77777777" w:rsidR="00FC3C2B" w:rsidRPr="0006704E" w:rsidRDefault="00FC3C2B" w:rsidP="00FC3C2B">
    <w:pPr>
      <w:spacing w:after="0" w:line="240" w:lineRule="auto"/>
      <w:jc w:val="right"/>
      <w:rPr>
        <w:i/>
        <w:sz w:val="18"/>
        <w:szCs w:val="20"/>
      </w:rPr>
    </w:pPr>
    <w:r w:rsidRPr="0006704E">
      <w:rPr>
        <w:i/>
        <w:sz w:val="18"/>
      </w:rPr>
      <w:t>Pod</w:t>
    </w:r>
    <w:r>
      <w:rPr>
        <w:i/>
        <w:sz w:val="18"/>
        <w:szCs w:val="20"/>
      </w:rPr>
      <w:t>działanie 3.2.2 Efektywność</w:t>
    </w:r>
    <w:r w:rsidRPr="0006704E">
      <w:rPr>
        <w:i/>
        <w:sz w:val="18"/>
        <w:szCs w:val="20"/>
      </w:rPr>
      <w:t xml:space="preserve"> energetyczna w budynkach publicznych </w:t>
    </w:r>
  </w:p>
  <w:p w14:paraId="54855494" w14:textId="77777777" w:rsidR="00FC3C2B" w:rsidRPr="0006704E" w:rsidRDefault="00FC3C2B" w:rsidP="00FC3C2B">
    <w:pPr>
      <w:spacing w:after="0" w:line="240" w:lineRule="auto"/>
      <w:jc w:val="right"/>
      <w:rPr>
        <w:i/>
        <w:sz w:val="18"/>
        <w:szCs w:val="20"/>
      </w:rPr>
    </w:pPr>
    <w:r w:rsidRPr="0006704E">
      <w:rPr>
        <w:i/>
        <w:sz w:val="18"/>
        <w:szCs w:val="20"/>
      </w:rPr>
      <w:t>Aglomeracji Opolskiej w ramach RPO WO 2014-2020</w:t>
    </w:r>
  </w:p>
  <w:p w14:paraId="1A0A8D1B" w14:textId="77777777" w:rsidR="00FC3C2B" w:rsidRPr="000A13AC" w:rsidRDefault="00FC3C2B" w:rsidP="00FC3C2B">
    <w:pPr>
      <w:tabs>
        <w:tab w:val="center" w:pos="4536"/>
        <w:tab w:val="right" w:pos="8789"/>
      </w:tabs>
      <w:jc w:val="right"/>
      <w:rPr>
        <w:sz w:val="18"/>
        <w:szCs w:val="18"/>
      </w:rPr>
    </w:pPr>
    <w:r>
      <w:rPr>
        <w:i/>
        <w:sz w:val="20"/>
        <w:szCs w:val="20"/>
      </w:rPr>
      <w:tab/>
    </w:r>
    <w:r w:rsidR="00E73E40">
      <w:rPr>
        <w:i/>
        <w:sz w:val="18"/>
        <w:szCs w:val="18"/>
      </w:rPr>
      <w:t xml:space="preserve">Wersja nr 1, marzec </w:t>
    </w:r>
    <w:r w:rsidRPr="00C302F9">
      <w:rPr>
        <w:i/>
        <w:sz w:val="18"/>
        <w:szCs w:val="18"/>
      </w:rPr>
      <w:t xml:space="preserve"> 2019 r.</w:t>
    </w:r>
  </w:p>
  <w:p w14:paraId="21D40865" w14:textId="77777777" w:rsidR="005F154E" w:rsidRPr="0075189A" w:rsidRDefault="00FC3C2B" w:rsidP="00212E41">
    <w:pPr>
      <w:spacing w:after="0" w:line="240" w:lineRule="auto"/>
      <w:jc w:val="center"/>
    </w:pPr>
    <w:r>
      <w:rPr>
        <w:i/>
        <w:sz w:val="20"/>
      </w:rPr>
      <w:tab/>
    </w:r>
    <w:r>
      <w:rPr>
        <w:i/>
        <w:sz w:val="20"/>
      </w:rPr>
      <w:tab/>
      <w:t xml:space="preserve">        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E9D9E" w14:textId="77777777" w:rsidR="00FC3C2B" w:rsidRPr="00E71656" w:rsidRDefault="00FC3C2B" w:rsidP="00FC3C2B">
    <w:pPr>
      <w:spacing w:after="0" w:line="240" w:lineRule="auto"/>
      <w:jc w:val="right"/>
      <w:rPr>
        <w:rFonts w:cs="Calibri"/>
        <w:i/>
        <w:sz w:val="20"/>
        <w:szCs w:val="20"/>
      </w:rPr>
    </w:pPr>
    <w:r w:rsidRPr="00E71656">
      <w:rPr>
        <w:b/>
        <w:i/>
        <w:sz w:val="20"/>
      </w:rPr>
      <w:t>Z</w:t>
    </w:r>
    <w:r>
      <w:rPr>
        <w:b/>
        <w:i/>
        <w:sz w:val="20"/>
      </w:rPr>
      <w:t>ałącznik nr 8</w:t>
    </w:r>
    <w:r w:rsidRPr="00E71656">
      <w:rPr>
        <w:b/>
        <w:i/>
        <w:sz w:val="20"/>
      </w:rPr>
      <w:t xml:space="preserve"> </w:t>
    </w:r>
    <w:r w:rsidRPr="00E71656">
      <w:rPr>
        <w:i/>
        <w:sz w:val="20"/>
      </w:rPr>
      <w:t xml:space="preserve">do Regulaminu konkursu </w:t>
    </w:r>
  </w:p>
  <w:p w14:paraId="3BA1B853" w14:textId="77777777" w:rsidR="00FC3C2B" w:rsidRPr="0006704E" w:rsidRDefault="00FC3C2B" w:rsidP="00FC3C2B">
    <w:pPr>
      <w:spacing w:after="0" w:line="240" w:lineRule="auto"/>
      <w:jc w:val="right"/>
      <w:rPr>
        <w:i/>
        <w:sz w:val="18"/>
        <w:szCs w:val="20"/>
      </w:rPr>
    </w:pPr>
    <w:r w:rsidRPr="0006704E">
      <w:rPr>
        <w:i/>
        <w:sz w:val="18"/>
      </w:rPr>
      <w:t>Pod</w:t>
    </w:r>
    <w:r>
      <w:rPr>
        <w:i/>
        <w:sz w:val="18"/>
        <w:szCs w:val="20"/>
      </w:rPr>
      <w:t>działanie 3.2.2 Efektywność</w:t>
    </w:r>
    <w:r w:rsidRPr="0006704E">
      <w:rPr>
        <w:i/>
        <w:sz w:val="18"/>
        <w:szCs w:val="20"/>
      </w:rPr>
      <w:t xml:space="preserve"> energetyczna w budynkach publicznych </w:t>
    </w:r>
  </w:p>
  <w:p w14:paraId="462920CB" w14:textId="77777777" w:rsidR="00FC3C2B" w:rsidRPr="0006704E" w:rsidRDefault="00FC3C2B" w:rsidP="00FC3C2B">
    <w:pPr>
      <w:spacing w:after="0" w:line="240" w:lineRule="auto"/>
      <w:jc w:val="right"/>
      <w:rPr>
        <w:i/>
        <w:sz w:val="18"/>
        <w:szCs w:val="20"/>
      </w:rPr>
    </w:pPr>
    <w:r w:rsidRPr="0006704E">
      <w:rPr>
        <w:i/>
        <w:sz w:val="18"/>
        <w:szCs w:val="20"/>
      </w:rPr>
      <w:t>Aglomeracji Opolskiej w ramach RPO WO 2014-2020</w:t>
    </w:r>
  </w:p>
  <w:p w14:paraId="32DBE104" w14:textId="77777777" w:rsidR="00FC3C2B" w:rsidRPr="000A13AC" w:rsidRDefault="00FC3C2B" w:rsidP="00FC3C2B">
    <w:pPr>
      <w:tabs>
        <w:tab w:val="center" w:pos="4536"/>
        <w:tab w:val="right" w:pos="8789"/>
      </w:tabs>
      <w:jc w:val="right"/>
      <w:rPr>
        <w:sz w:val="18"/>
        <w:szCs w:val="18"/>
      </w:rPr>
    </w:pPr>
    <w:r>
      <w:rPr>
        <w:i/>
        <w:sz w:val="20"/>
        <w:szCs w:val="20"/>
      </w:rPr>
      <w:tab/>
    </w:r>
    <w:r w:rsidRPr="00C302F9">
      <w:rPr>
        <w:i/>
        <w:sz w:val="18"/>
        <w:szCs w:val="18"/>
      </w:rPr>
      <w:t>Wersja nr 1, luty 2019 r.</w:t>
    </w:r>
  </w:p>
  <w:p w14:paraId="3854250E" w14:textId="77777777" w:rsidR="004A54F1" w:rsidRDefault="004A54F1" w:rsidP="004A54F1">
    <w:pPr>
      <w:spacing w:after="0" w:line="240" w:lineRule="auto"/>
      <w:jc w:val="center"/>
      <w:rPr>
        <w:i/>
        <w:sz w:val="20"/>
        <w:szCs w:val="24"/>
      </w:rPr>
    </w:pPr>
    <w:r>
      <w:rPr>
        <w:i/>
        <w:sz w:val="20"/>
      </w:rPr>
      <w:tab/>
    </w:r>
    <w:r>
      <w:rPr>
        <w:i/>
        <w:sz w:val="20"/>
      </w:rPr>
      <w:tab/>
      <w:t xml:space="preserve">        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        </w:t>
    </w:r>
  </w:p>
  <w:p w14:paraId="0F1E5252" w14:textId="77777777" w:rsidR="00E27129" w:rsidRPr="004A54F1" w:rsidRDefault="00E27129" w:rsidP="004A5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1"/>
  </w:num>
  <w:num w:numId="5">
    <w:abstractNumId w:val="20"/>
  </w:num>
  <w:num w:numId="6">
    <w:abstractNumId w:val="18"/>
  </w:num>
  <w:num w:numId="7">
    <w:abstractNumId w:val="16"/>
  </w:num>
  <w:num w:numId="8">
    <w:abstractNumId w:val="9"/>
  </w:num>
  <w:num w:numId="9">
    <w:abstractNumId w:val="11"/>
  </w:num>
  <w:num w:numId="10">
    <w:abstractNumId w:val="7"/>
  </w:num>
  <w:num w:numId="11">
    <w:abstractNumId w:val="14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13"/>
  </w:num>
  <w:num w:numId="17">
    <w:abstractNumId w:val="5"/>
  </w:num>
  <w:num w:numId="18">
    <w:abstractNumId w:val="10"/>
  </w:num>
  <w:num w:numId="19">
    <w:abstractNumId w:val="2"/>
  </w:num>
  <w:num w:numId="20">
    <w:abstractNumId w:val="8"/>
  </w:num>
  <w:num w:numId="21">
    <w:abstractNumId w:val="17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A52"/>
    <w:rsid w:val="00005649"/>
    <w:rsid w:val="00006354"/>
    <w:rsid w:val="00007B56"/>
    <w:rsid w:val="00011B8E"/>
    <w:rsid w:val="00015583"/>
    <w:rsid w:val="00015DEA"/>
    <w:rsid w:val="000168FD"/>
    <w:rsid w:val="00031554"/>
    <w:rsid w:val="000319A0"/>
    <w:rsid w:val="0003254D"/>
    <w:rsid w:val="00033A13"/>
    <w:rsid w:val="00033DB6"/>
    <w:rsid w:val="00035EA1"/>
    <w:rsid w:val="00041C35"/>
    <w:rsid w:val="000513EE"/>
    <w:rsid w:val="0005308B"/>
    <w:rsid w:val="00055EE7"/>
    <w:rsid w:val="00056BBD"/>
    <w:rsid w:val="00057CCC"/>
    <w:rsid w:val="00062C8B"/>
    <w:rsid w:val="00063C1C"/>
    <w:rsid w:val="00063E65"/>
    <w:rsid w:val="000653E0"/>
    <w:rsid w:val="00083072"/>
    <w:rsid w:val="00083B3C"/>
    <w:rsid w:val="00086315"/>
    <w:rsid w:val="000908A9"/>
    <w:rsid w:val="00092958"/>
    <w:rsid w:val="000A0476"/>
    <w:rsid w:val="000A12A2"/>
    <w:rsid w:val="000A34FA"/>
    <w:rsid w:val="000A4AD5"/>
    <w:rsid w:val="000A65EF"/>
    <w:rsid w:val="000B2A7F"/>
    <w:rsid w:val="000C3CA1"/>
    <w:rsid w:val="000C624D"/>
    <w:rsid w:val="000D0CAC"/>
    <w:rsid w:val="000D1802"/>
    <w:rsid w:val="000D4701"/>
    <w:rsid w:val="000D53AC"/>
    <w:rsid w:val="000E1053"/>
    <w:rsid w:val="000E521A"/>
    <w:rsid w:val="000E67E8"/>
    <w:rsid w:val="000F2E15"/>
    <w:rsid w:val="000F7226"/>
    <w:rsid w:val="00104C40"/>
    <w:rsid w:val="00110262"/>
    <w:rsid w:val="00112769"/>
    <w:rsid w:val="001137A4"/>
    <w:rsid w:val="00113F1F"/>
    <w:rsid w:val="001140C9"/>
    <w:rsid w:val="00114285"/>
    <w:rsid w:val="00114A0B"/>
    <w:rsid w:val="00116F45"/>
    <w:rsid w:val="00140E83"/>
    <w:rsid w:val="00142E61"/>
    <w:rsid w:val="00144712"/>
    <w:rsid w:val="001455D7"/>
    <w:rsid w:val="00151AFA"/>
    <w:rsid w:val="00152204"/>
    <w:rsid w:val="0015374E"/>
    <w:rsid w:val="00153BE9"/>
    <w:rsid w:val="00157848"/>
    <w:rsid w:val="00157ED6"/>
    <w:rsid w:val="0017178D"/>
    <w:rsid w:val="00173EA5"/>
    <w:rsid w:val="0018259B"/>
    <w:rsid w:val="00195DF3"/>
    <w:rsid w:val="00195E0A"/>
    <w:rsid w:val="0019614F"/>
    <w:rsid w:val="001A2230"/>
    <w:rsid w:val="001A32D2"/>
    <w:rsid w:val="001A7097"/>
    <w:rsid w:val="001B4EBA"/>
    <w:rsid w:val="001C0B0B"/>
    <w:rsid w:val="001D2995"/>
    <w:rsid w:val="001D2DFD"/>
    <w:rsid w:val="001D3621"/>
    <w:rsid w:val="001D577F"/>
    <w:rsid w:val="001D5EF7"/>
    <w:rsid w:val="001E3C79"/>
    <w:rsid w:val="002000C8"/>
    <w:rsid w:val="00203C38"/>
    <w:rsid w:val="0020483D"/>
    <w:rsid w:val="00205CB0"/>
    <w:rsid w:val="00207688"/>
    <w:rsid w:val="0021204C"/>
    <w:rsid w:val="00212E41"/>
    <w:rsid w:val="00215234"/>
    <w:rsid w:val="002165FB"/>
    <w:rsid w:val="00216A64"/>
    <w:rsid w:val="002174D7"/>
    <w:rsid w:val="00223C52"/>
    <w:rsid w:val="00223F9A"/>
    <w:rsid w:val="0022603F"/>
    <w:rsid w:val="00227418"/>
    <w:rsid w:val="00231CD3"/>
    <w:rsid w:val="00241BB5"/>
    <w:rsid w:val="002444C3"/>
    <w:rsid w:val="00246DE0"/>
    <w:rsid w:val="00250FC1"/>
    <w:rsid w:val="0025416E"/>
    <w:rsid w:val="00255D75"/>
    <w:rsid w:val="0025693C"/>
    <w:rsid w:val="002619FC"/>
    <w:rsid w:val="00261C22"/>
    <w:rsid w:val="00270DF7"/>
    <w:rsid w:val="00271825"/>
    <w:rsid w:val="00272A56"/>
    <w:rsid w:val="00274A5D"/>
    <w:rsid w:val="00281EF9"/>
    <w:rsid w:val="00286A51"/>
    <w:rsid w:val="00286FEE"/>
    <w:rsid w:val="00292A71"/>
    <w:rsid w:val="00293876"/>
    <w:rsid w:val="002A2D17"/>
    <w:rsid w:val="002A4294"/>
    <w:rsid w:val="002A5161"/>
    <w:rsid w:val="002B6EAB"/>
    <w:rsid w:val="002C166D"/>
    <w:rsid w:val="002C2993"/>
    <w:rsid w:val="002D1FFD"/>
    <w:rsid w:val="002E195D"/>
    <w:rsid w:val="002E41A2"/>
    <w:rsid w:val="002E46F4"/>
    <w:rsid w:val="002F24F9"/>
    <w:rsid w:val="002F3149"/>
    <w:rsid w:val="002F33BC"/>
    <w:rsid w:val="003073B4"/>
    <w:rsid w:val="00307EDB"/>
    <w:rsid w:val="003139D0"/>
    <w:rsid w:val="00320459"/>
    <w:rsid w:val="003317C9"/>
    <w:rsid w:val="0033221C"/>
    <w:rsid w:val="00335B0D"/>
    <w:rsid w:val="003414F1"/>
    <w:rsid w:val="00342EC8"/>
    <w:rsid w:val="00350EEC"/>
    <w:rsid w:val="00350F73"/>
    <w:rsid w:val="0035163A"/>
    <w:rsid w:val="00355D2E"/>
    <w:rsid w:val="0036037A"/>
    <w:rsid w:val="00365665"/>
    <w:rsid w:val="00367BF2"/>
    <w:rsid w:val="00370E0C"/>
    <w:rsid w:val="00386AE6"/>
    <w:rsid w:val="00392470"/>
    <w:rsid w:val="00392E28"/>
    <w:rsid w:val="00396A00"/>
    <w:rsid w:val="003A0EBC"/>
    <w:rsid w:val="003A1F2D"/>
    <w:rsid w:val="003B3940"/>
    <w:rsid w:val="003B4F9A"/>
    <w:rsid w:val="003C02D6"/>
    <w:rsid w:val="003C08DD"/>
    <w:rsid w:val="003C6DBA"/>
    <w:rsid w:val="003D4DB5"/>
    <w:rsid w:val="003E24A3"/>
    <w:rsid w:val="003E6FA5"/>
    <w:rsid w:val="003F1C14"/>
    <w:rsid w:val="003F6F05"/>
    <w:rsid w:val="003F72FA"/>
    <w:rsid w:val="0040005D"/>
    <w:rsid w:val="004013E2"/>
    <w:rsid w:val="00401E7A"/>
    <w:rsid w:val="0041762F"/>
    <w:rsid w:val="00423636"/>
    <w:rsid w:val="00423AD3"/>
    <w:rsid w:val="0042589E"/>
    <w:rsid w:val="00433964"/>
    <w:rsid w:val="004456DF"/>
    <w:rsid w:val="0044584A"/>
    <w:rsid w:val="00447566"/>
    <w:rsid w:val="004515CA"/>
    <w:rsid w:val="004578AB"/>
    <w:rsid w:val="00460BDF"/>
    <w:rsid w:val="004620F2"/>
    <w:rsid w:val="004659A1"/>
    <w:rsid w:val="00465E01"/>
    <w:rsid w:val="00471C14"/>
    <w:rsid w:val="00472925"/>
    <w:rsid w:val="004778B0"/>
    <w:rsid w:val="00477BEF"/>
    <w:rsid w:val="004804E3"/>
    <w:rsid w:val="0048092C"/>
    <w:rsid w:val="00482E2D"/>
    <w:rsid w:val="00485CA1"/>
    <w:rsid w:val="0048606E"/>
    <w:rsid w:val="00497185"/>
    <w:rsid w:val="004A0D76"/>
    <w:rsid w:val="004A2391"/>
    <w:rsid w:val="004A54F1"/>
    <w:rsid w:val="004A6707"/>
    <w:rsid w:val="004B158F"/>
    <w:rsid w:val="004B6AE1"/>
    <w:rsid w:val="004C3662"/>
    <w:rsid w:val="004D48D9"/>
    <w:rsid w:val="004E1993"/>
    <w:rsid w:val="004E311C"/>
    <w:rsid w:val="004E5215"/>
    <w:rsid w:val="004E5F90"/>
    <w:rsid w:val="004F4063"/>
    <w:rsid w:val="004F6E63"/>
    <w:rsid w:val="004F6F1C"/>
    <w:rsid w:val="004F7079"/>
    <w:rsid w:val="00502D55"/>
    <w:rsid w:val="005111F8"/>
    <w:rsid w:val="00511DBB"/>
    <w:rsid w:val="00512467"/>
    <w:rsid w:val="00514EDC"/>
    <w:rsid w:val="00517B7D"/>
    <w:rsid w:val="005213CE"/>
    <w:rsid w:val="00540C82"/>
    <w:rsid w:val="00541616"/>
    <w:rsid w:val="005425C2"/>
    <w:rsid w:val="005436B1"/>
    <w:rsid w:val="0054723E"/>
    <w:rsid w:val="00552E0D"/>
    <w:rsid w:val="00562F75"/>
    <w:rsid w:val="00566E22"/>
    <w:rsid w:val="0057438E"/>
    <w:rsid w:val="00575609"/>
    <w:rsid w:val="00576345"/>
    <w:rsid w:val="00582F36"/>
    <w:rsid w:val="00584FD2"/>
    <w:rsid w:val="00587391"/>
    <w:rsid w:val="005900E5"/>
    <w:rsid w:val="00594165"/>
    <w:rsid w:val="005A482D"/>
    <w:rsid w:val="005A6868"/>
    <w:rsid w:val="005B053A"/>
    <w:rsid w:val="005B10D2"/>
    <w:rsid w:val="005B1FDC"/>
    <w:rsid w:val="005B23E6"/>
    <w:rsid w:val="005C2170"/>
    <w:rsid w:val="005C418D"/>
    <w:rsid w:val="005C4BA2"/>
    <w:rsid w:val="005D05E1"/>
    <w:rsid w:val="005E2761"/>
    <w:rsid w:val="005E27C3"/>
    <w:rsid w:val="005E30B8"/>
    <w:rsid w:val="005E3578"/>
    <w:rsid w:val="005E7406"/>
    <w:rsid w:val="005F112B"/>
    <w:rsid w:val="005F154E"/>
    <w:rsid w:val="005F1948"/>
    <w:rsid w:val="005F64F6"/>
    <w:rsid w:val="00601A79"/>
    <w:rsid w:val="00617E85"/>
    <w:rsid w:val="00625468"/>
    <w:rsid w:val="00627DDB"/>
    <w:rsid w:val="0063106F"/>
    <w:rsid w:val="0063254B"/>
    <w:rsid w:val="00635E43"/>
    <w:rsid w:val="0064192E"/>
    <w:rsid w:val="00641F8D"/>
    <w:rsid w:val="0065404E"/>
    <w:rsid w:val="00657817"/>
    <w:rsid w:val="00657EC9"/>
    <w:rsid w:val="00662786"/>
    <w:rsid w:val="00662B00"/>
    <w:rsid w:val="006733B1"/>
    <w:rsid w:val="0067563E"/>
    <w:rsid w:val="00677E9F"/>
    <w:rsid w:val="00682236"/>
    <w:rsid w:val="0068373D"/>
    <w:rsid w:val="00687E5A"/>
    <w:rsid w:val="00691091"/>
    <w:rsid w:val="00691C14"/>
    <w:rsid w:val="006A1730"/>
    <w:rsid w:val="006A3A60"/>
    <w:rsid w:val="006A44E5"/>
    <w:rsid w:val="006A7698"/>
    <w:rsid w:val="006A7E5A"/>
    <w:rsid w:val="006B0AD6"/>
    <w:rsid w:val="006B13AA"/>
    <w:rsid w:val="006B2D2B"/>
    <w:rsid w:val="006B6D0A"/>
    <w:rsid w:val="006B6E11"/>
    <w:rsid w:val="006B6E44"/>
    <w:rsid w:val="006C1039"/>
    <w:rsid w:val="006C178D"/>
    <w:rsid w:val="006C452F"/>
    <w:rsid w:val="006D162A"/>
    <w:rsid w:val="006D307B"/>
    <w:rsid w:val="006D6C70"/>
    <w:rsid w:val="006F57DD"/>
    <w:rsid w:val="00700637"/>
    <w:rsid w:val="00702EF1"/>
    <w:rsid w:val="007055BC"/>
    <w:rsid w:val="00706A63"/>
    <w:rsid w:val="007109A7"/>
    <w:rsid w:val="00711603"/>
    <w:rsid w:val="00713693"/>
    <w:rsid w:val="0072197A"/>
    <w:rsid w:val="00722E29"/>
    <w:rsid w:val="00723497"/>
    <w:rsid w:val="00724FAB"/>
    <w:rsid w:val="00725343"/>
    <w:rsid w:val="007315C9"/>
    <w:rsid w:val="00733355"/>
    <w:rsid w:val="00735B8E"/>
    <w:rsid w:val="0074087F"/>
    <w:rsid w:val="007411F6"/>
    <w:rsid w:val="00742DC9"/>
    <w:rsid w:val="007435C8"/>
    <w:rsid w:val="0075189A"/>
    <w:rsid w:val="00761C40"/>
    <w:rsid w:val="0076425E"/>
    <w:rsid w:val="0077585D"/>
    <w:rsid w:val="00775F46"/>
    <w:rsid w:val="00776B74"/>
    <w:rsid w:val="00776FBF"/>
    <w:rsid w:val="00777501"/>
    <w:rsid w:val="0078220F"/>
    <w:rsid w:val="0078315A"/>
    <w:rsid w:val="00783598"/>
    <w:rsid w:val="0079238A"/>
    <w:rsid w:val="00792C28"/>
    <w:rsid w:val="007966C1"/>
    <w:rsid w:val="007A0CC2"/>
    <w:rsid w:val="007A3259"/>
    <w:rsid w:val="007C1739"/>
    <w:rsid w:val="007D2C0A"/>
    <w:rsid w:val="007D4131"/>
    <w:rsid w:val="007D4C96"/>
    <w:rsid w:val="007D57BB"/>
    <w:rsid w:val="007E0180"/>
    <w:rsid w:val="007E258D"/>
    <w:rsid w:val="007E36C2"/>
    <w:rsid w:val="007E57EC"/>
    <w:rsid w:val="007F44C2"/>
    <w:rsid w:val="007F7D1D"/>
    <w:rsid w:val="00800FA4"/>
    <w:rsid w:val="0080194C"/>
    <w:rsid w:val="00803732"/>
    <w:rsid w:val="008054D4"/>
    <w:rsid w:val="008245BD"/>
    <w:rsid w:val="00831BFC"/>
    <w:rsid w:val="00842F3A"/>
    <w:rsid w:val="008455F7"/>
    <w:rsid w:val="00846033"/>
    <w:rsid w:val="008465CF"/>
    <w:rsid w:val="008478D9"/>
    <w:rsid w:val="00856DFC"/>
    <w:rsid w:val="00857429"/>
    <w:rsid w:val="0086008B"/>
    <w:rsid w:val="008601B4"/>
    <w:rsid w:val="00876AB5"/>
    <w:rsid w:val="00881365"/>
    <w:rsid w:val="00881689"/>
    <w:rsid w:val="00883C42"/>
    <w:rsid w:val="00892C4D"/>
    <w:rsid w:val="008950B0"/>
    <w:rsid w:val="008971CC"/>
    <w:rsid w:val="008A243D"/>
    <w:rsid w:val="008A2D2C"/>
    <w:rsid w:val="008B24BB"/>
    <w:rsid w:val="008B46A5"/>
    <w:rsid w:val="008B5374"/>
    <w:rsid w:val="008B712F"/>
    <w:rsid w:val="008B7F87"/>
    <w:rsid w:val="008C3081"/>
    <w:rsid w:val="008D3539"/>
    <w:rsid w:val="008D6830"/>
    <w:rsid w:val="008D7B42"/>
    <w:rsid w:val="008F0D0F"/>
    <w:rsid w:val="008F5666"/>
    <w:rsid w:val="0091369F"/>
    <w:rsid w:val="00914AB9"/>
    <w:rsid w:val="009225BC"/>
    <w:rsid w:val="00926866"/>
    <w:rsid w:val="009344F5"/>
    <w:rsid w:val="00935463"/>
    <w:rsid w:val="00936AE6"/>
    <w:rsid w:val="00942B70"/>
    <w:rsid w:val="00943756"/>
    <w:rsid w:val="009513F8"/>
    <w:rsid w:val="009536C3"/>
    <w:rsid w:val="00955A24"/>
    <w:rsid w:val="009566FF"/>
    <w:rsid w:val="00956722"/>
    <w:rsid w:val="00956B26"/>
    <w:rsid w:val="0097558C"/>
    <w:rsid w:val="009757CF"/>
    <w:rsid w:val="00977EB6"/>
    <w:rsid w:val="00980388"/>
    <w:rsid w:val="009820C9"/>
    <w:rsid w:val="00983E81"/>
    <w:rsid w:val="00985C49"/>
    <w:rsid w:val="00987B6C"/>
    <w:rsid w:val="009902EE"/>
    <w:rsid w:val="00992F7F"/>
    <w:rsid w:val="00994397"/>
    <w:rsid w:val="00994ABE"/>
    <w:rsid w:val="009A000A"/>
    <w:rsid w:val="009A4E00"/>
    <w:rsid w:val="009A4E3E"/>
    <w:rsid w:val="009B1058"/>
    <w:rsid w:val="009B42E2"/>
    <w:rsid w:val="009B43AE"/>
    <w:rsid w:val="009C02A6"/>
    <w:rsid w:val="009C0422"/>
    <w:rsid w:val="009C1D1E"/>
    <w:rsid w:val="009C6017"/>
    <w:rsid w:val="009C7267"/>
    <w:rsid w:val="009D2DA4"/>
    <w:rsid w:val="009D4AA7"/>
    <w:rsid w:val="009D5E42"/>
    <w:rsid w:val="009E0383"/>
    <w:rsid w:val="009E1121"/>
    <w:rsid w:val="009E3C4A"/>
    <w:rsid w:val="009E3E20"/>
    <w:rsid w:val="009E429B"/>
    <w:rsid w:val="009E43B9"/>
    <w:rsid w:val="009F0E49"/>
    <w:rsid w:val="009F2FB4"/>
    <w:rsid w:val="009F465D"/>
    <w:rsid w:val="00A0026A"/>
    <w:rsid w:val="00A0238A"/>
    <w:rsid w:val="00A0361E"/>
    <w:rsid w:val="00A063E4"/>
    <w:rsid w:val="00A11280"/>
    <w:rsid w:val="00A1537D"/>
    <w:rsid w:val="00A166D4"/>
    <w:rsid w:val="00A21B3F"/>
    <w:rsid w:val="00A21E6D"/>
    <w:rsid w:val="00A22820"/>
    <w:rsid w:val="00A30643"/>
    <w:rsid w:val="00A30932"/>
    <w:rsid w:val="00A326AC"/>
    <w:rsid w:val="00A335D1"/>
    <w:rsid w:val="00A37C82"/>
    <w:rsid w:val="00A41F51"/>
    <w:rsid w:val="00A425B6"/>
    <w:rsid w:val="00A42BB9"/>
    <w:rsid w:val="00A445AC"/>
    <w:rsid w:val="00A44759"/>
    <w:rsid w:val="00A46E50"/>
    <w:rsid w:val="00A5539C"/>
    <w:rsid w:val="00A55607"/>
    <w:rsid w:val="00A566FE"/>
    <w:rsid w:val="00A57F23"/>
    <w:rsid w:val="00A610C3"/>
    <w:rsid w:val="00A64DF5"/>
    <w:rsid w:val="00A67B81"/>
    <w:rsid w:val="00A717A6"/>
    <w:rsid w:val="00A729B2"/>
    <w:rsid w:val="00A73F94"/>
    <w:rsid w:val="00A74410"/>
    <w:rsid w:val="00A74978"/>
    <w:rsid w:val="00A77BAB"/>
    <w:rsid w:val="00A8023F"/>
    <w:rsid w:val="00A91E48"/>
    <w:rsid w:val="00A92156"/>
    <w:rsid w:val="00A93409"/>
    <w:rsid w:val="00AA02ED"/>
    <w:rsid w:val="00AA17E8"/>
    <w:rsid w:val="00AA2DA2"/>
    <w:rsid w:val="00AA5ABD"/>
    <w:rsid w:val="00AA6D21"/>
    <w:rsid w:val="00AA7891"/>
    <w:rsid w:val="00AA7AA1"/>
    <w:rsid w:val="00AB1813"/>
    <w:rsid w:val="00AC40E9"/>
    <w:rsid w:val="00AC42C2"/>
    <w:rsid w:val="00AC7D5D"/>
    <w:rsid w:val="00AD561C"/>
    <w:rsid w:val="00AD7BF3"/>
    <w:rsid w:val="00AE20BA"/>
    <w:rsid w:val="00AE29BF"/>
    <w:rsid w:val="00AE492F"/>
    <w:rsid w:val="00AE6A13"/>
    <w:rsid w:val="00AF6E20"/>
    <w:rsid w:val="00AF7918"/>
    <w:rsid w:val="00B0456B"/>
    <w:rsid w:val="00B07132"/>
    <w:rsid w:val="00B07428"/>
    <w:rsid w:val="00B11FE6"/>
    <w:rsid w:val="00B14D1A"/>
    <w:rsid w:val="00B23042"/>
    <w:rsid w:val="00B24153"/>
    <w:rsid w:val="00B24B36"/>
    <w:rsid w:val="00B2752C"/>
    <w:rsid w:val="00B300BB"/>
    <w:rsid w:val="00B30223"/>
    <w:rsid w:val="00B30275"/>
    <w:rsid w:val="00B3686E"/>
    <w:rsid w:val="00B42BF9"/>
    <w:rsid w:val="00B437A3"/>
    <w:rsid w:val="00B43D17"/>
    <w:rsid w:val="00B47991"/>
    <w:rsid w:val="00B50A44"/>
    <w:rsid w:val="00B5189D"/>
    <w:rsid w:val="00B5464B"/>
    <w:rsid w:val="00B54AF4"/>
    <w:rsid w:val="00B55249"/>
    <w:rsid w:val="00B56563"/>
    <w:rsid w:val="00B627EE"/>
    <w:rsid w:val="00B67239"/>
    <w:rsid w:val="00B70521"/>
    <w:rsid w:val="00B72C55"/>
    <w:rsid w:val="00B7401B"/>
    <w:rsid w:val="00B816C0"/>
    <w:rsid w:val="00B86856"/>
    <w:rsid w:val="00B901DE"/>
    <w:rsid w:val="00B9288D"/>
    <w:rsid w:val="00B95CC5"/>
    <w:rsid w:val="00BA3F96"/>
    <w:rsid w:val="00BB359B"/>
    <w:rsid w:val="00BC52C6"/>
    <w:rsid w:val="00BC6511"/>
    <w:rsid w:val="00BC7EE3"/>
    <w:rsid w:val="00BD3741"/>
    <w:rsid w:val="00BD623F"/>
    <w:rsid w:val="00BE34E0"/>
    <w:rsid w:val="00BE78D2"/>
    <w:rsid w:val="00BF3654"/>
    <w:rsid w:val="00BF5BE4"/>
    <w:rsid w:val="00C013F9"/>
    <w:rsid w:val="00C04951"/>
    <w:rsid w:val="00C13E93"/>
    <w:rsid w:val="00C169AD"/>
    <w:rsid w:val="00C17F4E"/>
    <w:rsid w:val="00C23DD6"/>
    <w:rsid w:val="00C3041C"/>
    <w:rsid w:val="00C43015"/>
    <w:rsid w:val="00C44151"/>
    <w:rsid w:val="00C46439"/>
    <w:rsid w:val="00C501E4"/>
    <w:rsid w:val="00C50F59"/>
    <w:rsid w:val="00C51F3F"/>
    <w:rsid w:val="00C53D87"/>
    <w:rsid w:val="00C63E43"/>
    <w:rsid w:val="00C64505"/>
    <w:rsid w:val="00C65C99"/>
    <w:rsid w:val="00C71130"/>
    <w:rsid w:val="00C71AEF"/>
    <w:rsid w:val="00C77EF3"/>
    <w:rsid w:val="00C83731"/>
    <w:rsid w:val="00C8445E"/>
    <w:rsid w:val="00C92AB6"/>
    <w:rsid w:val="00C95296"/>
    <w:rsid w:val="00C9690F"/>
    <w:rsid w:val="00CA0118"/>
    <w:rsid w:val="00CA1A8B"/>
    <w:rsid w:val="00CA46CD"/>
    <w:rsid w:val="00CA4F1D"/>
    <w:rsid w:val="00CB07A2"/>
    <w:rsid w:val="00CB4183"/>
    <w:rsid w:val="00CB63F2"/>
    <w:rsid w:val="00CB7CC5"/>
    <w:rsid w:val="00CC3D02"/>
    <w:rsid w:val="00CD24D6"/>
    <w:rsid w:val="00CD4756"/>
    <w:rsid w:val="00CD784C"/>
    <w:rsid w:val="00CE24BD"/>
    <w:rsid w:val="00CE4515"/>
    <w:rsid w:val="00CE7C90"/>
    <w:rsid w:val="00CE7C94"/>
    <w:rsid w:val="00CF1305"/>
    <w:rsid w:val="00CF3A1F"/>
    <w:rsid w:val="00CF63B0"/>
    <w:rsid w:val="00D01C11"/>
    <w:rsid w:val="00D06A27"/>
    <w:rsid w:val="00D10227"/>
    <w:rsid w:val="00D15791"/>
    <w:rsid w:val="00D21207"/>
    <w:rsid w:val="00D26BE8"/>
    <w:rsid w:val="00D27432"/>
    <w:rsid w:val="00D307DB"/>
    <w:rsid w:val="00D30972"/>
    <w:rsid w:val="00D4097D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4914"/>
    <w:rsid w:val="00D80AAE"/>
    <w:rsid w:val="00D80C14"/>
    <w:rsid w:val="00D83E2E"/>
    <w:rsid w:val="00D84269"/>
    <w:rsid w:val="00D84B6C"/>
    <w:rsid w:val="00D91C0E"/>
    <w:rsid w:val="00D96AEF"/>
    <w:rsid w:val="00D96CA8"/>
    <w:rsid w:val="00DA1CBC"/>
    <w:rsid w:val="00DB5AA4"/>
    <w:rsid w:val="00DB5E30"/>
    <w:rsid w:val="00DD77C6"/>
    <w:rsid w:val="00DD7F68"/>
    <w:rsid w:val="00DE039B"/>
    <w:rsid w:val="00DE04C3"/>
    <w:rsid w:val="00DE29A8"/>
    <w:rsid w:val="00DE5893"/>
    <w:rsid w:val="00DE744D"/>
    <w:rsid w:val="00DF2D9B"/>
    <w:rsid w:val="00DF3CDE"/>
    <w:rsid w:val="00DF5A0A"/>
    <w:rsid w:val="00DF7F22"/>
    <w:rsid w:val="00E00A28"/>
    <w:rsid w:val="00E018AE"/>
    <w:rsid w:val="00E152F7"/>
    <w:rsid w:val="00E1605C"/>
    <w:rsid w:val="00E21CC8"/>
    <w:rsid w:val="00E2310F"/>
    <w:rsid w:val="00E24B44"/>
    <w:rsid w:val="00E267B7"/>
    <w:rsid w:val="00E26B68"/>
    <w:rsid w:val="00E27129"/>
    <w:rsid w:val="00E30318"/>
    <w:rsid w:val="00E31654"/>
    <w:rsid w:val="00E31A48"/>
    <w:rsid w:val="00E34FD6"/>
    <w:rsid w:val="00E41444"/>
    <w:rsid w:val="00E43283"/>
    <w:rsid w:val="00E43E7A"/>
    <w:rsid w:val="00E47908"/>
    <w:rsid w:val="00E503EA"/>
    <w:rsid w:val="00E50DE7"/>
    <w:rsid w:val="00E63D0A"/>
    <w:rsid w:val="00E73E40"/>
    <w:rsid w:val="00E80B69"/>
    <w:rsid w:val="00E858A9"/>
    <w:rsid w:val="00E907E9"/>
    <w:rsid w:val="00E91CF9"/>
    <w:rsid w:val="00E937B1"/>
    <w:rsid w:val="00E97FDF"/>
    <w:rsid w:val="00EC77B0"/>
    <w:rsid w:val="00ED1091"/>
    <w:rsid w:val="00ED303E"/>
    <w:rsid w:val="00ED6C3C"/>
    <w:rsid w:val="00EF2909"/>
    <w:rsid w:val="00EF46B8"/>
    <w:rsid w:val="00F00ADF"/>
    <w:rsid w:val="00F122C5"/>
    <w:rsid w:val="00F149AD"/>
    <w:rsid w:val="00F174E4"/>
    <w:rsid w:val="00F26B43"/>
    <w:rsid w:val="00F308AB"/>
    <w:rsid w:val="00F353FE"/>
    <w:rsid w:val="00F4348E"/>
    <w:rsid w:val="00F5104E"/>
    <w:rsid w:val="00F51C2E"/>
    <w:rsid w:val="00F64BD9"/>
    <w:rsid w:val="00F66EF8"/>
    <w:rsid w:val="00F71A63"/>
    <w:rsid w:val="00F71F5D"/>
    <w:rsid w:val="00F76C8B"/>
    <w:rsid w:val="00F82B6A"/>
    <w:rsid w:val="00F830CC"/>
    <w:rsid w:val="00F841E4"/>
    <w:rsid w:val="00F85758"/>
    <w:rsid w:val="00F90331"/>
    <w:rsid w:val="00FA1A10"/>
    <w:rsid w:val="00FB3A48"/>
    <w:rsid w:val="00FB43CA"/>
    <w:rsid w:val="00FC3C2B"/>
    <w:rsid w:val="00FD3825"/>
    <w:rsid w:val="00FD4489"/>
    <w:rsid w:val="00FD5BA3"/>
    <w:rsid w:val="00FE40F7"/>
    <w:rsid w:val="00FE5B82"/>
    <w:rsid w:val="00FE5CFF"/>
    <w:rsid w:val="00FE6610"/>
    <w:rsid w:val="00FE6B66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0C5EA"/>
  <w15:docId w15:val="{70938A6D-E1E5-45C0-BFB0-4CDF55DE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EEC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212E41"/>
  </w:style>
  <w:style w:type="character" w:styleId="UyteHipercze">
    <w:name w:val="FollowedHyperlink"/>
    <w:basedOn w:val="Domylnaczcionkaakapitu"/>
    <w:uiPriority w:val="99"/>
    <w:semiHidden/>
    <w:unhideWhenUsed/>
    <w:rsid w:val="00212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pl/policy/evaluations/guid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10CD-3717-46FB-874C-FD76EB27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4625</Words>
  <Characters>27755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Anna Żeliźniak</cp:lastModifiedBy>
  <cp:revision>3</cp:revision>
  <cp:lastPrinted>2017-07-13T07:16:00Z</cp:lastPrinted>
  <dcterms:created xsi:type="dcterms:W3CDTF">2019-03-13T07:54:00Z</dcterms:created>
  <dcterms:modified xsi:type="dcterms:W3CDTF">2019-03-13T07:54:00Z</dcterms:modified>
</cp:coreProperties>
</file>