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FCBA" w14:textId="77777777" w:rsidR="00F122C5" w:rsidRDefault="006F7A2D" w:rsidP="006F7A2D">
      <w:pPr>
        <w:jc w:val="center"/>
        <w:rPr>
          <w:b/>
        </w:rPr>
      </w:pPr>
      <w:r w:rsidRPr="001C3958">
        <w:rPr>
          <w:noProof/>
        </w:rPr>
        <w:drawing>
          <wp:inline distT="0" distB="0" distL="0" distR="0" wp14:anchorId="018B32AB" wp14:editId="6208DD05">
            <wp:extent cx="5756910" cy="564515"/>
            <wp:effectExtent l="0" t="0" r="0" b="6985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BB40" w14:textId="77777777" w:rsidR="00466264" w:rsidRPr="001F4327" w:rsidRDefault="00466264" w:rsidP="00E81560">
      <w:pPr>
        <w:spacing w:before="840"/>
        <w:rPr>
          <w:rFonts w:ascii="Calibri" w:eastAsia="Times New Roman" w:hAnsi="Calibri" w:cs="Times New Roman"/>
          <w:b/>
          <w:sz w:val="44"/>
          <w:szCs w:val="28"/>
        </w:rPr>
      </w:pPr>
      <w:r w:rsidRPr="001F4327">
        <w:rPr>
          <w:rFonts w:ascii="Calibri" w:eastAsia="Times New Roman" w:hAnsi="Calibri" w:cs="Times New Roman"/>
          <w:b/>
          <w:sz w:val="44"/>
          <w:szCs w:val="28"/>
        </w:rPr>
        <w:t xml:space="preserve">ZAŁĄCZNIK nr </w:t>
      </w:r>
      <w:r w:rsidR="00BD7882" w:rsidRPr="001F4327">
        <w:rPr>
          <w:rFonts w:ascii="Calibri" w:eastAsia="Times New Roman" w:hAnsi="Calibri" w:cs="Times New Roman"/>
          <w:b/>
          <w:sz w:val="44"/>
          <w:szCs w:val="28"/>
        </w:rPr>
        <w:t>8</w:t>
      </w:r>
    </w:p>
    <w:p w14:paraId="5B3B0A97" w14:textId="50C7AE45" w:rsidR="00554BDB" w:rsidRDefault="00466264" w:rsidP="00554BDB">
      <w:pPr>
        <w:spacing w:before="120" w:after="120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  <w:r w:rsidRPr="001F4327">
        <w:rPr>
          <w:rFonts w:ascii="Calibri" w:eastAsia="Times New Roman" w:hAnsi="Calibri" w:cs="Times New Roman"/>
          <w:b/>
          <w:sz w:val="44"/>
          <w:szCs w:val="28"/>
        </w:rPr>
        <w:t xml:space="preserve">Lista </w:t>
      </w:r>
      <w:r w:rsidR="00801B49">
        <w:rPr>
          <w:rFonts w:ascii="Calibri" w:eastAsia="Times New Roman" w:hAnsi="Calibri" w:cs="Times New Roman"/>
          <w:b/>
          <w:sz w:val="44"/>
          <w:szCs w:val="28"/>
        </w:rPr>
        <w:t>wskaźników na poziomie projektu dla</w:t>
      </w:r>
      <w:r w:rsidRPr="001F4327">
        <w:rPr>
          <w:rFonts w:ascii="Calibri" w:eastAsia="Times New Roman" w:hAnsi="Calibri" w:cs="Times New Roman"/>
          <w:b/>
          <w:sz w:val="44"/>
          <w:szCs w:val="28"/>
        </w:rPr>
        <w:br/>
      </w:r>
      <w:r w:rsidR="00E75B06">
        <w:rPr>
          <w:rFonts w:ascii="Calibri" w:eastAsia="Times New Roman" w:hAnsi="Calibri" w:cs="Times New Roman"/>
          <w:b/>
          <w:sz w:val="44"/>
          <w:szCs w:val="44"/>
          <w:lang w:eastAsia="en-US"/>
        </w:rPr>
        <w:t>poddziałania</w:t>
      </w:r>
      <w:r w:rsidR="00554BDB" w:rsidRPr="00554BDB">
        <w:rPr>
          <w:rFonts w:ascii="Calibri" w:eastAsia="Times New Roman" w:hAnsi="Calibri" w:cs="Times New Roman"/>
          <w:b/>
          <w:sz w:val="44"/>
          <w:szCs w:val="44"/>
          <w:lang w:eastAsia="en-US"/>
        </w:rPr>
        <w:t xml:space="preserve"> 10.1.1 </w:t>
      </w:r>
      <w:r w:rsidR="00554BDB" w:rsidRPr="00E75B06">
        <w:rPr>
          <w:rFonts w:ascii="Calibri" w:eastAsia="Times New Roman" w:hAnsi="Calibri" w:cs="Times New Roman"/>
          <w:b/>
          <w:i/>
          <w:sz w:val="44"/>
          <w:szCs w:val="44"/>
          <w:lang w:eastAsia="en-US"/>
        </w:rPr>
        <w:t>Infrastruktura ochrony zdrowia w zakresie profilaktyki zdrowotnej mieszkańców regionu</w:t>
      </w:r>
    </w:p>
    <w:p w14:paraId="4D4BFE50" w14:textId="77777777" w:rsidR="00554BDB" w:rsidRDefault="00554BDB" w:rsidP="00554BDB">
      <w:pPr>
        <w:spacing w:before="120" w:after="120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</w:p>
    <w:p w14:paraId="4A65944E" w14:textId="77777777" w:rsidR="007C70B7" w:rsidRDefault="007C70B7" w:rsidP="00554BDB">
      <w:pPr>
        <w:spacing w:before="120" w:after="120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</w:p>
    <w:p w14:paraId="35F7604F" w14:textId="77777777" w:rsidR="007C70B7" w:rsidRDefault="007C70B7" w:rsidP="00554BDB">
      <w:pPr>
        <w:spacing w:before="120" w:after="120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</w:p>
    <w:p w14:paraId="6E3686B8" w14:textId="77777777" w:rsidR="007C70B7" w:rsidRDefault="007C70B7" w:rsidP="00554BDB">
      <w:pPr>
        <w:spacing w:before="120" w:after="120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</w:p>
    <w:p w14:paraId="281519C4" w14:textId="77777777" w:rsidR="00554BDB" w:rsidRDefault="006F7A2D" w:rsidP="00554BDB">
      <w:pPr>
        <w:spacing w:after="0"/>
        <w:rPr>
          <w:rFonts w:eastAsia="Times New Roman"/>
          <w:b/>
          <w:sz w:val="28"/>
          <w:szCs w:val="28"/>
        </w:rPr>
      </w:pPr>
      <w:r w:rsidRPr="00E81560">
        <w:rPr>
          <w:rFonts w:eastAsia="Times New Roman"/>
          <w:b/>
          <w:sz w:val="28"/>
          <w:szCs w:val="28"/>
        </w:rPr>
        <w:t>Wersja 1</w:t>
      </w:r>
    </w:p>
    <w:p w14:paraId="5FDD5D17" w14:textId="77777777" w:rsidR="00913771" w:rsidRDefault="006F7A2D" w:rsidP="00913771">
      <w:pPr>
        <w:spacing w:after="2000"/>
        <w:rPr>
          <w:rFonts w:eastAsia="Times New Roman"/>
          <w:b/>
          <w:sz w:val="28"/>
          <w:szCs w:val="28"/>
        </w:rPr>
      </w:pPr>
      <w:r w:rsidRPr="00E81560">
        <w:rPr>
          <w:rFonts w:eastAsia="Times New Roman"/>
          <w:b/>
          <w:sz w:val="28"/>
          <w:szCs w:val="28"/>
        </w:rPr>
        <w:t xml:space="preserve">Opole, </w:t>
      </w:r>
      <w:r w:rsidR="00D275D6">
        <w:rPr>
          <w:rFonts w:eastAsia="Times New Roman"/>
          <w:b/>
          <w:sz w:val="28"/>
          <w:szCs w:val="28"/>
        </w:rPr>
        <w:t xml:space="preserve">kwiecień </w:t>
      </w:r>
      <w:r w:rsidR="00466264" w:rsidRPr="00E81560">
        <w:rPr>
          <w:rFonts w:eastAsia="Times New Roman"/>
          <w:b/>
          <w:sz w:val="28"/>
          <w:szCs w:val="28"/>
        </w:rPr>
        <w:t>2020</w:t>
      </w:r>
      <w:r w:rsidRPr="00E81560">
        <w:rPr>
          <w:rFonts w:eastAsia="Times New Roman"/>
          <w:b/>
          <w:sz w:val="28"/>
          <w:szCs w:val="28"/>
        </w:rPr>
        <w:t xml:space="preserve"> r.</w:t>
      </w:r>
    </w:p>
    <w:p w14:paraId="34BD8E36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67057612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578F832E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37A8521B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4F6299D8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14B4CA9D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76CDA606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4A672ED6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737CAEEA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114F4BC9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2A1B0C67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6AB78F9A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1F0CEC07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4DC77D4B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791E7B49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216CA5F1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6026E34B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4EEA9ECB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19DAB6D4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76A497C3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</w:p>
    <w:p w14:paraId="66E4CF60" w14:textId="77777777" w:rsidR="00913771" w:rsidRDefault="00913771" w:rsidP="00913771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14:paraId="7909E57D" w14:textId="77777777" w:rsidR="00913771" w:rsidRDefault="00F122C5" w:rsidP="00913771">
      <w:pPr>
        <w:spacing w:after="0"/>
        <w:rPr>
          <w:b/>
          <w:sz w:val="24"/>
          <w:szCs w:val="24"/>
          <w:u w:val="single"/>
        </w:rPr>
      </w:pPr>
      <w:r w:rsidRPr="001F4327">
        <w:rPr>
          <w:b/>
          <w:sz w:val="24"/>
          <w:szCs w:val="24"/>
          <w:u w:val="single"/>
        </w:rPr>
        <w:t>Opracowanie:</w:t>
      </w:r>
    </w:p>
    <w:p w14:paraId="4E4DBEA1" w14:textId="0BB5F1B6" w:rsidR="00F122C5" w:rsidRPr="001F4327" w:rsidRDefault="00F122C5" w:rsidP="00913771">
      <w:pPr>
        <w:spacing w:after="0"/>
        <w:rPr>
          <w:sz w:val="24"/>
          <w:szCs w:val="24"/>
        </w:rPr>
      </w:pPr>
      <w:r w:rsidRPr="001F4327">
        <w:rPr>
          <w:sz w:val="24"/>
          <w:szCs w:val="24"/>
        </w:rPr>
        <w:t>Departament Koordynacji Programów Operacyjnych</w:t>
      </w:r>
      <w:r w:rsidR="000E521A" w:rsidRPr="001F4327">
        <w:rPr>
          <w:sz w:val="24"/>
          <w:szCs w:val="24"/>
        </w:rPr>
        <w:tab/>
      </w:r>
    </w:p>
    <w:p w14:paraId="17970FC4" w14:textId="77777777" w:rsidR="00F122C5" w:rsidRPr="001F4327" w:rsidRDefault="00F122C5" w:rsidP="00913771">
      <w:pPr>
        <w:spacing w:after="0"/>
        <w:rPr>
          <w:sz w:val="24"/>
          <w:szCs w:val="24"/>
        </w:rPr>
      </w:pPr>
      <w:r w:rsidRPr="001F4327">
        <w:rPr>
          <w:sz w:val="24"/>
          <w:szCs w:val="24"/>
        </w:rPr>
        <w:t>Urząd Marszałkowski Województwa Opolskiego</w:t>
      </w:r>
    </w:p>
    <w:p w14:paraId="0E84C38C" w14:textId="77777777" w:rsidR="00913771" w:rsidRDefault="00AA17E8" w:rsidP="00913771">
      <w:pPr>
        <w:spacing w:after="0"/>
        <w:rPr>
          <w:sz w:val="24"/>
          <w:szCs w:val="24"/>
        </w:rPr>
      </w:pPr>
      <w:r w:rsidRPr="001F4327">
        <w:rPr>
          <w:sz w:val="24"/>
          <w:szCs w:val="24"/>
        </w:rPr>
        <w:t>Opole</w:t>
      </w:r>
      <w:r w:rsidR="00864144" w:rsidRPr="001F4327">
        <w:rPr>
          <w:sz w:val="24"/>
          <w:szCs w:val="24"/>
        </w:rPr>
        <w:t>,</w:t>
      </w:r>
      <w:r w:rsidR="00611F30" w:rsidRPr="001F4327">
        <w:rPr>
          <w:sz w:val="24"/>
          <w:szCs w:val="24"/>
        </w:rPr>
        <w:t xml:space="preserve"> </w:t>
      </w:r>
      <w:r w:rsidR="00D275D6">
        <w:rPr>
          <w:sz w:val="24"/>
          <w:szCs w:val="24"/>
        </w:rPr>
        <w:t>kwiecień</w:t>
      </w:r>
      <w:r w:rsidR="00466264" w:rsidRPr="001F4327">
        <w:rPr>
          <w:sz w:val="24"/>
          <w:szCs w:val="24"/>
        </w:rPr>
        <w:t xml:space="preserve"> 2020</w:t>
      </w:r>
      <w:r w:rsidR="00611F30" w:rsidRPr="001F4327">
        <w:rPr>
          <w:sz w:val="24"/>
          <w:szCs w:val="24"/>
        </w:rPr>
        <w:t xml:space="preserve"> </w:t>
      </w:r>
      <w:r w:rsidR="00F122C5" w:rsidRPr="001F4327">
        <w:rPr>
          <w:sz w:val="24"/>
          <w:szCs w:val="24"/>
        </w:rPr>
        <w:t>r.</w:t>
      </w:r>
    </w:p>
    <w:p w14:paraId="11CEB8FC" w14:textId="77777777" w:rsidR="00913771" w:rsidRDefault="00913771" w:rsidP="00913771">
      <w:pPr>
        <w:spacing w:after="60"/>
        <w:rPr>
          <w:i/>
        </w:rPr>
      </w:pPr>
    </w:p>
    <w:p w14:paraId="429B6101" w14:textId="77777777" w:rsidR="00913771" w:rsidRPr="004A2391" w:rsidRDefault="00913771" w:rsidP="00913771">
      <w:pPr>
        <w:spacing w:after="60"/>
        <w:rPr>
          <w:i/>
        </w:rPr>
      </w:pPr>
    </w:p>
    <w:p w14:paraId="4EF0D51F" w14:textId="77777777" w:rsidR="00E75B06" w:rsidRPr="0065536F" w:rsidRDefault="00E75B06" w:rsidP="00E75B06">
      <w:pPr>
        <w:spacing w:after="60"/>
        <w:rPr>
          <w:i/>
          <w:sz w:val="24"/>
        </w:rPr>
      </w:pPr>
      <w:r w:rsidRPr="0065536F">
        <w:rPr>
          <w:b/>
          <w:sz w:val="24"/>
        </w:rPr>
        <w:t xml:space="preserve">Tabela 1 </w:t>
      </w:r>
      <w:r w:rsidRPr="0065536F">
        <w:rPr>
          <w:i/>
          <w:sz w:val="24"/>
        </w:rPr>
        <w:t>Zestawienie wskaźników EFRR na poziomie projektu 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E75B06" w:rsidRPr="004A2391" w14:paraId="68CA1B48" w14:textId="77777777" w:rsidTr="00742F03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082CED38" w14:textId="11F922D1" w:rsidR="00E75B06" w:rsidRPr="00A635F2" w:rsidRDefault="00E75B06" w:rsidP="00742F03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3E95207C" w14:textId="77777777" w:rsidR="00E75B06" w:rsidRPr="00A635F2" w:rsidRDefault="00E75B06" w:rsidP="00742F03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7A0C1627" w14:textId="77777777" w:rsidR="00E75B06" w:rsidRPr="00A635F2" w:rsidRDefault="00E75B06" w:rsidP="00742F03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3CBABF98" w14:textId="77777777" w:rsidR="00E75B06" w:rsidRPr="00A635F2" w:rsidRDefault="00E75B06" w:rsidP="00742F03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354F392" w14:textId="77777777" w:rsidR="00E75B06" w:rsidRPr="00A635F2" w:rsidRDefault="00E75B06" w:rsidP="00742F03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4D112193" w14:textId="77777777" w:rsidR="00E75B06" w:rsidRPr="00A635F2" w:rsidRDefault="00E75B06" w:rsidP="00742F03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2541CFB5" w14:textId="77777777" w:rsidR="00E75B06" w:rsidRPr="00A635F2" w:rsidRDefault="00E75B06" w:rsidP="00742F03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E75B06" w:rsidRPr="004A2391" w14:paraId="1B5C3B7A" w14:textId="77777777" w:rsidTr="00742F03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2C8592C4" w14:textId="77777777" w:rsidR="00E75B06" w:rsidRPr="00A635F2" w:rsidRDefault="00E75B06" w:rsidP="00742F03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E75B06" w:rsidRPr="004A2391" w14:paraId="1A6AF6FE" w14:textId="77777777" w:rsidTr="00742F03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C627BBB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931888E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6C507E55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670B7F6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3F23B4CA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7DB7476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14:paraId="190FACDC" w14:textId="77777777" w:rsidR="00E75B06" w:rsidRPr="00A635F2" w:rsidRDefault="00E75B06" w:rsidP="00742F0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9672D2C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14:paraId="563C9BC4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Jako obiekty budowlane należy rozumieć konstrukcje połączone z gruntem w sposób trwały, wykonane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materiałów budowlanych i elementów składowych, będące wynikiem prac budowlanych (wg. def. PKOB).</w:t>
            </w:r>
          </w:p>
          <w:p w14:paraId="6E30A38A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w których zastosowano rozwiązania umożliwiające dostęp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ruchowymi czy sensorycznymi lub zaopatrzonych w sprzęt, a nie liczbę sprzętów, urządzeń itp.</w:t>
            </w:r>
          </w:p>
          <w:p w14:paraId="5AFED034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14:paraId="7C864A75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14:paraId="46E3561A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dedykowanych (zgodnie z kategoryzacją projektów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E75B06" w:rsidRPr="004A2391" w14:paraId="4BF79B53" w14:textId="77777777" w:rsidTr="00742F03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14:paraId="1492360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309160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45E4F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6ECB4D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7A1972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2F0767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3D3BBDDB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mediów elektronicznych tj. m.in.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komputera, różnych rodzajów oprogramowania, </w:t>
            </w:r>
            <w:proofErr w:type="spellStart"/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internetu</w:t>
            </w:r>
            <w:proofErr w:type="spellEnd"/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oraz kompetencji ściśle informatycznych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(np. programowanie, zarządzanie bazami danych, administracja sieciami, administracja witrynami internetowymi).</w:t>
            </w:r>
          </w:p>
          <w:p w14:paraId="37EF4051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osoby, które skorzystały ze wsparcia w zakresie TIK we wszystkich programach i projektach, także tych, gdzie szkolenie 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14:paraId="70834162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14:paraId="76704442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E75B06" w:rsidRPr="004A2391" w14:paraId="6173A9DC" w14:textId="77777777" w:rsidTr="00742F03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14:paraId="750EA906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E773E45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9CB6E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21B3F4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017109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5A0E21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3DDCFA1B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E75B06" w:rsidRPr="004A2391" w14:paraId="4E08390A" w14:textId="77777777" w:rsidTr="00742F03">
        <w:tc>
          <w:tcPr>
            <w:tcW w:w="552" w:type="dxa"/>
            <w:shd w:val="clear" w:color="auto" w:fill="FFFFFF" w:themeFill="background1"/>
            <w:vAlign w:val="center"/>
          </w:tcPr>
          <w:p w14:paraId="2D4844C6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8833054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E1DC8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D63B53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FAECAF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AD9AE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721C9836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E75B06" w:rsidRPr="004A2391" w14:paraId="5AD6C4E7" w14:textId="77777777" w:rsidTr="00742F03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14:paraId="2C81245A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15C63DD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7006F5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C7873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59C561A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9FFD0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9BC0B94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Racjonalne usprawnienie oznacza konieczne 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niepełnosprawnościami możliwości korzystania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</w:p>
          <w:p w14:paraId="7E151284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14:paraId="0974456C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4C97F043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14:paraId="7BE924BC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3A333DCD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w przeciwnym wypadku „0”. W przypadku projektów partnerskich wskaźnik powinien być wykazany wyłącznie przez lidera projektu, bez względu na liczbę partnerów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projekcie realizujących wskaźnik.</w:t>
            </w:r>
          </w:p>
        </w:tc>
      </w:tr>
      <w:tr w:rsidR="00E75B06" w:rsidRPr="004A2391" w14:paraId="2136FA31" w14:textId="77777777" w:rsidTr="00742F03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C4CAD2D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49CA0B1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7CD7E32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16EFA1E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97DFBFB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138B709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7D2887F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02CB3AC5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wszelkich narzędzi komunikacji elektronicznej oraz wszelkie działania związane z produkcją i wykorzystaniem urządzeń telekomunikacyjnych 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14:paraId="499A47BF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np. propagowanie / szkolenie / zakup TIK lub podmioty, które otrzymują wsparcie w tym zakresie (uczestnicy projektów). Podmiotu, do którego odnosi się wskaźnik,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przypadku gdy nie spełnia definicji uczestnika projektu zgodnie z rozdziałem 3.3 Wytycznych w zakresie monitorowania postępu rzeczowego realizacji programów operacyjnych na lata 2014-2020, nie należy wykazywać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module Uczestnicy projektów w SL2014. </w:t>
            </w:r>
          </w:p>
          <w:p w14:paraId="3EBF3C5C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m.in. MŚP, duże przedsiębiorstwa, administracja publiczna,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tym jednostki samorządu terytorialnego, NGO, jednostki naukowe, szkoły, które będą wykorzystywać TIK do usprawnienia swojego działania i do prowadzenia relacji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innymi podmiotami. </w:t>
            </w:r>
          </w:p>
          <w:p w14:paraId="497B7B53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E75B06" w:rsidRPr="004A2391" w14:paraId="7C3D8C4E" w14:textId="77777777" w:rsidTr="00742F03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528F7E0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FBA308E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4E58BCE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5313DF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D232EA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9C1BB86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843CB02" w14:textId="77777777" w:rsidR="00E75B06" w:rsidRPr="00A635F2" w:rsidRDefault="00E75B06" w:rsidP="007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>
              <w:rPr>
                <w:rFonts w:cs="Times New Roman"/>
                <w:sz w:val="24"/>
                <w:szCs w:val="24"/>
              </w:rPr>
              <w:br/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 xml:space="preserve">przedsiębiorstwie. Jeśli łączne zatrudnienie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w przedsiębiorstwie nie zwiększa się, wartość jest równa zero - to wskaźnik jest traktowany jako wyregulowanie,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a nie zwiększenie. Zagwarantowane itp. miejsca pracy nie są wliczone.</w:t>
            </w:r>
          </w:p>
          <w:p w14:paraId="0BD008EF" w14:textId="77777777" w:rsidR="00E75B06" w:rsidRPr="00A635F2" w:rsidRDefault="00E75B06" w:rsidP="007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14:paraId="46F3804E" w14:textId="77777777" w:rsidR="00E75B06" w:rsidRPr="00A635F2" w:rsidRDefault="00E75B06" w:rsidP="007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14:paraId="068E151E" w14:textId="77777777" w:rsidR="00E75B06" w:rsidRPr="00A635F2" w:rsidRDefault="00E75B06" w:rsidP="007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14:paraId="13CCDF24" w14:textId="77777777" w:rsidR="00E75B06" w:rsidRPr="00A635F2" w:rsidRDefault="00E75B06" w:rsidP="007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i po jego zakończeniu; 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 xml:space="preserve">w określaniu dokładnego czasu. Preferowane jest stosowanie średniego zatrudnienia w oparciu o dane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z 6 miesięcy lub z roku, dla danych dotyczących zatrudnienia w określonych terminach.</w:t>
            </w:r>
          </w:p>
          <w:p w14:paraId="3599273E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  <w:p w14:paraId="4F835415" w14:textId="77777777" w:rsidR="00E75B06" w:rsidRPr="00A635F2" w:rsidRDefault="00E75B06" w:rsidP="007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 xml:space="preserve">W ramach działania 2.2 </w:t>
            </w:r>
            <w:r w:rsidRPr="00A635F2">
              <w:rPr>
                <w:rFonts w:cs="Times New Roman"/>
                <w:b/>
                <w:i/>
                <w:sz w:val="24"/>
                <w:szCs w:val="24"/>
              </w:rPr>
              <w:t>Przygotowanie terenów inwestycyjnych na rzecz gospodarki</w:t>
            </w:r>
            <w:r w:rsidRPr="00A635F2">
              <w:rPr>
                <w:rFonts w:cs="Times New Roman"/>
                <w:b/>
                <w:sz w:val="24"/>
                <w:szCs w:val="24"/>
              </w:rPr>
              <w:t xml:space="preserve"> zgodnie z zapisami RPO WO 2014-2020 wartość docelowa wskaźnika musi być większa niż „0”.</w:t>
            </w:r>
          </w:p>
        </w:tc>
      </w:tr>
      <w:tr w:rsidR="00E75B06" w:rsidRPr="004A2391" w14:paraId="6F319F2F" w14:textId="77777777" w:rsidTr="00742F03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03C9501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F2D2D32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32B84D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7953135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18DA20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18EF130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3C7B32E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E75B06" w:rsidRPr="004A2391" w14:paraId="65AB90A8" w14:textId="77777777" w:rsidTr="00742F03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DB4C61C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B20F9B5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B18974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97068D1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871F497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6C11674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8873290" w14:textId="77777777" w:rsidR="00E75B06" w:rsidRPr="00A635F2" w:rsidRDefault="00E75B06" w:rsidP="00742F03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E75B06" w:rsidRPr="004A2391" w14:paraId="347DDF74" w14:textId="77777777" w:rsidTr="00742F03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01D96EC7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0D7B716F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53BB5816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552F2DA4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0DF6CAC4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4FCD810B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19DC538C" w14:textId="77777777" w:rsidR="00E75B06" w:rsidRPr="00A635F2" w:rsidRDefault="00E75B06" w:rsidP="00742F03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E75B06" w:rsidRPr="004A2391" w14:paraId="70D0F006" w14:textId="77777777" w:rsidTr="00742F03">
        <w:trPr>
          <w:trHeight w:val="1747"/>
        </w:trPr>
        <w:tc>
          <w:tcPr>
            <w:tcW w:w="55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BF22474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36D62A2" w14:textId="77777777" w:rsidR="00E75B06" w:rsidRPr="00A635F2" w:rsidRDefault="00E75B06" w:rsidP="00742F03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466DE1A7" w14:textId="77777777" w:rsidR="00E75B06" w:rsidRPr="00A635F2" w:rsidRDefault="00E75B06" w:rsidP="00742F03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076A6CD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2E9C5DC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D587C63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6A8C3C0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36A51CD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E75B06" w:rsidRPr="004A2391" w14:paraId="1171517F" w14:textId="77777777" w:rsidTr="00742F03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A950C1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2FEB124" w14:textId="77777777" w:rsidR="00E75B06" w:rsidRPr="00A635F2" w:rsidRDefault="00E75B06" w:rsidP="00742F03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5FDE8E8A" w14:textId="77777777" w:rsidR="00E75B06" w:rsidRPr="00A635F2" w:rsidRDefault="00E75B06" w:rsidP="00742F03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80F2383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7D2618E" w14:textId="77777777" w:rsidR="00E75B06" w:rsidRPr="00A635F2" w:rsidRDefault="00E75B06" w:rsidP="00742F03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CF58649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22D888B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37DC1729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E75B06" w:rsidRPr="004A2391" w14:paraId="7B301EA9" w14:textId="77777777" w:rsidTr="00742F03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3502132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4164D82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6A865F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55CAABE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F0F1815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11BCE65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02C9E0B2" w14:textId="77777777" w:rsidR="00E75B06" w:rsidRPr="00A635F2" w:rsidRDefault="00E75B06" w:rsidP="00742F03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a które byłyby zlikwidowane, gdyby tego wsparcia Beneficjent nie uzyskał. Etaty muszą być obsadzone (nieobsadzonych etatów się nie wlicza). Prace sezonowe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niepełnowymiarowe należy przeliczyć na ekwiwalent pełnego czasu pracy. </w:t>
            </w:r>
          </w:p>
          <w:p w14:paraId="15BDC4A3" w14:textId="77777777" w:rsidR="00E75B06" w:rsidRPr="00A635F2" w:rsidRDefault="00E75B06" w:rsidP="00742F03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14:paraId="2C2D6EFF" w14:textId="77777777" w:rsidR="00E75B06" w:rsidRPr="00A635F2" w:rsidRDefault="00E75B06" w:rsidP="00742F03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14:paraId="6607E595" w14:textId="77777777" w:rsidR="00E75B06" w:rsidRPr="00A635F2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14:paraId="57FF60C4" w14:textId="77777777" w:rsidR="00E75B06" w:rsidRPr="00A635F2" w:rsidRDefault="00E75B06" w:rsidP="00742F03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E75B06" w:rsidRPr="004A2391" w14:paraId="7DFB13F7" w14:textId="77777777" w:rsidTr="00742F03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01522F9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5EB5B63" w14:textId="77777777" w:rsidR="00E75B06" w:rsidRPr="00A635F2" w:rsidRDefault="00E75B06" w:rsidP="00742F03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711DAFE4" w14:textId="77777777" w:rsidR="00E75B06" w:rsidRPr="00A635F2" w:rsidRDefault="00E75B06" w:rsidP="00742F03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AF1BDE2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70E4AE9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A5CB53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1A1FB3E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5E304CB1" w14:textId="77777777" w:rsidR="00E75B06" w:rsidRPr="00A635F2" w:rsidRDefault="00E75B06" w:rsidP="00742F03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E75B06" w:rsidRPr="004A2391" w14:paraId="3D9888AD" w14:textId="77777777" w:rsidTr="00742F03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439D9A0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A5EA25E" w14:textId="77777777" w:rsidR="00E75B06" w:rsidRPr="00A635F2" w:rsidRDefault="00E75B06" w:rsidP="00742F03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7B87E8C8" w14:textId="77777777" w:rsidR="00E75B06" w:rsidRPr="00A635F2" w:rsidRDefault="00E75B06" w:rsidP="00742F03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7FA2B6E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360EEA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8B078B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5152FCC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38D77B0E" w14:textId="77777777" w:rsidR="00E75B06" w:rsidRPr="00A635F2" w:rsidRDefault="00E75B06" w:rsidP="00742F03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E75B06" w:rsidRPr="004A2391" w14:paraId="758DB5AF" w14:textId="77777777" w:rsidTr="00742F03">
        <w:trPr>
          <w:trHeight w:val="1162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1FC01E5B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85943CE" w14:textId="77777777" w:rsidR="00E75B06" w:rsidRPr="00A635F2" w:rsidRDefault="00E75B06" w:rsidP="00742F03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38AF8E7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57B58D7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80BD5F1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91B7457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1D4AF5C4" w14:textId="77777777" w:rsidR="00E75B06" w:rsidRPr="00A635F2" w:rsidRDefault="00E75B06" w:rsidP="00742F03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14:paraId="5FC3109B" w14:textId="77777777" w:rsidR="00E75B06" w:rsidRPr="00A635F2" w:rsidRDefault="00E75B06" w:rsidP="00742F03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14:paraId="5960F12F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14:paraId="771180F9" w14:textId="77777777" w:rsidR="00E75B06" w:rsidRPr="00A635F2" w:rsidRDefault="00E75B06" w:rsidP="00742F03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E75B06" w:rsidRPr="004A2391" w14:paraId="559996C4" w14:textId="77777777" w:rsidTr="00742F03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587FE3B3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D4F1DDF" w14:textId="77777777" w:rsidR="00E75B06" w:rsidRPr="00A635F2" w:rsidRDefault="00E75B06" w:rsidP="00742F03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1F39D7AB" w14:textId="77777777" w:rsidR="00E75B06" w:rsidRPr="00A635F2" w:rsidRDefault="00E75B06" w:rsidP="00742F03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91384EE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CDF4EB7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DDB9B6C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CE64903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098BDC93" w14:textId="77777777" w:rsidR="00E75B06" w:rsidRPr="00A635F2" w:rsidRDefault="00E75B06" w:rsidP="00742F03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E75B06" w:rsidRPr="004A2391" w14:paraId="51BEDC5D" w14:textId="77777777" w:rsidTr="00742F03"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0039D33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4568C20B" w14:textId="77777777" w:rsidR="00E75B06" w:rsidRPr="00A635F2" w:rsidRDefault="00E75B06" w:rsidP="00742F03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5EE8EA66" w14:textId="77777777" w:rsidR="00E75B06" w:rsidRPr="00A635F2" w:rsidRDefault="00E75B06" w:rsidP="00742F03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8754171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55C6597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4B22E05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29C3954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2E50183E" w14:textId="77777777" w:rsidR="00E75B06" w:rsidRPr="00A635F2" w:rsidRDefault="00E75B06" w:rsidP="00742F03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E75B06" w:rsidRPr="004A2391" w14:paraId="27C33AE5" w14:textId="77777777" w:rsidTr="00742F03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2218AD76" w14:textId="77777777" w:rsidR="00E75B06" w:rsidRPr="0023435D" w:rsidRDefault="00E75B06" w:rsidP="00742F03">
            <w:pPr>
              <w:spacing w:before="80" w:after="80"/>
              <w:rPr>
                <w:i/>
                <w:color w:val="000099"/>
                <w:sz w:val="28"/>
              </w:rPr>
            </w:pPr>
            <w:r w:rsidRPr="0023435D">
              <w:rPr>
                <w:i/>
                <w:color w:val="000099"/>
                <w:sz w:val="28"/>
              </w:rPr>
              <w:t xml:space="preserve">Oś priorytetowa X </w:t>
            </w:r>
            <w:r w:rsidRPr="0023435D">
              <w:rPr>
                <w:rFonts w:cs="Arial"/>
                <w:b/>
                <w:i/>
                <w:color w:val="000099"/>
                <w:sz w:val="28"/>
              </w:rPr>
              <w:t>Inwestycje w infrastrukturę społeczną</w:t>
            </w:r>
          </w:p>
        </w:tc>
      </w:tr>
      <w:tr w:rsidR="00E75B06" w:rsidRPr="004A2391" w14:paraId="19EFA1A0" w14:textId="77777777" w:rsidTr="00742F03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07B7316C" w14:textId="77777777" w:rsidR="00E75B06" w:rsidRPr="0023435D" w:rsidRDefault="00E75B06" w:rsidP="00742F03">
            <w:pPr>
              <w:spacing w:before="80" w:after="80"/>
              <w:rPr>
                <w:i/>
                <w:color w:val="000099"/>
                <w:sz w:val="28"/>
              </w:rPr>
            </w:pPr>
            <w:r w:rsidRPr="0023435D"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4"/>
              </w:rPr>
              <w:t>Poddziałanie 10.1.1</w:t>
            </w:r>
            <w:r w:rsidRPr="0023435D">
              <w:rPr>
                <w:rFonts w:ascii="Calibri" w:eastAsia="Times New Roman" w:hAnsi="Calibri" w:cs="Times New Roman"/>
                <w:b/>
                <w:i/>
                <w:iCs/>
                <w:color w:val="000099"/>
                <w:sz w:val="28"/>
                <w:szCs w:val="24"/>
              </w:rPr>
              <w:t xml:space="preserve"> Infrastruktura ochrony zdrowia w zakresie profilaktyki zdrowotnej mieszkańców regionu</w:t>
            </w:r>
          </w:p>
        </w:tc>
      </w:tr>
      <w:tr w:rsidR="00E75B06" w:rsidRPr="004A2391" w14:paraId="398D8BA2" w14:textId="77777777" w:rsidTr="00742F03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1918431B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52D31D54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Liczba wspartych podmiotów leczniczych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0818F40A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4056D2EA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5DE62616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614FF3FB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14:paraId="534FC3CB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Wskaźnik odnosi się do podmiotów leczniczych objętych robotami budowlanymi oraz doposażonych w aparaturę medyczną oraz techniczną niezbędną do udzielania świadczeń medycznych. </w:t>
            </w:r>
          </w:p>
          <w:p w14:paraId="361713E5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W ramach wskaźnika należy wykazać: </w:t>
            </w:r>
          </w:p>
          <w:p w14:paraId="2E63072B" w14:textId="77777777" w:rsidR="00E75B06" w:rsidRPr="0023435D" w:rsidRDefault="00E75B06" w:rsidP="00742F03">
            <w:pPr>
              <w:numPr>
                <w:ilvl w:val="0"/>
                <w:numId w:val="23"/>
              </w:numPr>
              <w:spacing w:before="60" w:after="60"/>
              <w:ind w:left="459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doposażone podmioty lecznicze</w:t>
            </w:r>
          </w:p>
          <w:p w14:paraId="2816C155" w14:textId="77777777" w:rsidR="00E75B06" w:rsidRPr="0023435D" w:rsidRDefault="00E75B06" w:rsidP="00742F03">
            <w:pPr>
              <w:numPr>
                <w:ilvl w:val="0"/>
                <w:numId w:val="23"/>
              </w:numPr>
              <w:spacing w:before="60" w:after="60"/>
              <w:ind w:left="459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podmioty lecznicze, w których wykonano roboty budowlane</w:t>
            </w:r>
          </w:p>
          <w:p w14:paraId="0C03A303" w14:textId="77777777" w:rsidR="00E75B06" w:rsidRPr="0023435D" w:rsidRDefault="00E75B06" w:rsidP="00742F03">
            <w:pPr>
              <w:numPr>
                <w:ilvl w:val="0"/>
                <w:numId w:val="23"/>
              </w:numPr>
              <w:spacing w:before="60" w:after="60"/>
              <w:ind w:left="459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doposażone podmioty lecznicze, w których wykonano roboty budowlane. </w:t>
            </w:r>
          </w:p>
          <w:p w14:paraId="0291685C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Podmioty lecznicze, godnie z zapisami linii demarkacyjnej, zostały wybrane w oparciu o organ założycielski:</w:t>
            </w:r>
          </w:p>
          <w:p w14:paraId="1F5D42BA" w14:textId="77777777" w:rsidR="00E75B06" w:rsidRPr="0023435D" w:rsidRDefault="00E75B06" w:rsidP="00742F03">
            <w:pPr>
              <w:numPr>
                <w:ilvl w:val="0"/>
                <w:numId w:val="23"/>
              </w:numPr>
              <w:spacing w:before="60" w:after="60"/>
              <w:ind w:left="459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na poziomie krajowym - podmioty lecznicze (a także przedsiębiorcy powstali z ich przekształcenia) utworzone przez ministra lub centralny organ administracji rządowej, publiczną uczelnię medyczną lub publiczną uczelnię prowadzącą działalność dydaktyczną i badawczą w dziedzinie nauk medycznych, instytuty badawcze prowadzące badania naukowe i prace rozwojowe w dziedzinie nauk medycznych, uczestniczące w systemie ochrony;</w:t>
            </w:r>
          </w:p>
          <w:p w14:paraId="57D5A0FA" w14:textId="77777777" w:rsidR="00E75B06" w:rsidRPr="0023435D" w:rsidRDefault="00E75B06" w:rsidP="00742F03">
            <w:pPr>
              <w:pStyle w:val="Akapitzlist"/>
              <w:numPr>
                <w:ilvl w:val="0"/>
                <w:numId w:val="26"/>
              </w:numPr>
              <w:spacing w:before="60" w:after="60"/>
              <w:ind w:left="459"/>
              <w:rPr>
                <w:color w:val="C00000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na poziomie regionalnym – jednostki samorządu terytorialnego z wyłączeniem Państwowego Ratownictwa Medycznego.</w:t>
            </w:r>
          </w:p>
        </w:tc>
      </w:tr>
      <w:tr w:rsidR="00E75B06" w:rsidRPr="004A2391" w14:paraId="5B715DED" w14:textId="77777777" w:rsidTr="00742F03">
        <w:tc>
          <w:tcPr>
            <w:tcW w:w="552" w:type="dxa"/>
            <w:vAlign w:val="center"/>
          </w:tcPr>
          <w:p w14:paraId="0632A683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602AAF34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Nakłady inwestycyjne na zakup aparatury medycznej</w:t>
            </w:r>
          </w:p>
        </w:tc>
        <w:tc>
          <w:tcPr>
            <w:tcW w:w="1276" w:type="dxa"/>
            <w:vAlign w:val="center"/>
          </w:tcPr>
          <w:p w14:paraId="60903FE5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PLN</w:t>
            </w:r>
          </w:p>
        </w:tc>
        <w:tc>
          <w:tcPr>
            <w:tcW w:w="1276" w:type="dxa"/>
            <w:vAlign w:val="center"/>
          </w:tcPr>
          <w:p w14:paraId="18F02483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4FB573C8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F27905A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2BD9BE96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Nakłady poniesione przez beneficjenta na zakup aparatury medycznej w związku z realizowanym projektem. Nakłady obejmują dofinansowanie i wkład własny.</w:t>
            </w:r>
          </w:p>
        </w:tc>
      </w:tr>
      <w:tr w:rsidR="00E75B06" w:rsidRPr="004A2391" w14:paraId="35F8B6FF" w14:textId="77777777" w:rsidTr="00742F03">
        <w:tc>
          <w:tcPr>
            <w:tcW w:w="552" w:type="dxa"/>
            <w:vAlign w:val="center"/>
          </w:tcPr>
          <w:p w14:paraId="272D3A58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0D24155E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Liczba leczonych w podmiotach leczniczych objętych wsparciem</w:t>
            </w:r>
          </w:p>
        </w:tc>
        <w:tc>
          <w:tcPr>
            <w:tcW w:w="1276" w:type="dxa"/>
            <w:vAlign w:val="center"/>
          </w:tcPr>
          <w:p w14:paraId="3C5470FE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osoby/rok</w:t>
            </w:r>
          </w:p>
        </w:tc>
        <w:tc>
          <w:tcPr>
            <w:tcW w:w="1276" w:type="dxa"/>
            <w:vAlign w:val="center"/>
          </w:tcPr>
          <w:p w14:paraId="0E7FA2CF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51958D34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156F1F5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2F8D3DB0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Liczba osób korzystających w ciągu roku z usług zdrowotnych świadczonych przez podmioty lecznicze wsparte w ramach projektu (dotyczy usług zdrowotnych objętych projektem).</w:t>
            </w:r>
          </w:p>
          <w:p w14:paraId="5884622D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Podmioty lecznicze wsparte w ramach projektu rozumiane są zgodnie z definicją wskaźnika „Liczba wspartych podmiotów leczniczych”. </w:t>
            </w:r>
          </w:p>
          <w:p w14:paraId="69B73EFF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E75B06" w:rsidRPr="004A2391" w14:paraId="48F5AFC3" w14:textId="77777777" w:rsidTr="00742F03">
        <w:tc>
          <w:tcPr>
            <w:tcW w:w="552" w:type="dxa"/>
            <w:vAlign w:val="center"/>
          </w:tcPr>
          <w:p w14:paraId="21911FDE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57804936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 xml:space="preserve">Liczba podmiotów leczniczych objętych wsparciem w programie świadczących usługi zdrowotne </w:t>
            </w:r>
            <w:r w:rsidRPr="0023435D">
              <w:rPr>
                <w:rFonts w:cs="Arial"/>
                <w:i/>
                <w:sz w:val="24"/>
                <w:szCs w:val="24"/>
              </w:rPr>
              <w:br/>
              <w:t xml:space="preserve">z zakresu Ambulatoryjnej Opieki Specjalistycznej (AOS) </w:t>
            </w:r>
          </w:p>
        </w:tc>
        <w:tc>
          <w:tcPr>
            <w:tcW w:w="1276" w:type="dxa"/>
            <w:vAlign w:val="center"/>
          </w:tcPr>
          <w:p w14:paraId="6F8573FB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6DBF5C71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614A496B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79EF7D23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73A09DCD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Podmioty lecznicze w świetle ustawy o działalności leczniczej z dnia 15 kwietnia 2011r. (</w:t>
            </w:r>
            <w:r w:rsidRPr="0023435D">
              <w:rPr>
                <w:rFonts w:cs="Arial"/>
                <w:bCs/>
                <w:sz w:val="24"/>
                <w:szCs w:val="24"/>
              </w:rPr>
              <w:t>Dz.U. 2011 Nr 112 poz. 654) uznaje się: przedsiębiorców, samodzielne publiczne zakłady opieki zdrowotnej, jednostki budżetowe, instytuty badawcze, fundacje i stowarzyszenia, posiadające osobowość prawna jednostki organizacyjne stowarzyszeń, osoby prawne i jednostki organizacyjne działające na podstawie przepisów o stosunku Państwa do Kościoła Katolickiego w Rzeczypospolitej Polskiej, jednostki wojskowe – w zakresie, w jakim wykonują działalność leczniczą.</w:t>
            </w:r>
          </w:p>
          <w:p w14:paraId="73D2A580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Kwestie ambulatoryjnej opieki zdrowotnej reguluje </w:t>
            </w:r>
            <w:r w:rsidRPr="0023435D">
              <w:rPr>
                <w:rFonts w:cs="Arial"/>
                <w:i/>
                <w:iCs/>
                <w:sz w:val="24"/>
                <w:szCs w:val="24"/>
              </w:rPr>
              <w:t xml:space="preserve">rozporządzenie Ministra Zdrowia z dnia 6 listopada 2013 r. w sprawie świadczeń gwarantowanych z zakresu ambulatoryjnej opieki specjalistycznej </w:t>
            </w:r>
            <w:r w:rsidRPr="0023435D">
              <w:rPr>
                <w:rFonts w:cs="Arial"/>
                <w:sz w:val="24"/>
                <w:szCs w:val="24"/>
              </w:rPr>
              <w:t xml:space="preserve">(Dz. U. poz. 1413, </w:t>
            </w:r>
            <w:r>
              <w:rPr>
                <w:rFonts w:cs="Arial"/>
                <w:sz w:val="24"/>
                <w:szCs w:val="24"/>
              </w:rPr>
              <w:br/>
            </w:r>
            <w:r w:rsidRPr="0023435D">
              <w:rPr>
                <w:rFonts w:cs="Arial"/>
                <w:sz w:val="24"/>
                <w:szCs w:val="24"/>
              </w:rPr>
              <w:t xml:space="preserve">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  <w:p w14:paraId="73240C38" w14:textId="77777777" w:rsidR="00E75B06" w:rsidRPr="0023435D" w:rsidRDefault="00E75B06" w:rsidP="00742F03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Za usługę zdrowotną należy rozumieć każde świadczenie opieki zdrowotnej zgodnie z definicją wskazaną w ustawie </w:t>
            </w:r>
            <w:r w:rsidRPr="0023435D">
              <w:rPr>
                <w:rFonts w:cs="Arial"/>
                <w:sz w:val="24"/>
                <w:szCs w:val="24"/>
              </w:rPr>
              <w:br/>
              <w:t xml:space="preserve">o świadczeniach opieki zdrowotnej finansowanych ze środków publicznych z dnia 27 sierpnia 2004 r. (Dz. U. 2008 Nr 164 poz. 1027 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</w:tc>
      </w:tr>
      <w:tr w:rsidR="00E75B06" w:rsidRPr="004A2391" w14:paraId="4BA323B7" w14:textId="77777777" w:rsidTr="00742F03">
        <w:tc>
          <w:tcPr>
            <w:tcW w:w="552" w:type="dxa"/>
            <w:vAlign w:val="center"/>
          </w:tcPr>
          <w:p w14:paraId="1464A994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74CA4F28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 xml:space="preserve">Liczba podmiotów leczniczych objętych wsparciem w programie świadczących usługi zdrowotne </w:t>
            </w:r>
            <w:r w:rsidRPr="0023435D">
              <w:rPr>
                <w:rFonts w:cs="Arial"/>
                <w:i/>
                <w:sz w:val="24"/>
                <w:szCs w:val="24"/>
              </w:rPr>
              <w:br/>
              <w:t xml:space="preserve">z zakresu Podstawowej Opieki Zdrowotnej (POZ) </w:t>
            </w:r>
          </w:p>
        </w:tc>
        <w:tc>
          <w:tcPr>
            <w:tcW w:w="1276" w:type="dxa"/>
            <w:vAlign w:val="center"/>
          </w:tcPr>
          <w:p w14:paraId="104B9ACF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3F7EB29E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7A9732CF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1585201E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2F2DEE8C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Podmioty lecznicze w świetle </w:t>
            </w:r>
            <w:r w:rsidRPr="0023435D">
              <w:rPr>
                <w:rFonts w:cs="Arial"/>
                <w:i/>
                <w:sz w:val="24"/>
                <w:szCs w:val="24"/>
              </w:rPr>
              <w:t>ustawy o działalności leczniczej z dnia 15 kwietnia 2011r. (</w:t>
            </w:r>
            <w:r w:rsidRPr="0023435D">
              <w:rPr>
                <w:rFonts w:cs="Arial"/>
                <w:bCs/>
                <w:i/>
                <w:sz w:val="24"/>
                <w:szCs w:val="24"/>
              </w:rPr>
              <w:t>Dz.U. 2011 Nr 112 poz. 654</w:t>
            </w:r>
            <w:r w:rsidRPr="0023435D">
              <w:rPr>
                <w:rFonts w:cs="Arial"/>
                <w:bCs/>
                <w:sz w:val="24"/>
                <w:szCs w:val="24"/>
              </w:rPr>
              <w:t>) uznaje się: przedsiębiorców, samodzielne publiczne zakłady opieki zdrowotnej, jednostki budżetowe, instytuty badawcze, fundacje i stowarzyszenia, posiadające osobowość prawna jednostki organizacyjne stowarzyszeń, osoby prawne i jednostki organizacyjne działające na podstawie przepisów o stosunku Państwa do Kościoła Katolickiego w Rzeczypospolitej Polskiej, jednostki wojskowe – w zakresie, w jakim wykonują działalność leczniczą.</w:t>
            </w:r>
          </w:p>
          <w:p w14:paraId="10254DEC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bCs/>
                <w:sz w:val="24"/>
                <w:szCs w:val="24"/>
              </w:rPr>
              <w:t xml:space="preserve">Podstawową opiekę zdrowotną w świetle </w:t>
            </w:r>
            <w:r w:rsidRPr="0023435D">
              <w:rPr>
                <w:rFonts w:cs="Arial"/>
                <w:bCs/>
                <w:i/>
                <w:sz w:val="24"/>
                <w:szCs w:val="24"/>
              </w:rPr>
              <w:t xml:space="preserve">ustawy </w:t>
            </w:r>
            <w:r>
              <w:rPr>
                <w:rFonts w:cs="Arial"/>
                <w:bCs/>
                <w:i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i/>
                <w:sz w:val="24"/>
                <w:szCs w:val="24"/>
              </w:rPr>
              <w:t xml:space="preserve">o świadczeniach opieki zdrowotnej finansowanych ze środków publicznych z dnia 27 sierpnia 2004r. </w:t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uznaje się świadczenia zdrowotne profilaktyczne, diagnostyczne, lecznicze, rehabilitacyjne oraz pielęgnacyjne z zakresu medycyny ogólnej, rodzinnej, chorób wewnętrznych </w:t>
            </w:r>
            <w:r w:rsidRPr="0023435D">
              <w:rPr>
                <w:rFonts w:cs="Arial"/>
                <w:bCs/>
                <w:sz w:val="24"/>
                <w:szCs w:val="24"/>
              </w:rPr>
              <w:br/>
              <w:t>i pediatrii, udzielane w ramach ambulatoryjnej opieki zdrowotnej.</w:t>
            </w:r>
            <w:r w:rsidRPr="0023435D">
              <w:rPr>
                <w:rFonts w:cs="Arial"/>
                <w:sz w:val="24"/>
                <w:szCs w:val="24"/>
              </w:rPr>
              <w:t xml:space="preserve"> </w:t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Kwestie podstawowej opieki zdrowotnej reguluje </w:t>
            </w:r>
            <w:r w:rsidRPr="0023435D">
              <w:rPr>
                <w:rFonts w:cs="Arial"/>
                <w:bCs/>
                <w:i/>
                <w:iCs/>
                <w:sz w:val="24"/>
                <w:szCs w:val="24"/>
              </w:rPr>
              <w:t xml:space="preserve">rozporządzenie Ministra Zdrowia z dnia </w:t>
            </w:r>
            <w:r>
              <w:rPr>
                <w:rFonts w:cs="Arial"/>
                <w:bCs/>
                <w:i/>
                <w:iCs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i/>
                <w:iCs/>
                <w:sz w:val="24"/>
                <w:szCs w:val="24"/>
              </w:rPr>
              <w:t xml:space="preserve">29 grudnia 2014 r. zmieniające rozporządzenie w sprawie świadczeń gwarantowanych z zakresu podstawowej opieki zdrowotnej  </w:t>
            </w:r>
            <w:r w:rsidRPr="0023435D">
              <w:rPr>
                <w:rFonts w:cs="Arial"/>
                <w:bCs/>
                <w:sz w:val="24"/>
                <w:szCs w:val="24"/>
              </w:rPr>
              <w:t>(Dz. U. poz. 1440).</w:t>
            </w:r>
          </w:p>
          <w:p w14:paraId="022B2124" w14:textId="77777777" w:rsidR="00E75B06" w:rsidRPr="0023435D" w:rsidRDefault="00E75B06" w:rsidP="00742F03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Za usługę zdrowotną należy rozumieć każde świadczenie opieki zdrowotnej zgodnie z definicją wskazaną w ustawie </w:t>
            </w:r>
            <w:r w:rsidRPr="0023435D">
              <w:rPr>
                <w:rFonts w:cs="Arial"/>
                <w:sz w:val="24"/>
                <w:szCs w:val="24"/>
              </w:rPr>
              <w:br/>
              <w:t xml:space="preserve">o świadczeniach opieki zdrowotnej finansowanych ze środków publicznych z dnia 27 sierpnia 2004 r. (Dz. U. 2008 Nr 164 poz. 1027 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</w:tc>
      </w:tr>
      <w:tr w:rsidR="00E75B06" w:rsidRPr="004A2391" w14:paraId="269D362D" w14:textId="77777777" w:rsidTr="00742F03">
        <w:tc>
          <w:tcPr>
            <w:tcW w:w="552" w:type="dxa"/>
            <w:vAlign w:val="center"/>
          </w:tcPr>
          <w:p w14:paraId="4C9E01D1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14:paraId="64B893B4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Liczba szpitali objętych wsparciem w programie świadczących usługi zdrowotne</w:t>
            </w:r>
          </w:p>
        </w:tc>
        <w:tc>
          <w:tcPr>
            <w:tcW w:w="1276" w:type="dxa"/>
            <w:vAlign w:val="center"/>
          </w:tcPr>
          <w:p w14:paraId="180745FF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6A1506CD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43B2C508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3C3DA696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242CAACD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Szpital w świetle </w:t>
            </w:r>
            <w:r w:rsidRPr="0023435D">
              <w:rPr>
                <w:rFonts w:cs="Arial"/>
                <w:i/>
                <w:sz w:val="24"/>
                <w:szCs w:val="24"/>
              </w:rPr>
              <w:t xml:space="preserve">ustawy o działalności leczniczej z dnia </w:t>
            </w:r>
            <w:r>
              <w:rPr>
                <w:rFonts w:cs="Arial"/>
                <w:i/>
                <w:sz w:val="24"/>
                <w:szCs w:val="24"/>
              </w:rPr>
              <w:br/>
            </w:r>
            <w:r w:rsidRPr="0023435D">
              <w:rPr>
                <w:rFonts w:cs="Arial"/>
                <w:i/>
                <w:sz w:val="24"/>
                <w:szCs w:val="24"/>
              </w:rPr>
              <w:t>15 kwietnia 2011r. (</w:t>
            </w:r>
            <w:r w:rsidRPr="0023435D">
              <w:rPr>
                <w:rFonts w:cs="Arial"/>
                <w:bCs/>
                <w:i/>
                <w:sz w:val="24"/>
                <w:szCs w:val="24"/>
              </w:rPr>
              <w:t>Dz.U. 2011 Nr 112 poz. 654)</w:t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 uznaje się przedsiębiorstwo podmiotu leczniczego, w którym podmiot ten wykonuje działalność leczniczą w rodzaju świadczenia szpitalne.</w:t>
            </w:r>
          </w:p>
          <w:p w14:paraId="60A139EF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Podmiot leczniczy w świetle </w:t>
            </w:r>
            <w:r w:rsidRPr="0023435D">
              <w:rPr>
                <w:rFonts w:cs="Arial"/>
                <w:i/>
                <w:sz w:val="24"/>
                <w:szCs w:val="24"/>
              </w:rPr>
              <w:t>ww. ustawy</w:t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 uznaje się: przedsiębiorców, samodzielne publiczne zakłady opieki zdrowotnej, jednostki budżetowe, instytuty badawcze, fundacje i stowarzyszenia, posiadające osobowość prawna jednostki organizacyjne stowarzyszeń, osoby prawne </w:t>
            </w:r>
            <w:r>
              <w:rPr>
                <w:rFonts w:cs="Arial"/>
                <w:bCs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i jednostki organizacyjne działające na podstawie przepisów o stosunku Państwa do Kościoła Katolickiego </w:t>
            </w:r>
            <w:r>
              <w:rPr>
                <w:rFonts w:cs="Arial"/>
                <w:bCs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w Rzeczypospolitej Polskiej, jednostki wojskowe </w:t>
            </w:r>
            <w:r>
              <w:rPr>
                <w:rFonts w:cs="Arial"/>
                <w:bCs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sz w:val="24"/>
                <w:szCs w:val="24"/>
              </w:rPr>
              <w:t>– w zakresie, w jakim wykonują działalność leczniczą.</w:t>
            </w:r>
          </w:p>
          <w:p w14:paraId="24388042" w14:textId="77777777" w:rsidR="00E75B06" w:rsidRPr="0023435D" w:rsidRDefault="00E75B06" w:rsidP="00742F03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Za usługę zdrowotną należy rozumieć każde świadczenie opieki zdrowotnej zgodnie z definicją wskazaną w ustawie o świadczeniach opieki zdrowotnej finansowanych ze środków publicznych z dnia 27 sierpnia 2004 r. (Dz. U. 2008 Nr 164 poz. 1027 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</w:tc>
      </w:tr>
      <w:tr w:rsidR="00E75B06" w:rsidRPr="004A2391" w14:paraId="55585BDE" w14:textId="77777777" w:rsidTr="00742F03">
        <w:tc>
          <w:tcPr>
            <w:tcW w:w="552" w:type="dxa"/>
            <w:vAlign w:val="center"/>
          </w:tcPr>
          <w:p w14:paraId="783419C9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14:paraId="01CE3221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 xml:space="preserve">Liczba innych podmiotów leczniczych objętych wsparciem </w:t>
            </w:r>
            <w:r w:rsidRPr="0023435D">
              <w:rPr>
                <w:rFonts w:cs="Arial"/>
                <w:i/>
                <w:sz w:val="24"/>
                <w:szCs w:val="24"/>
              </w:rPr>
              <w:br/>
              <w:t>w programie świadczących usługi zdrowotne</w:t>
            </w:r>
          </w:p>
        </w:tc>
        <w:tc>
          <w:tcPr>
            <w:tcW w:w="1276" w:type="dxa"/>
            <w:vAlign w:val="center"/>
          </w:tcPr>
          <w:p w14:paraId="5E65C413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011FED91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40E983EE" w14:textId="77777777" w:rsidR="00E75B06" w:rsidRPr="0023435D" w:rsidRDefault="00E75B06" w:rsidP="00742F03">
            <w:pPr>
              <w:spacing w:before="80" w:after="80"/>
              <w:rPr>
                <w:sz w:val="23"/>
                <w:szCs w:val="23"/>
              </w:rPr>
            </w:pPr>
            <w:r w:rsidRPr="0023435D">
              <w:rPr>
                <w:szCs w:val="23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59771A67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493CB7A9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Podmioty lecznicze w świetle ustawy o działalności leczniczej z dnia 15 kwietnia 2011r. (</w:t>
            </w:r>
            <w:r w:rsidRPr="0023435D">
              <w:rPr>
                <w:rFonts w:cs="Arial"/>
                <w:bCs/>
                <w:sz w:val="24"/>
                <w:szCs w:val="24"/>
              </w:rPr>
              <w:t>Dz.U. 2011 Nr 112 poz. 654) uznaje się: przedsiębiorców, samodzielne publiczne zakłady opieki zdrowotnej, jednostki budżetowe, instytuty badawcze, fundacje i stowarzyszenia, posiadające osobowość prawna jednostki organizacyjne stowarzyszeń, osoby prawne i jednostki organizacyjne działające na podstawie przepisów o stosunku Państwa do Kościoła Katolickiego w Rzeczypospolitej Polskiej, jednostki wojskowe – w zakresie, w jakim wykonują działalność leczniczą.</w:t>
            </w:r>
          </w:p>
          <w:p w14:paraId="395EAADB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Za usługę zdrowotną należy rozumieć każde świadczenie opieki zdrowotnej zgodnie z definicją wskazaną w ustawie </w:t>
            </w:r>
            <w:r w:rsidRPr="0023435D">
              <w:rPr>
                <w:rFonts w:cs="Arial"/>
                <w:sz w:val="24"/>
                <w:szCs w:val="24"/>
              </w:rPr>
              <w:br/>
              <w:t xml:space="preserve">o świadczeniach opieki zdrowotnej finansowanych ze środków publicznych z dnia 27 sierpnia 2004 r. (Dz. U. 2008 Nr 164 poz. 1027 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  <w:p w14:paraId="7FCD72F0" w14:textId="77777777" w:rsidR="00E75B06" w:rsidRPr="0023435D" w:rsidRDefault="00E75B06" w:rsidP="00742F03">
            <w:pPr>
              <w:pStyle w:val="Akapitzlist"/>
              <w:spacing w:before="60"/>
              <w:ind w:left="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bCs/>
                <w:sz w:val="24"/>
                <w:szCs w:val="24"/>
              </w:rPr>
              <w:t xml:space="preserve">UWAGA: </w:t>
            </w:r>
          </w:p>
          <w:p w14:paraId="07BF6A29" w14:textId="77777777" w:rsidR="00E75B06" w:rsidRPr="0023435D" w:rsidRDefault="00E75B06" w:rsidP="00742F03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23435D">
              <w:rPr>
                <w:rFonts w:cs="Arial"/>
                <w:bCs/>
                <w:sz w:val="24"/>
                <w:szCs w:val="24"/>
              </w:rPr>
              <w:t>We wskaźniku nie należy wykazywać podmiotów świadczących usługi z zakresu POZ i AOS oraz szpitali.</w:t>
            </w:r>
          </w:p>
        </w:tc>
      </w:tr>
      <w:tr w:rsidR="00E75B06" w:rsidRPr="004A2391" w14:paraId="605FCD33" w14:textId="77777777" w:rsidTr="00742F03">
        <w:tc>
          <w:tcPr>
            <w:tcW w:w="552" w:type="dxa"/>
            <w:vAlign w:val="center"/>
          </w:tcPr>
          <w:p w14:paraId="39C93D99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14:paraId="784CEA46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vAlign w:val="center"/>
          </w:tcPr>
          <w:p w14:paraId="39C47B83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41C322A3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76149D14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0FDB0E9E" w14:textId="77777777" w:rsidR="00E75B06" w:rsidRPr="0023435D" w:rsidRDefault="00E75B06" w:rsidP="00742F03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61CC6ABC" w14:textId="77777777" w:rsidR="00E75B06" w:rsidRPr="0023435D" w:rsidRDefault="00E75B06" w:rsidP="00742F03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Wskaźnik obrazuje w jakim stopniu (%) projekt dotyczy części rewitalizacyjnej projektu. Jeżeli projekt w całości wynika z programu rewitalizacji lub ma zasięg horyzontalny, ale w całości sprofilowany jest na obszary objęte rewitalizacją to wartość wskaźnika będzie wynosiła 100%.</w:t>
            </w:r>
          </w:p>
          <w:p w14:paraId="7A2795FF" w14:textId="77777777" w:rsidR="00E75B06" w:rsidRPr="0023435D" w:rsidRDefault="00E75B06" w:rsidP="00742F03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W przypadku projektów, które dotyczą obszarów objętych programami rewitalizacyjnymi tylko w części (np. projekty </w:t>
            </w:r>
            <w:r w:rsidRPr="0023435D">
              <w:rPr>
                <w:sz w:val="24"/>
                <w:szCs w:val="24"/>
              </w:rPr>
              <w:br/>
              <w:t>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14:paraId="5BB24076" w14:textId="77777777" w:rsidR="00E75B06" w:rsidRPr="0023435D" w:rsidRDefault="00E75B06" w:rsidP="00742F03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Definicja programu rewitalizacji zgodnie z </w:t>
            </w:r>
            <w:r w:rsidRPr="0023435D">
              <w:rPr>
                <w:i/>
                <w:sz w:val="24"/>
                <w:szCs w:val="24"/>
              </w:rPr>
              <w:t xml:space="preserve">Wytycznymi </w:t>
            </w:r>
            <w:r>
              <w:rPr>
                <w:i/>
                <w:sz w:val="24"/>
                <w:szCs w:val="24"/>
              </w:rPr>
              <w:br/>
            </w:r>
            <w:r w:rsidRPr="0023435D">
              <w:rPr>
                <w:i/>
                <w:sz w:val="24"/>
                <w:szCs w:val="24"/>
              </w:rPr>
              <w:t>w zakresie rewitalizacji w programach operacyjnych na lata 2014-2020</w:t>
            </w:r>
            <w:r w:rsidRPr="0023435D">
              <w:rPr>
                <w:sz w:val="24"/>
                <w:szCs w:val="24"/>
              </w:rPr>
              <w:t>.</w:t>
            </w:r>
          </w:p>
        </w:tc>
      </w:tr>
      <w:tr w:rsidR="00E75B06" w:rsidRPr="004A2391" w14:paraId="7819B994" w14:textId="77777777" w:rsidTr="00742F03">
        <w:tc>
          <w:tcPr>
            <w:tcW w:w="552" w:type="dxa"/>
            <w:vAlign w:val="center"/>
          </w:tcPr>
          <w:p w14:paraId="565011AA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14:paraId="58C2956D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Ludność objęta ulepszonymi usługami zdrowotnymi</w:t>
            </w:r>
          </w:p>
        </w:tc>
        <w:tc>
          <w:tcPr>
            <w:tcW w:w="1276" w:type="dxa"/>
            <w:vAlign w:val="center"/>
          </w:tcPr>
          <w:p w14:paraId="3BEB5B4D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osoby</w:t>
            </w:r>
          </w:p>
        </w:tc>
        <w:tc>
          <w:tcPr>
            <w:tcW w:w="1276" w:type="dxa"/>
            <w:vAlign w:val="center"/>
          </w:tcPr>
          <w:p w14:paraId="4F1A779B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456B5EF5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4326BB30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23435D">
              <w:rPr>
                <w:sz w:val="24"/>
                <w:szCs w:val="24"/>
              </w:rPr>
              <w:t>Common</w:t>
            </w:r>
            <w:proofErr w:type="spellEnd"/>
            <w:r w:rsidRPr="0023435D">
              <w:rPr>
                <w:sz w:val="24"/>
                <w:szCs w:val="24"/>
              </w:rPr>
              <w:t xml:space="preserve"> </w:t>
            </w:r>
            <w:proofErr w:type="spellStart"/>
            <w:r w:rsidRPr="0023435D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Align w:val="center"/>
          </w:tcPr>
          <w:p w14:paraId="3FE806A4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Ludność określonego obszaru, który ma skorzystać z usług zdrowotnych wspieranych przez projekt. Obejmuje to nowych lub ulepszonych budynków albo nowego sprzętu dla różnego rodzaju usług zdrowotnych (profilaktyka, leczenie ambulatoryjne lub szpitalne, opieka </w:t>
            </w:r>
            <w:proofErr w:type="spellStart"/>
            <w:r w:rsidRPr="0023435D">
              <w:rPr>
                <w:sz w:val="24"/>
                <w:szCs w:val="24"/>
              </w:rPr>
              <w:t>pozabiegowa</w:t>
            </w:r>
            <w:proofErr w:type="spellEnd"/>
            <w:r w:rsidRPr="0023435D">
              <w:rPr>
                <w:sz w:val="24"/>
                <w:szCs w:val="24"/>
              </w:rPr>
              <w:t>).</w:t>
            </w:r>
          </w:p>
          <w:p w14:paraId="43539220" w14:textId="77777777" w:rsidR="00E75B06" w:rsidRPr="0023435D" w:rsidRDefault="00E75B06" w:rsidP="00742F03">
            <w:pPr>
              <w:spacing w:before="60" w:after="60"/>
              <w:rPr>
                <w:color w:val="C00000"/>
                <w:sz w:val="24"/>
                <w:szCs w:val="24"/>
                <w:highlight w:val="yellow"/>
              </w:rPr>
            </w:pPr>
            <w:r w:rsidRPr="0023435D">
              <w:rPr>
                <w:sz w:val="24"/>
                <w:szCs w:val="24"/>
              </w:rPr>
              <w:t xml:space="preserve">Wskaźnik wyklucza wielokrotne zliczanie, nawet jeśli interwencja daje kilka usług skierowanych do tej samej osoby: jedna osoba wciąż liczy się jako jedna osoba, nawet jeśli będzie korzystać z wielu usług, które były wspierane przez fundusze strukturalne. Na przykład, obiekt opieki </w:t>
            </w:r>
            <w:proofErr w:type="spellStart"/>
            <w:r w:rsidRPr="0023435D">
              <w:rPr>
                <w:sz w:val="24"/>
                <w:szCs w:val="24"/>
              </w:rPr>
              <w:t>pozabiegowej</w:t>
            </w:r>
            <w:proofErr w:type="spellEnd"/>
            <w:r w:rsidRPr="0023435D">
              <w:rPr>
                <w:sz w:val="24"/>
                <w:szCs w:val="24"/>
              </w:rPr>
              <w:t xml:space="preserve"> jest budowany w mieście o populacji </w:t>
            </w:r>
            <w:r>
              <w:rPr>
                <w:sz w:val="24"/>
                <w:szCs w:val="24"/>
              </w:rPr>
              <w:br/>
            </w:r>
            <w:r w:rsidRPr="0023435D">
              <w:rPr>
                <w:sz w:val="24"/>
                <w:szCs w:val="24"/>
              </w:rPr>
              <w:t xml:space="preserve">100 tysięcy mieszkańców. Będzie służyć połowie ludności miasta, a tym samym wartość wskaźnika wzrośnie </w:t>
            </w:r>
            <w:r w:rsidRPr="0023435D">
              <w:rPr>
                <w:sz w:val="24"/>
                <w:szCs w:val="24"/>
              </w:rPr>
              <w:br/>
              <w:t xml:space="preserve">o 50.000. Jeśli później usługi profilaktyczne zostaną rozwinięte </w:t>
            </w:r>
            <w:r w:rsidRPr="0023435D">
              <w:rPr>
                <w:sz w:val="24"/>
                <w:szCs w:val="24"/>
              </w:rPr>
              <w:br/>
              <w:t>w tym samym mieście i będą służyć całej populacji, wartość wskaźnika wzrośnie o kolejne 50.000.</w:t>
            </w:r>
          </w:p>
        </w:tc>
      </w:tr>
      <w:tr w:rsidR="00E75B06" w:rsidRPr="004A2391" w14:paraId="5FAF7520" w14:textId="77777777" w:rsidTr="00742F03">
        <w:tc>
          <w:tcPr>
            <w:tcW w:w="552" w:type="dxa"/>
            <w:vAlign w:val="center"/>
          </w:tcPr>
          <w:p w14:paraId="0DF14872" w14:textId="77777777" w:rsidR="00E75B06" w:rsidRPr="00A635F2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14:paraId="7C75039E" w14:textId="77777777" w:rsidR="00E75B06" w:rsidRPr="0023435D" w:rsidRDefault="00E75B06" w:rsidP="00742F03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eastAsia="Times New Roman" w:cs="Times New Roman"/>
                <w:bCs/>
                <w:i/>
                <w:sz w:val="24"/>
                <w:szCs w:val="24"/>
              </w:rPr>
              <w:t>Liczba nowoutworzonych miejsc opieki paliatywnej i/lub hospicyjnej</w:t>
            </w:r>
          </w:p>
        </w:tc>
        <w:tc>
          <w:tcPr>
            <w:tcW w:w="1276" w:type="dxa"/>
            <w:vAlign w:val="center"/>
          </w:tcPr>
          <w:p w14:paraId="3018CC2B" w14:textId="77777777" w:rsidR="00E75B06" w:rsidRPr="0023435D" w:rsidRDefault="00E75B06" w:rsidP="00742F03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425D6C8E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151A62BF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304B0717" w14:textId="77777777" w:rsidR="00E75B06" w:rsidRPr="0023435D" w:rsidRDefault="00E75B06" w:rsidP="00742F03">
            <w:pPr>
              <w:spacing w:before="80" w:after="8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14:paraId="495BBEB1" w14:textId="77777777" w:rsidR="00E75B06" w:rsidRPr="0023435D" w:rsidRDefault="00E75B06" w:rsidP="00742F03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Liczba nowopowstałych miejsc opieki paliatywnej i/lub hospicyjnej świadczonej w warunkach stacjonarnych i/lub domowych objętych wsparciem w ramach projektu.</w:t>
            </w:r>
          </w:p>
        </w:tc>
      </w:tr>
    </w:tbl>
    <w:p w14:paraId="692D2AE2" w14:textId="77777777" w:rsidR="00E75B06" w:rsidRDefault="00E75B06" w:rsidP="00E75B06">
      <w:pPr>
        <w:spacing w:after="60"/>
        <w:rPr>
          <w:i/>
        </w:rPr>
      </w:pPr>
    </w:p>
    <w:p w14:paraId="04D30D47" w14:textId="77777777" w:rsidR="00E75B06" w:rsidRPr="000771AB" w:rsidRDefault="00E75B06" w:rsidP="00E75B06">
      <w:pPr>
        <w:spacing w:after="60"/>
        <w:rPr>
          <w:i/>
          <w:sz w:val="24"/>
          <w:szCs w:val="24"/>
        </w:rPr>
      </w:pPr>
    </w:p>
    <w:p w14:paraId="2FB102DC" w14:textId="77777777" w:rsidR="00E75B06" w:rsidRPr="000771AB" w:rsidRDefault="00E75B06" w:rsidP="00E75B06">
      <w:pPr>
        <w:spacing w:after="0" w:line="240" w:lineRule="auto"/>
        <w:jc w:val="both"/>
        <w:rPr>
          <w:sz w:val="24"/>
          <w:szCs w:val="24"/>
        </w:rPr>
      </w:pPr>
      <w:r w:rsidRPr="000771AB">
        <w:rPr>
          <w:b/>
          <w:sz w:val="24"/>
          <w:szCs w:val="24"/>
        </w:rPr>
        <w:t>UWAGA:</w:t>
      </w:r>
      <w:r w:rsidRPr="000771AB">
        <w:rPr>
          <w:sz w:val="24"/>
          <w:szCs w:val="24"/>
        </w:rPr>
        <w:t xml:space="preserve"> Dla wskaźników </w:t>
      </w:r>
      <w:proofErr w:type="spellStart"/>
      <w:r w:rsidRPr="000771AB">
        <w:rPr>
          <w:i/>
          <w:sz w:val="24"/>
          <w:szCs w:val="24"/>
        </w:rPr>
        <w:t>Common</w:t>
      </w:r>
      <w:proofErr w:type="spellEnd"/>
      <w:r w:rsidRPr="000771AB">
        <w:rPr>
          <w:i/>
          <w:sz w:val="24"/>
          <w:szCs w:val="24"/>
        </w:rPr>
        <w:t xml:space="preserve"> </w:t>
      </w:r>
      <w:proofErr w:type="spellStart"/>
      <w:r w:rsidRPr="000771AB">
        <w:rPr>
          <w:i/>
          <w:sz w:val="24"/>
          <w:szCs w:val="24"/>
        </w:rPr>
        <w:t>Indicators</w:t>
      </w:r>
      <w:proofErr w:type="spellEnd"/>
      <w:r w:rsidRPr="000771AB">
        <w:rPr>
          <w:rStyle w:val="Odwoanieprzypisudolnego"/>
          <w:sz w:val="24"/>
          <w:szCs w:val="24"/>
        </w:rPr>
        <w:footnoteReference w:id="2"/>
      </w:r>
      <w:r w:rsidRPr="000771AB">
        <w:rPr>
          <w:i/>
          <w:sz w:val="24"/>
          <w:szCs w:val="24"/>
        </w:rPr>
        <w:t xml:space="preserve"> </w:t>
      </w:r>
      <w:r w:rsidRPr="000771AB">
        <w:rPr>
          <w:sz w:val="24"/>
          <w:szCs w:val="24"/>
        </w:rPr>
        <w:t>przedstawione definicje są roboczym tłumaczeniem IZ RPO WO 2014-2020. Oryginalne definicje (w języku angielskim) znajdują się</w:t>
      </w:r>
      <w:r>
        <w:rPr>
          <w:sz w:val="24"/>
          <w:szCs w:val="24"/>
        </w:rPr>
        <w:t xml:space="preserve"> </w:t>
      </w:r>
      <w:r w:rsidRPr="000771AB">
        <w:rPr>
          <w:sz w:val="24"/>
          <w:szCs w:val="24"/>
        </w:rPr>
        <w:t xml:space="preserve">w dokumencie </w:t>
      </w:r>
      <w:r w:rsidRPr="000771AB">
        <w:rPr>
          <w:i/>
          <w:sz w:val="24"/>
          <w:szCs w:val="24"/>
        </w:rPr>
        <w:t xml:space="preserve">The </w:t>
      </w:r>
      <w:proofErr w:type="spellStart"/>
      <w:r w:rsidRPr="000771AB">
        <w:rPr>
          <w:i/>
          <w:sz w:val="24"/>
          <w:szCs w:val="24"/>
        </w:rPr>
        <w:t>programming</w:t>
      </w:r>
      <w:proofErr w:type="spellEnd"/>
      <w:r w:rsidRPr="000771AB">
        <w:rPr>
          <w:i/>
          <w:sz w:val="24"/>
          <w:szCs w:val="24"/>
        </w:rPr>
        <w:t xml:space="preserve"> period 2014-2020. </w:t>
      </w:r>
      <w:r w:rsidRPr="000771AB">
        <w:rPr>
          <w:i/>
          <w:sz w:val="24"/>
          <w:szCs w:val="24"/>
          <w:lang w:val="en-US"/>
        </w:rPr>
        <w:t xml:space="preserve">Guidance document on monitoring and evaluation. European Cohesion Fund. European Regional Development Fund. </w:t>
      </w:r>
      <w:proofErr w:type="spellStart"/>
      <w:r w:rsidRPr="000771AB">
        <w:rPr>
          <w:i/>
          <w:sz w:val="24"/>
          <w:szCs w:val="24"/>
        </w:rPr>
        <w:t>Concepts</w:t>
      </w:r>
      <w:proofErr w:type="spellEnd"/>
      <w:r w:rsidRPr="000771AB">
        <w:rPr>
          <w:i/>
          <w:sz w:val="24"/>
          <w:szCs w:val="24"/>
        </w:rPr>
        <w:t xml:space="preserve"> and </w:t>
      </w:r>
      <w:proofErr w:type="spellStart"/>
      <w:r w:rsidRPr="000771AB">
        <w:rPr>
          <w:i/>
          <w:sz w:val="24"/>
          <w:szCs w:val="24"/>
        </w:rPr>
        <w:t>Recommendations</w:t>
      </w:r>
      <w:proofErr w:type="spellEnd"/>
      <w:r w:rsidRPr="000771AB">
        <w:rPr>
          <w:i/>
          <w:sz w:val="24"/>
          <w:szCs w:val="24"/>
        </w:rPr>
        <w:t>. March 2014</w:t>
      </w:r>
      <w:r w:rsidRPr="000771AB">
        <w:rPr>
          <w:sz w:val="24"/>
          <w:szCs w:val="24"/>
        </w:rPr>
        <w:t>,</w:t>
      </w:r>
      <w:r w:rsidRPr="000771AB">
        <w:rPr>
          <w:i/>
          <w:sz w:val="24"/>
          <w:szCs w:val="24"/>
        </w:rPr>
        <w:t xml:space="preserve"> </w:t>
      </w:r>
      <w:r w:rsidRPr="000771AB">
        <w:rPr>
          <w:sz w:val="24"/>
          <w:szCs w:val="24"/>
        </w:rPr>
        <w:t xml:space="preserve">dostępnym na stronie internetowej Komisji Europejskiej: </w:t>
      </w:r>
      <w:hyperlink r:id="rId9" w:anchor="1" w:history="1">
        <w:r w:rsidRPr="000771AB">
          <w:rPr>
            <w:rStyle w:val="Hipercze"/>
            <w:i/>
            <w:sz w:val="24"/>
            <w:szCs w:val="24"/>
          </w:rPr>
          <w:t>http://ec.europa.eu/regional_policy/pl/policy/evaluations/guidance/#1</w:t>
        </w:r>
      </w:hyperlink>
    </w:p>
    <w:p w14:paraId="5DE54BD0" w14:textId="52F8A393" w:rsidR="00913771" w:rsidRPr="00E75B06" w:rsidRDefault="00913771" w:rsidP="00913771">
      <w:pPr>
        <w:spacing w:after="0" w:line="240" w:lineRule="auto"/>
        <w:jc w:val="both"/>
        <w:rPr>
          <w:sz w:val="24"/>
          <w:szCs w:val="24"/>
        </w:rPr>
      </w:pPr>
    </w:p>
    <w:sectPr w:rsidR="00913771" w:rsidRPr="00E75B06" w:rsidSect="007C70B7">
      <w:headerReference w:type="default" r:id="rId10"/>
      <w:footerReference w:type="default" r:id="rId11"/>
      <w:headerReference w:type="first" r:id="rId12"/>
      <w:pgSz w:w="16838" w:h="11906" w:orient="landscape"/>
      <w:pgMar w:top="1560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B264" w14:textId="77777777" w:rsidR="001554DA" w:rsidRDefault="001554DA" w:rsidP="00A11280">
      <w:pPr>
        <w:spacing w:after="0" w:line="240" w:lineRule="auto"/>
      </w:pPr>
      <w:r>
        <w:separator/>
      </w:r>
    </w:p>
  </w:endnote>
  <w:endnote w:type="continuationSeparator" w:id="0">
    <w:p w14:paraId="0791E88B" w14:textId="77777777" w:rsidR="001554DA" w:rsidRDefault="001554DA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14:paraId="746E9D3E" w14:textId="77777777" w:rsidR="00954099" w:rsidRPr="00D47A5A" w:rsidRDefault="00954099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7C70B7">
          <w:rPr>
            <w:noProof/>
            <w:sz w:val="20"/>
          </w:rPr>
          <w:t>9</w:t>
        </w:r>
        <w:r w:rsidRPr="00D47A5A">
          <w:rPr>
            <w:sz w:val="20"/>
          </w:rPr>
          <w:fldChar w:fldCharType="end"/>
        </w:r>
      </w:p>
    </w:sdtContent>
  </w:sdt>
  <w:p w14:paraId="52933E5F" w14:textId="77777777" w:rsidR="00954099" w:rsidRDefault="00954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6962" w14:textId="77777777" w:rsidR="001554DA" w:rsidRDefault="001554DA" w:rsidP="00A11280">
      <w:pPr>
        <w:spacing w:after="0" w:line="240" w:lineRule="auto"/>
      </w:pPr>
      <w:r>
        <w:separator/>
      </w:r>
    </w:p>
  </w:footnote>
  <w:footnote w:type="continuationSeparator" w:id="0">
    <w:p w14:paraId="1A635F81" w14:textId="77777777" w:rsidR="001554DA" w:rsidRDefault="001554DA" w:rsidP="00A11280">
      <w:pPr>
        <w:spacing w:after="0" w:line="240" w:lineRule="auto"/>
      </w:pPr>
      <w:r>
        <w:continuationSeparator/>
      </w:r>
    </w:p>
  </w:footnote>
  <w:footnote w:id="1">
    <w:p w14:paraId="34C76FE3" w14:textId="77777777" w:rsidR="00E75B06" w:rsidRPr="000771AB" w:rsidRDefault="00E75B06" w:rsidP="00E75B06">
      <w:pPr>
        <w:pStyle w:val="Tekstprzypisudolnego"/>
        <w:rPr>
          <w:sz w:val="24"/>
        </w:rPr>
      </w:pPr>
      <w:r w:rsidRPr="000771AB">
        <w:rPr>
          <w:rStyle w:val="Odwoanieprzypisudolnego"/>
          <w:sz w:val="24"/>
        </w:rPr>
        <w:footnoteRef/>
      </w:r>
      <w:r w:rsidRPr="000771AB">
        <w:rPr>
          <w:sz w:val="24"/>
        </w:rPr>
        <w:t xml:space="preserve"> Wskaźniki 5, 5a i 5b nie dotyczą działania 1.2 </w:t>
      </w:r>
      <w:r w:rsidRPr="000771AB">
        <w:rPr>
          <w:i/>
          <w:sz w:val="24"/>
        </w:rPr>
        <w:t xml:space="preserve">Infrastruktura B + R </w:t>
      </w:r>
      <w:r w:rsidRPr="000771AB">
        <w:rPr>
          <w:sz w:val="24"/>
        </w:rPr>
        <w:t xml:space="preserve">oraz działania 6.1 </w:t>
      </w:r>
      <w:r w:rsidRPr="000771AB">
        <w:rPr>
          <w:i/>
          <w:sz w:val="24"/>
        </w:rPr>
        <w:t xml:space="preserve">Infrastruktura drogowa </w:t>
      </w:r>
      <w:r w:rsidRPr="000771AB">
        <w:rPr>
          <w:sz w:val="24"/>
        </w:rPr>
        <w:t>RPO WO 2014-2020</w:t>
      </w:r>
    </w:p>
  </w:footnote>
  <w:footnote w:id="2">
    <w:p w14:paraId="621C399F" w14:textId="77777777" w:rsidR="00E75B06" w:rsidRDefault="00E75B06" w:rsidP="00E75B06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Są to wskaźniki określone w Załączniku I do </w:t>
      </w:r>
      <w:r>
        <w:rPr>
          <w:i/>
          <w:sz w:val="18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FD74" w14:textId="77777777" w:rsidR="007C70B7" w:rsidRPr="00F24E07" w:rsidRDefault="007C70B7" w:rsidP="007C70B7">
    <w:pPr>
      <w:spacing w:after="0" w:line="240" w:lineRule="auto"/>
      <w:jc w:val="right"/>
      <w:rPr>
        <w:rFonts w:eastAsia="Times New Roman"/>
        <w:i/>
        <w:sz w:val="24"/>
        <w:szCs w:val="24"/>
        <w:lang w:eastAsia="en-US"/>
      </w:rPr>
    </w:pPr>
    <w:r w:rsidRPr="00F24E07">
      <w:rPr>
        <w:rFonts w:eastAsia="Times New Roman"/>
        <w:b/>
        <w:i/>
        <w:sz w:val="24"/>
        <w:szCs w:val="24"/>
        <w:lang w:eastAsia="en-US"/>
      </w:rPr>
      <w:t xml:space="preserve">Załącznik nr 8  </w:t>
    </w:r>
    <w:r w:rsidRPr="00F24E07">
      <w:rPr>
        <w:rFonts w:eastAsia="Times New Roman"/>
        <w:i/>
        <w:sz w:val="24"/>
        <w:szCs w:val="24"/>
        <w:lang w:eastAsia="en-US"/>
      </w:rPr>
      <w:t>do Regulaminu konkursu</w:t>
    </w:r>
  </w:p>
  <w:p w14:paraId="78801ADC" w14:textId="77777777" w:rsidR="007C70B7" w:rsidRPr="00F24E07" w:rsidRDefault="007C70B7" w:rsidP="007C70B7">
    <w:pPr>
      <w:spacing w:after="0" w:line="240" w:lineRule="auto"/>
      <w:ind w:right="-1"/>
      <w:jc w:val="right"/>
      <w:rPr>
        <w:i/>
        <w:sz w:val="24"/>
        <w:szCs w:val="24"/>
      </w:rPr>
    </w:pPr>
    <w:r w:rsidRPr="00F24E07">
      <w:rPr>
        <w:i/>
        <w:sz w:val="24"/>
        <w:szCs w:val="24"/>
      </w:rPr>
      <w:t>Poddziałanie 10.1.1 Infrastruktura ochrony zdrowia</w:t>
    </w:r>
  </w:p>
  <w:p w14:paraId="65937450" w14:textId="77777777" w:rsidR="007C70B7" w:rsidRPr="00F24E07" w:rsidRDefault="007C70B7" w:rsidP="007C70B7">
    <w:pPr>
      <w:spacing w:after="0" w:line="240" w:lineRule="auto"/>
      <w:ind w:right="-1"/>
      <w:jc w:val="right"/>
      <w:rPr>
        <w:i/>
        <w:sz w:val="24"/>
        <w:szCs w:val="24"/>
      </w:rPr>
    </w:pPr>
    <w:r w:rsidRPr="00F24E07">
      <w:rPr>
        <w:i/>
        <w:sz w:val="24"/>
        <w:szCs w:val="24"/>
      </w:rPr>
      <w:t xml:space="preserve"> w zakresie profilaktyki zdrowotnej mieszkańców regionu RPO WO 2014-2020</w:t>
    </w:r>
  </w:p>
  <w:p w14:paraId="64E20DC8" w14:textId="77777777" w:rsidR="007C70B7" w:rsidRPr="00E75B06" w:rsidRDefault="007C70B7" w:rsidP="007C70B7">
    <w:pPr>
      <w:spacing w:after="0" w:line="240" w:lineRule="auto"/>
      <w:ind w:right="-1"/>
      <w:jc w:val="right"/>
      <w:rPr>
        <w:sz w:val="24"/>
        <w:szCs w:val="24"/>
      </w:rPr>
    </w:pPr>
    <w:r w:rsidRPr="00F24E07">
      <w:rPr>
        <w:i/>
        <w:sz w:val="24"/>
        <w:szCs w:val="24"/>
      </w:rPr>
      <w:t xml:space="preserve">                                                                                                                                                Wersja nr 1, kwiecień 2020 r</w:t>
    </w:r>
    <w:r w:rsidRPr="00E75B06">
      <w:rPr>
        <w:i/>
        <w:sz w:val="24"/>
        <w:szCs w:val="24"/>
      </w:rPr>
      <w:t>.</w:t>
    </w:r>
  </w:p>
  <w:p w14:paraId="7AD789EC" w14:textId="77777777" w:rsidR="00954099" w:rsidRDefault="00954099" w:rsidP="00964523">
    <w:pPr>
      <w:pStyle w:val="Nagwek"/>
      <w:jc w:val="right"/>
    </w:pPr>
    <w:r w:rsidRPr="0035163A">
      <w:rPr>
        <w:i/>
        <w:iCs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978D1" w14:textId="77777777" w:rsidR="00954099" w:rsidRPr="00F24E07" w:rsidRDefault="00954099" w:rsidP="004E05C0">
    <w:pPr>
      <w:spacing w:after="0" w:line="240" w:lineRule="auto"/>
      <w:jc w:val="right"/>
      <w:rPr>
        <w:rFonts w:eastAsia="Times New Roman"/>
        <w:i/>
        <w:sz w:val="24"/>
        <w:szCs w:val="24"/>
        <w:lang w:eastAsia="en-US"/>
      </w:rPr>
    </w:pPr>
    <w:r w:rsidRPr="00F24E07">
      <w:rPr>
        <w:rFonts w:eastAsia="Times New Roman"/>
        <w:b/>
        <w:i/>
        <w:sz w:val="24"/>
        <w:szCs w:val="24"/>
        <w:lang w:eastAsia="en-US"/>
      </w:rPr>
      <w:t xml:space="preserve">Załącznik nr </w:t>
    </w:r>
    <w:r w:rsidR="00B03521" w:rsidRPr="00F24E07">
      <w:rPr>
        <w:rFonts w:eastAsia="Times New Roman"/>
        <w:b/>
        <w:i/>
        <w:sz w:val="24"/>
        <w:szCs w:val="24"/>
        <w:lang w:eastAsia="en-US"/>
      </w:rPr>
      <w:t>8</w:t>
    </w:r>
    <w:r w:rsidRPr="00F24E07">
      <w:rPr>
        <w:rFonts w:eastAsia="Times New Roman"/>
        <w:b/>
        <w:i/>
        <w:sz w:val="24"/>
        <w:szCs w:val="24"/>
        <w:lang w:eastAsia="en-US"/>
      </w:rPr>
      <w:t xml:space="preserve">  </w:t>
    </w:r>
    <w:r w:rsidRPr="00F24E07">
      <w:rPr>
        <w:rFonts w:eastAsia="Times New Roman"/>
        <w:i/>
        <w:sz w:val="24"/>
        <w:szCs w:val="24"/>
        <w:lang w:eastAsia="en-US"/>
      </w:rPr>
      <w:t>do Regulaminu konkursu</w:t>
    </w:r>
  </w:p>
  <w:p w14:paraId="5AFBD9AC" w14:textId="77777777" w:rsidR="007356D4" w:rsidRPr="00F24E07" w:rsidRDefault="007356D4" w:rsidP="00E75B06">
    <w:pPr>
      <w:spacing w:after="0" w:line="240" w:lineRule="auto"/>
      <w:ind w:right="-1"/>
      <w:jc w:val="right"/>
      <w:rPr>
        <w:i/>
        <w:sz w:val="24"/>
        <w:szCs w:val="24"/>
      </w:rPr>
    </w:pPr>
    <w:r w:rsidRPr="00F24E07">
      <w:rPr>
        <w:i/>
        <w:sz w:val="24"/>
        <w:szCs w:val="24"/>
      </w:rPr>
      <w:t>Poddziałanie 10.1.1 Infrastruktura ochrony zdrowia</w:t>
    </w:r>
  </w:p>
  <w:p w14:paraId="0ADA6FC8" w14:textId="77777777" w:rsidR="007356D4" w:rsidRPr="00F24E07" w:rsidRDefault="007356D4" w:rsidP="00E75B06">
    <w:pPr>
      <w:spacing w:after="0" w:line="240" w:lineRule="auto"/>
      <w:ind w:right="-1"/>
      <w:jc w:val="right"/>
      <w:rPr>
        <w:i/>
        <w:sz w:val="24"/>
        <w:szCs w:val="24"/>
      </w:rPr>
    </w:pPr>
    <w:r w:rsidRPr="00F24E07">
      <w:rPr>
        <w:i/>
        <w:sz w:val="24"/>
        <w:szCs w:val="24"/>
      </w:rPr>
      <w:t xml:space="preserve"> w zakresie profilaktyki zdrowotnej mieszkańców regionu RPO WO 2014-2020</w:t>
    </w:r>
  </w:p>
  <w:p w14:paraId="78FF0C64" w14:textId="77777777" w:rsidR="007356D4" w:rsidRPr="00E75B06" w:rsidRDefault="007356D4" w:rsidP="00E75B06">
    <w:pPr>
      <w:spacing w:after="0" w:line="240" w:lineRule="auto"/>
      <w:ind w:right="-1"/>
      <w:jc w:val="right"/>
      <w:rPr>
        <w:sz w:val="24"/>
        <w:szCs w:val="24"/>
      </w:rPr>
    </w:pPr>
    <w:r w:rsidRPr="00F24E07">
      <w:rPr>
        <w:i/>
        <w:sz w:val="24"/>
        <w:szCs w:val="24"/>
      </w:rPr>
      <w:t xml:space="preserve">                                                                                                                                                Wersja nr 1, kwiecień 2020 r</w:t>
    </w:r>
    <w:r w:rsidRPr="00E75B06">
      <w:rPr>
        <w:i/>
        <w:sz w:val="24"/>
        <w:szCs w:val="24"/>
      </w:rPr>
      <w:t>.</w:t>
    </w:r>
  </w:p>
  <w:p w14:paraId="739F1688" w14:textId="77777777" w:rsidR="00954099" w:rsidRPr="004E05C0" w:rsidRDefault="00954099" w:rsidP="004E0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3B9"/>
    <w:multiLevelType w:val="hybridMultilevel"/>
    <w:tmpl w:val="544A21C4"/>
    <w:lvl w:ilvl="0" w:tplc="6A64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34991"/>
    <w:multiLevelType w:val="hybridMultilevel"/>
    <w:tmpl w:val="DF52E54C"/>
    <w:lvl w:ilvl="0" w:tplc="2DEA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24"/>
  </w:num>
  <w:num w:numId="5">
    <w:abstractNumId w:val="23"/>
  </w:num>
  <w:num w:numId="6">
    <w:abstractNumId w:val="21"/>
  </w:num>
  <w:num w:numId="7">
    <w:abstractNumId w:val="18"/>
  </w:num>
  <w:num w:numId="8">
    <w:abstractNumId w:val="10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1"/>
  </w:num>
  <w:num w:numId="24">
    <w:abstractNumId w:val="14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3D5"/>
    <w:rsid w:val="00003A52"/>
    <w:rsid w:val="00005649"/>
    <w:rsid w:val="00006354"/>
    <w:rsid w:val="00007B56"/>
    <w:rsid w:val="00011494"/>
    <w:rsid w:val="00011B8E"/>
    <w:rsid w:val="000121E3"/>
    <w:rsid w:val="000138D0"/>
    <w:rsid w:val="000153E8"/>
    <w:rsid w:val="00015583"/>
    <w:rsid w:val="00015DEA"/>
    <w:rsid w:val="000168FD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513EE"/>
    <w:rsid w:val="0005308B"/>
    <w:rsid w:val="00055EE7"/>
    <w:rsid w:val="00056BBD"/>
    <w:rsid w:val="00057063"/>
    <w:rsid w:val="00057CCC"/>
    <w:rsid w:val="00062C8B"/>
    <w:rsid w:val="00063C1C"/>
    <w:rsid w:val="00063E65"/>
    <w:rsid w:val="000653E0"/>
    <w:rsid w:val="00070958"/>
    <w:rsid w:val="000740D5"/>
    <w:rsid w:val="00083072"/>
    <w:rsid w:val="00083B3C"/>
    <w:rsid w:val="00086315"/>
    <w:rsid w:val="000908A9"/>
    <w:rsid w:val="00092958"/>
    <w:rsid w:val="000A0476"/>
    <w:rsid w:val="000A15B3"/>
    <w:rsid w:val="000A34FA"/>
    <w:rsid w:val="000A4AD5"/>
    <w:rsid w:val="000A5A30"/>
    <w:rsid w:val="000A5C5F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32BE"/>
    <w:rsid w:val="000E521A"/>
    <w:rsid w:val="000E5944"/>
    <w:rsid w:val="000E67E8"/>
    <w:rsid w:val="000E7D3B"/>
    <w:rsid w:val="000F6829"/>
    <w:rsid w:val="000F7226"/>
    <w:rsid w:val="00104C40"/>
    <w:rsid w:val="00106011"/>
    <w:rsid w:val="00107890"/>
    <w:rsid w:val="00112769"/>
    <w:rsid w:val="001137A4"/>
    <w:rsid w:val="00113F1F"/>
    <w:rsid w:val="001140C9"/>
    <w:rsid w:val="00114285"/>
    <w:rsid w:val="00114A0B"/>
    <w:rsid w:val="00116F45"/>
    <w:rsid w:val="001208AF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54DA"/>
    <w:rsid w:val="00157848"/>
    <w:rsid w:val="00157ED6"/>
    <w:rsid w:val="001657A9"/>
    <w:rsid w:val="0016785D"/>
    <w:rsid w:val="0017178D"/>
    <w:rsid w:val="00173EA5"/>
    <w:rsid w:val="00174162"/>
    <w:rsid w:val="0018193C"/>
    <w:rsid w:val="0018259B"/>
    <w:rsid w:val="00195DF3"/>
    <w:rsid w:val="00195E0A"/>
    <w:rsid w:val="001A2230"/>
    <w:rsid w:val="001A32D2"/>
    <w:rsid w:val="001A7097"/>
    <w:rsid w:val="001C0B0B"/>
    <w:rsid w:val="001D264C"/>
    <w:rsid w:val="001D2995"/>
    <w:rsid w:val="001D2DFD"/>
    <w:rsid w:val="001D3621"/>
    <w:rsid w:val="001D4775"/>
    <w:rsid w:val="001D577F"/>
    <w:rsid w:val="001D5EF7"/>
    <w:rsid w:val="001E3C79"/>
    <w:rsid w:val="001E4C2E"/>
    <w:rsid w:val="001F4327"/>
    <w:rsid w:val="002000C8"/>
    <w:rsid w:val="00203C38"/>
    <w:rsid w:val="0020483D"/>
    <w:rsid w:val="00205CB0"/>
    <w:rsid w:val="00207688"/>
    <w:rsid w:val="00207D6F"/>
    <w:rsid w:val="00215234"/>
    <w:rsid w:val="002165B4"/>
    <w:rsid w:val="002165FB"/>
    <w:rsid w:val="00216A64"/>
    <w:rsid w:val="002174D7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1BB5"/>
    <w:rsid w:val="002444C3"/>
    <w:rsid w:val="0024586C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14E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E195D"/>
    <w:rsid w:val="002E2C34"/>
    <w:rsid w:val="002E41A2"/>
    <w:rsid w:val="002E44DF"/>
    <w:rsid w:val="002E46F4"/>
    <w:rsid w:val="002F24F9"/>
    <w:rsid w:val="002F3149"/>
    <w:rsid w:val="002F33BC"/>
    <w:rsid w:val="00304C75"/>
    <w:rsid w:val="003073B4"/>
    <w:rsid w:val="00307EDB"/>
    <w:rsid w:val="003139D0"/>
    <w:rsid w:val="00320459"/>
    <w:rsid w:val="00322D9A"/>
    <w:rsid w:val="00330C4C"/>
    <w:rsid w:val="003317C9"/>
    <w:rsid w:val="0033221C"/>
    <w:rsid w:val="00335B0D"/>
    <w:rsid w:val="003414F1"/>
    <w:rsid w:val="00342EC8"/>
    <w:rsid w:val="00350F73"/>
    <w:rsid w:val="0035163A"/>
    <w:rsid w:val="00354DFA"/>
    <w:rsid w:val="00355D2E"/>
    <w:rsid w:val="00357688"/>
    <w:rsid w:val="0036037A"/>
    <w:rsid w:val="003612BE"/>
    <w:rsid w:val="00365665"/>
    <w:rsid w:val="00367BF2"/>
    <w:rsid w:val="00370247"/>
    <w:rsid w:val="00370E0C"/>
    <w:rsid w:val="00377C57"/>
    <w:rsid w:val="003814B8"/>
    <w:rsid w:val="003834FF"/>
    <w:rsid w:val="00386AE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6DBA"/>
    <w:rsid w:val="003D2FB7"/>
    <w:rsid w:val="003D31E5"/>
    <w:rsid w:val="003D3C8E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2FE2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4B8E"/>
    <w:rsid w:val="004578AB"/>
    <w:rsid w:val="00460BDF"/>
    <w:rsid w:val="00461960"/>
    <w:rsid w:val="004620F2"/>
    <w:rsid w:val="004659A1"/>
    <w:rsid w:val="00465E01"/>
    <w:rsid w:val="00466264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32C9"/>
    <w:rsid w:val="00495F8C"/>
    <w:rsid w:val="0049696C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3FEA"/>
    <w:rsid w:val="004D4776"/>
    <w:rsid w:val="004D48D9"/>
    <w:rsid w:val="004E05C0"/>
    <w:rsid w:val="004E1993"/>
    <w:rsid w:val="004E311C"/>
    <w:rsid w:val="004E4DA6"/>
    <w:rsid w:val="004E5215"/>
    <w:rsid w:val="004E5F90"/>
    <w:rsid w:val="004F4063"/>
    <w:rsid w:val="004F6E63"/>
    <w:rsid w:val="004F6F1C"/>
    <w:rsid w:val="004F7079"/>
    <w:rsid w:val="004F79CB"/>
    <w:rsid w:val="00502D55"/>
    <w:rsid w:val="005111F8"/>
    <w:rsid w:val="00512467"/>
    <w:rsid w:val="00514EDC"/>
    <w:rsid w:val="00517B7D"/>
    <w:rsid w:val="00520916"/>
    <w:rsid w:val="005213CE"/>
    <w:rsid w:val="00530513"/>
    <w:rsid w:val="00530BD8"/>
    <w:rsid w:val="00540C82"/>
    <w:rsid w:val="00541616"/>
    <w:rsid w:val="005425C2"/>
    <w:rsid w:val="005436B1"/>
    <w:rsid w:val="00543EC3"/>
    <w:rsid w:val="0054723E"/>
    <w:rsid w:val="00552E0D"/>
    <w:rsid w:val="00554BDB"/>
    <w:rsid w:val="00557FB2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0244"/>
    <w:rsid w:val="005A14CC"/>
    <w:rsid w:val="005A482D"/>
    <w:rsid w:val="005A6868"/>
    <w:rsid w:val="005B053A"/>
    <w:rsid w:val="005B10D2"/>
    <w:rsid w:val="005B1FDC"/>
    <w:rsid w:val="005B23E6"/>
    <w:rsid w:val="005B283C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11F30"/>
    <w:rsid w:val="00612750"/>
    <w:rsid w:val="00615E36"/>
    <w:rsid w:val="00617E85"/>
    <w:rsid w:val="00625468"/>
    <w:rsid w:val="00627DDB"/>
    <w:rsid w:val="0063106F"/>
    <w:rsid w:val="0063254B"/>
    <w:rsid w:val="00634266"/>
    <w:rsid w:val="00635E43"/>
    <w:rsid w:val="00640991"/>
    <w:rsid w:val="0064192E"/>
    <w:rsid w:val="00641F8D"/>
    <w:rsid w:val="00646646"/>
    <w:rsid w:val="0065404E"/>
    <w:rsid w:val="006541A8"/>
    <w:rsid w:val="00657EC9"/>
    <w:rsid w:val="006621DF"/>
    <w:rsid w:val="00662786"/>
    <w:rsid w:val="00662B00"/>
    <w:rsid w:val="00670B55"/>
    <w:rsid w:val="0067220D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2936"/>
    <w:rsid w:val="006B6D0A"/>
    <w:rsid w:val="006B6E11"/>
    <w:rsid w:val="006B6E44"/>
    <w:rsid w:val="006C1039"/>
    <w:rsid w:val="006C178D"/>
    <w:rsid w:val="006C452F"/>
    <w:rsid w:val="006C54F1"/>
    <w:rsid w:val="006D162A"/>
    <w:rsid w:val="006D307B"/>
    <w:rsid w:val="006D6C70"/>
    <w:rsid w:val="006E0EFF"/>
    <w:rsid w:val="006F1B2C"/>
    <w:rsid w:val="006F42E6"/>
    <w:rsid w:val="006F57DD"/>
    <w:rsid w:val="006F5963"/>
    <w:rsid w:val="006F7A2D"/>
    <w:rsid w:val="00700637"/>
    <w:rsid w:val="00702EF1"/>
    <w:rsid w:val="007048A7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171D3"/>
    <w:rsid w:val="0072197A"/>
    <w:rsid w:val="00722E29"/>
    <w:rsid w:val="00723497"/>
    <w:rsid w:val="00725343"/>
    <w:rsid w:val="007315C9"/>
    <w:rsid w:val="007317B9"/>
    <w:rsid w:val="00733355"/>
    <w:rsid w:val="007356D4"/>
    <w:rsid w:val="00735B8E"/>
    <w:rsid w:val="0074087F"/>
    <w:rsid w:val="007411F6"/>
    <w:rsid w:val="00742DC9"/>
    <w:rsid w:val="00743327"/>
    <w:rsid w:val="007435C8"/>
    <w:rsid w:val="0075259A"/>
    <w:rsid w:val="0075357F"/>
    <w:rsid w:val="00753583"/>
    <w:rsid w:val="00761C40"/>
    <w:rsid w:val="00761E9C"/>
    <w:rsid w:val="007622B2"/>
    <w:rsid w:val="0076425E"/>
    <w:rsid w:val="00773F23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C70B7"/>
    <w:rsid w:val="007D2154"/>
    <w:rsid w:val="007D2C0A"/>
    <w:rsid w:val="007D4131"/>
    <w:rsid w:val="007D4C96"/>
    <w:rsid w:val="007D57BB"/>
    <w:rsid w:val="007D6614"/>
    <w:rsid w:val="007D70C6"/>
    <w:rsid w:val="007E0180"/>
    <w:rsid w:val="007E204F"/>
    <w:rsid w:val="007E22E7"/>
    <w:rsid w:val="007E258D"/>
    <w:rsid w:val="007E36C2"/>
    <w:rsid w:val="007E57EC"/>
    <w:rsid w:val="007F44C2"/>
    <w:rsid w:val="007F7D1D"/>
    <w:rsid w:val="00800FA4"/>
    <w:rsid w:val="0080194C"/>
    <w:rsid w:val="00801B49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76AB5"/>
    <w:rsid w:val="00881365"/>
    <w:rsid w:val="00881689"/>
    <w:rsid w:val="00883C42"/>
    <w:rsid w:val="00886741"/>
    <w:rsid w:val="00892C10"/>
    <w:rsid w:val="00892C4D"/>
    <w:rsid w:val="008950B0"/>
    <w:rsid w:val="008959B5"/>
    <w:rsid w:val="008971CC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3771"/>
    <w:rsid w:val="00914AB9"/>
    <w:rsid w:val="009225BC"/>
    <w:rsid w:val="00926866"/>
    <w:rsid w:val="00927A77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4099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69B4"/>
    <w:rsid w:val="00977EB6"/>
    <w:rsid w:val="00980388"/>
    <w:rsid w:val="009820C9"/>
    <w:rsid w:val="00983378"/>
    <w:rsid w:val="00983E81"/>
    <w:rsid w:val="00985C49"/>
    <w:rsid w:val="00987B6C"/>
    <w:rsid w:val="009902EE"/>
    <w:rsid w:val="009926DB"/>
    <w:rsid w:val="00992F7F"/>
    <w:rsid w:val="00994397"/>
    <w:rsid w:val="00994568"/>
    <w:rsid w:val="00994A01"/>
    <w:rsid w:val="00994ABE"/>
    <w:rsid w:val="009A000A"/>
    <w:rsid w:val="009A10EC"/>
    <w:rsid w:val="009A3222"/>
    <w:rsid w:val="009A4E00"/>
    <w:rsid w:val="009A4E3E"/>
    <w:rsid w:val="009B1058"/>
    <w:rsid w:val="009B2519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D1A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17961"/>
    <w:rsid w:val="00A21B3F"/>
    <w:rsid w:val="00A21E6D"/>
    <w:rsid w:val="00A22820"/>
    <w:rsid w:val="00A2340B"/>
    <w:rsid w:val="00A2382C"/>
    <w:rsid w:val="00A25B3E"/>
    <w:rsid w:val="00A25D6D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429F"/>
    <w:rsid w:val="00A5539C"/>
    <w:rsid w:val="00A55607"/>
    <w:rsid w:val="00A566FE"/>
    <w:rsid w:val="00A56B1F"/>
    <w:rsid w:val="00A56BFA"/>
    <w:rsid w:val="00A610C3"/>
    <w:rsid w:val="00A63FC4"/>
    <w:rsid w:val="00A64DF5"/>
    <w:rsid w:val="00A67684"/>
    <w:rsid w:val="00A676A0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4417"/>
    <w:rsid w:val="00AC7D5D"/>
    <w:rsid w:val="00AD36BA"/>
    <w:rsid w:val="00AD3AAE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3521"/>
    <w:rsid w:val="00B0456B"/>
    <w:rsid w:val="00B07132"/>
    <w:rsid w:val="00B07428"/>
    <w:rsid w:val="00B11FE6"/>
    <w:rsid w:val="00B14D1A"/>
    <w:rsid w:val="00B23042"/>
    <w:rsid w:val="00B24153"/>
    <w:rsid w:val="00B24B36"/>
    <w:rsid w:val="00B25468"/>
    <w:rsid w:val="00B2752C"/>
    <w:rsid w:val="00B300BB"/>
    <w:rsid w:val="00B30223"/>
    <w:rsid w:val="00B30275"/>
    <w:rsid w:val="00B3412F"/>
    <w:rsid w:val="00B3671D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76266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B4C00"/>
    <w:rsid w:val="00BC14B8"/>
    <w:rsid w:val="00BC52C6"/>
    <w:rsid w:val="00BC56D0"/>
    <w:rsid w:val="00BC6511"/>
    <w:rsid w:val="00BC7EE3"/>
    <w:rsid w:val="00BD1809"/>
    <w:rsid w:val="00BD3741"/>
    <w:rsid w:val="00BD623F"/>
    <w:rsid w:val="00BD7882"/>
    <w:rsid w:val="00BE1108"/>
    <w:rsid w:val="00BE34E0"/>
    <w:rsid w:val="00BE78D2"/>
    <w:rsid w:val="00BF0CA3"/>
    <w:rsid w:val="00BF1958"/>
    <w:rsid w:val="00BF3654"/>
    <w:rsid w:val="00BF5BE4"/>
    <w:rsid w:val="00C013F9"/>
    <w:rsid w:val="00C04951"/>
    <w:rsid w:val="00C05E3B"/>
    <w:rsid w:val="00C116C0"/>
    <w:rsid w:val="00C13E93"/>
    <w:rsid w:val="00C169AD"/>
    <w:rsid w:val="00C229BF"/>
    <w:rsid w:val="00C2384F"/>
    <w:rsid w:val="00C23DD6"/>
    <w:rsid w:val="00C3041C"/>
    <w:rsid w:val="00C3376D"/>
    <w:rsid w:val="00C34749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3F50"/>
    <w:rsid w:val="00C8445E"/>
    <w:rsid w:val="00C851B1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0BC"/>
    <w:rsid w:val="00CD24D6"/>
    <w:rsid w:val="00CD338D"/>
    <w:rsid w:val="00CD4756"/>
    <w:rsid w:val="00CD784C"/>
    <w:rsid w:val="00CE045F"/>
    <w:rsid w:val="00CE0CF8"/>
    <w:rsid w:val="00CE24BD"/>
    <w:rsid w:val="00CE4515"/>
    <w:rsid w:val="00CE7C90"/>
    <w:rsid w:val="00CE7C94"/>
    <w:rsid w:val="00CF1305"/>
    <w:rsid w:val="00CF3A1F"/>
    <w:rsid w:val="00CF63B0"/>
    <w:rsid w:val="00D01C11"/>
    <w:rsid w:val="00D022C4"/>
    <w:rsid w:val="00D06A27"/>
    <w:rsid w:val="00D07AF4"/>
    <w:rsid w:val="00D10227"/>
    <w:rsid w:val="00D109D2"/>
    <w:rsid w:val="00D15791"/>
    <w:rsid w:val="00D21207"/>
    <w:rsid w:val="00D26BE8"/>
    <w:rsid w:val="00D27432"/>
    <w:rsid w:val="00D275D6"/>
    <w:rsid w:val="00D304F9"/>
    <w:rsid w:val="00D307DB"/>
    <w:rsid w:val="00D30972"/>
    <w:rsid w:val="00D34A8D"/>
    <w:rsid w:val="00D36A60"/>
    <w:rsid w:val="00D4097D"/>
    <w:rsid w:val="00D42BEF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288C"/>
    <w:rsid w:val="00D73278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A1CBC"/>
    <w:rsid w:val="00DA64DA"/>
    <w:rsid w:val="00DB38B3"/>
    <w:rsid w:val="00DB5184"/>
    <w:rsid w:val="00DB5AA4"/>
    <w:rsid w:val="00DB5E30"/>
    <w:rsid w:val="00DC068F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4233"/>
    <w:rsid w:val="00E151AB"/>
    <w:rsid w:val="00E152F7"/>
    <w:rsid w:val="00E1605C"/>
    <w:rsid w:val="00E21600"/>
    <w:rsid w:val="00E21CC8"/>
    <w:rsid w:val="00E21F4B"/>
    <w:rsid w:val="00E2310F"/>
    <w:rsid w:val="00E24B44"/>
    <w:rsid w:val="00E267B7"/>
    <w:rsid w:val="00E26B68"/>
    <w:rsid w:val="00E27129"/>
    <w:rsid w:val="00E30318"/>
    <w:rsid w:val="00E31654"/>
    <w:rsid w:val="00E32317"/>
    <w:rsid w:val="00E32DE0"/>
    <w:rsid w:val="00E34FD6"/>
    <w:rsid w:val="00E41444"/>
    <w:rsid w:val="00E43283"/>
    <w:rsid w:val="00E43E7A"/>
    <w:rsid w:val="00E47908"/>
    <w:rsid w:val="00E503EA"/>
    <w:rsid w:val="00E50DE7"/>
    <w:rsid w:val="00E51454"/>
    <w:rsid w:val="00E572EF"/>
    <w:rsid w:val="00E63D0A"/>
    <w:rsid w:val="00E652A8"/>
    <w:rsid w:val="00E713B3"/>
    <w:rsid w:val="00E735DF"/>
    <w:rsid w:val="00E7550B"/>
    <w:rsid w:val="00E75B06"/>
    <w:rsid w:val="00E76CF9"/>
    <w:rsid w:val="00E76D66"/>
    <w:rsid w:val="00E80A01"/>
    <w:rsid w:val="00E80B69"/>
    <w:rsid w:val="00E81560"/>
    <w:rsid w:val="00E858A9"/>
    <w:rsid w:val="00E907E9"/>
    <w:rsid w:val="00E91CF9"/>
    <w:rsid w:val="00E937B1"/>
    <w:rsid w:val="00E96E2E"/>
    <w:rsid w:val="00E9729C"/>
    <w:rsid w:val="00E97FDF"/>
    <w:rsid w:val="00EC02B5"/>
    <w:rsid w:val="00EC6446"/>
    <w:rsid w:val="00EC77B0"/>
    <w:rsid w:val="00ED1091"/>
    <w:rsid w:val="00ED2D0B"/>
    <w:rsid w:val="00ED303E"/>
    <w:rsid w:val="00EF2909"/>
    <w:rsid w:val="00EF3F8F"/>
    <w:rsid w:val="00EF46B8"/>
    <w:rsid w:val="00F00ADF"/>
    <w:rsid w:val="00F122C5"/>
    <w:rsid w:val="00F149AD"/>
    <w:rsid w:val="00F14A63"/>
    <w:rsid w:val="00F174E4"/>
    <w:rsid w:val="00F24E07"/>
    <w:rsid w:val="00F26B43"/>
    <w:rsid w:val="00F304F8"/>
    <w:rsid w:val="00F308AB"/>
    <w:rsid w:val="00F340A2"/>
    <w:rsid w:val="00F353FE"/>
    <w:rsid w:val="00F41DFA"/>
    <w:rsid w:val="00F424E6"/>
    <w:rsid w:val="00F4348E"/>
    <w:rsid w:val="00F45E49"/>
    <w:rsid w:val="00F5104E"/>
    <w:rsid w:val="00F51C2E"/>
    <w:rsid w:val="00F57B83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15A"/>
    <w:rsid w:val="00F85758"/>
    <w:rsid w:val="00F90331"/>
    <w:rsid w:val="00FA1A10"/>
    <w:rsid w:val="00FA4398"/>
    <w:rsid w:val="00FB1E12"/>
    <w:rsid w:val="00FB3A48"/>
    <w:rsid w:val="00FB3CFD"/>
    <w:rsid w:val="00FB43CA"/>
    <w:rsid w:val="00FB66D0"/>
    <w:rsid w:val="00FC5E2D"/>
    <w:rsid w:val="00FD3825"/>
    <w:rsid w:val="00FD3D46"/>
    <w:rsid w:val="00FD4489"/>
    <w:rsid w:val="00FD534C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B1A166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89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0E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275F-F0AE-4821-81BA-BB246C62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3222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Bogusław Kaczmarek</cp:lastModifiedBy>
  <cp:revision>6</cp:revision>
  <cp:lastPrinted>2020-02-05T10:11:00Z</cp:lastPrinted>
  <dcterms:created xsi:type="dcterms:W3CDTF">2020-04-20T14:20:00Z</dcterms:created>
  <dcterms:modified xsi:type="dcterms:W3CDTF">2020-04-22T06:50:00Z</dcterms:modified>
</cp:coreProperties>
</file>