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18845C84" w:rsidR="00136D60" w:rsidRDefault="00084599" w:rsidP="00136D60">
      <w:pPr>
        <w:jc w:val="center"/>
        <w:rPr>
          <w:rFonts w:eastAsiaTheme="minorEastAsia"/>
          <w:b/>
          <w:i/>
          <w:color w:val="000099"/>
          <w:sz w:val="44"/>
          <w:szCs w:val="28"/>
          <w:lang w:eastAsia="pl-PL"/>
        </w:rPr>
      </w:pPr>
      <w:r w:rsidRPr="00FF644B">
        <w:rPr>
          <w:rFonts w:ascii="Times New Roman" w:eastAsia="Times New Roman" w:hAnsi="Times New Roman"/>
          <w:noProof/>
          <w:sz w:val="24"/>
          <w:szCs w:val="24"/>
          <w:lang w:eastAsia="pl-PL"/>
        </w:rPr>
        <w:drawing>
          <wp:inline distT="0" distB="0" distL="0" distR="0" wp14:anchorId="6B9779C4" wp14:editId="0843C735">
            <wp:extent cx="7252959" cy="695325"/>
            <wp:effectExtent l="0" t="0" r="5715" b="0"/>
            <wp:docPr id="2" name="Obraz 2" descr="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4849" cy="695506"/>
                    </a:xfrm>
                    <a:prstGeom prst="rect">
                      <a:avLst/>
                    </a:prstGeom>
                    <a:noFill/>
                    <a:ln>
                      <a:noFill/>
                    </a:ln>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Default="0056023F" w:rsidP="003E2ADC">
      <w:pPr>
        <w:rPr>
          <w:rFonts w:eastAsiaTheme="minorEastAsia"/>
          <w:b/>
          <w:i/>
          <w:color w:val="000099"/>
          <w:sz w:val="10"/>
          <w:szCs w:val="28"/>
          <w:lang w:eastAsia="pl-PL"/>
        </w:rPr>
      </w:pPr>
    </w:p>
    <w:p w14:paraId="4194FD00" w14:textId="77777777" w:rsidR="001126DE" w:rsidRPr="0056023F" w:rsidRDefault="001126DE" w:rsidP="003E2ADC">
      <w:pPr>
        <w:rPr>
          <w:rFonts w:eastAsiaTheme="minorEastAsia"/>
          <w:b/>
          <w:i/>
          <w:color w:val="000099"/>
          <w:sz w:val="10"/>
          <w:szCs w:val="28"/>
          <w:lang w:eastAsia="pl-PL"/>
        </w:rPr>
      </w:pPr>
    </w:p>
    <w:p w14:paraId="43E6A7AB" w14:textId="608EC600" w:rsidR="009A24A5" w:rsidRPr="008D5FDA" w:rsidRDefault="003E2ADC" w:rsidP="008D5FDA">
      <w:pPr>
        <w:spacing w:after="0"/>
        <w:rPr>
          <w:rFonts w:ascii="Calibri" w:eastAsia="Calibri" w:hAnsi="Calibri" w:cs="Times New Roman"/>
          <w:b/>
          <w:color w:val="000099"/>
          <w:sz w:val="44"/>
          <w:szCs w:val="44"/>
          <w:lang w:eastAsia="pl-PL"/>
        </w:rPr>
      </w:pPr>
      <w:r w:rsidRPr="008D5FDA">
        <w:rPr>
          <w:rFonts w:ascii="Calibri" w:eastAsia="Calibri" w:hAnsi="Calibri" w:cs="Times New Roman"/>
          <w:b/>
          <w:color w:val="000099"/>
          <w:sz w:val="44"/>
          <w:szCs w:val="44"/>
          <w:lang w:eastAsia="pl-PL"/>
        </w:rPr>
        <w:t xml:space="preserve">ZAŁĄCZNIK NR </w:t>
      </w:r>
      <w:r w:rsidR="006D4ABB">
        <w:rPr>
          <w:rFonts w:ascii="Calibri" w:eastAsia="Calibri" w:hAnsi="Calibri" w:cs="Times New Roman"/>
          <w:b/>
          <w:color w:val="000099"/>
          <w:sz w:val="44"/>
          <w:szCs w:val="44"/>
          <w:lang w:eastAsia="pl-PL"/>
        </w:rPr>
        <w:t>7</w:t>
      </w:r>
    </w:p>
    <w:p w14:paraId="7DCE6031" w14:textId="77777777" w:rsidR="008D5FDA" w:rsidRPr="008D5FDA" w:rsidRDefault="00FD69C6" w:rsidP="008D5FDA">
      <w:pPr>
        <w:spacing w:after="0"/>
        <w:rPr>
          <w:rFonts w:eastAsiaTheme="minorEastAsia"/>
          <w:b/>
          <w:color w:val="000099"/>
          <w:sz w:val="44"/>
          <w:szCs w:val="28"/>
          <w:lang w:eastAsia="pl-PL"/>
        </w:rPr>
      </w:pPr>
      <w:r w:rsidRPr="008D5FDA">
        <w:rPr>
          <w:rFonts w:eastAsiaTheme="minorEastAsia"/>
          <w:b/>
          <w:color w:val="000099"/>
          <w:sz w:val="44"/>
          <w:szCs w:val="28"/>
          <w:lang w:eastAsia="pl-PL"/>
        </w:rPr>
        <w:t>Lista wskaźników na poziomie projektu dla</w:t>
      </w:r>
    </w:p>
    <w:p w14:paraId="249A8EF3" w14:textId="1EA23DBC" w:rsidR="00136D60" w:rsidRPr="008D5FDA" w:rsidRDefault="00766D6D" w:rsidP="008D5FDA">
      <w:pPr>
        <w:spacing w:after="0"/>
        <w:rPr>
          <w:rFonts w:eastAsiaTheme="minorEastAsia"/>
          <w:b/>
          <w:color w:val="000099"/>
          <w:sz w:val="44"/>
          <w:szCs w:val="28"/>
          <w:lang w:eastAsia="pl-PL"/>
        </w:rPr>
      </w:pPr>
      <w:r w:rsidRPr="008D5FDA">
        <w:rPr>
          <w:rFonts w:eastAsiaTheme="minorEastAsia"/>
          <w:b/>
          <w:color w:val="000099"/>
          <w:sz w:val="44"/>
          <w:szCs w:val="28"/>
          <w:lang w:eastAsia="pl-PL"/>
        </w:rPr>
        <w:t xml:space="preserve">Działania </w:t>
      </w:r>
      <w:r w:rsidR="0054505C" w:rsidRPr="0054505C">
        <w:rPr>
          <w:rFonts w:eastAsiaTheme="minorEastAsia"/>
          <w:b/>
          <w:iCs/>
          <w:color w:val="000099"/>
          <w:sz w:val="44"/>
          <w:szCs w:val="28"/>
          <w:lang w:eastAsia="pl-PL"/>
        </w:rPr>
        <w:t xml:space="preserve">9.4 </w:t>
      </w:r>
      <w:r w:rsidR="0054505C" w:rsidRPr="0054505C">
        <w:rPr>
          <w:rFonts w:eastAsiaTheme="minorEastAsia"/>
          <w:b/>
          <w:i/>
          <w:iCs/>
          <w:color w:val="000099"/>
          <w:sz w:val="44"/>
          <w:szCs w:val="28"/>
          <w:lang w:eastAsia="pl-PL"/>
        </w:rPr>
        <w:t>Wsparcie kształcenia ustawicznego w ramach Europejskiego Budżetu Obywatelskiego</w:t>
      </w:r>
      <w:r w:rsidR="003F5644" w:rsidRPr="008D5FDA">
        <w:rPr>
          <w:rFonts w:eastAsiaTheme="minorEastAsia"/>
          <w:b/>
          <w:i/>
          <w:color w:val="000099"/>
          <w:sz w:val="44"/>
          <w:szCs w:val="28"/>
          <w:lang w:eastAsia="pl-PL"/>
        </w:rPr>
        <w:t xml:space="preserve"> </w:t>
      </w:r>
      <w:r w:rsidR="00FD69C6" w:rsidRPr="008D5FDA">
        <w:rPr>
          <w:rFonts w:eastAsiaTheme="minorEastAsia"/>
          <w:b/>
          <w:color w:val="000099"/>
          <w:sz w:val="44"/>
          <w:szCs w:val="28"/>
          <w:lang w:eastAsia="pl-PL"/>
        </w:rPr>
        <w:t>w ramach RPO WO 2014-2020</w:t>
      </w: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66E009C" w14:textId="77777777" w:rsidR="009A24A5" w:rsidRDefault="009A24A5" w:rsidP="00136D60">
      <w:pPr>
        <w:rPr>
          <w:rFonts w:eastAsiaTheme="minorEastAsia"/>
          <w:b/>
          <w:lang w:eastAsia="pl-PL"/>
        </w:rPr>
      </w:pPr>
    </w:p>
    <w:p w14:paraId="551A3E08"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766271B0" w14:textId="77777777" w:rsidR="009A24A5" w:rsidRDefault="009A24A5" w:rsidP="00136D60">
      <w:pPr>
        <w:rPr>
          <w:rFonts w:eastAsiaTheme="minorEastAsia"/>
          <w:b/>
          <w:lang w:eastAsia="pl-PL"/>
        </w:rPr>
      </w:pPr>
    </w:p>
    <w:p w14:paraId="0330069E" w14:textId="77777777" w:rsidR="009A24A5" w:rsidRDefault="009A24A5" w:rsidP="00136D60">
      <w:pPr>
        <w:rPr>
          <w:rFonts w:eastAsiaTheme="minorEastAsia"/>
          <w:b/>
          <w:lang w:eastAsia="pl-PL"/>
        </w:rPr>
      </w:pPr>
    </w:p>
    <w:p w14:paraId="77B23E26" w14:textId="77777777" w:rsidR="00766D6D" w:rsidRPr="00136D60" w:rsidRDefault="00766D6D"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64AF0DBE" w14:textId="2A4B5625" w:rsidR="009A24A5" w:rsidRDefault="00CF0720" w:rsidP="00E01179">
      <w:pPr>
        <w:spacing w:after="0"/>
        <w:rPr>
          <w:rFonts w:eastAsiaTheme="minorEastAsia"/>
          <w:b/>
          <w:lang w:eastAsia="pl-PL"/>
        </w:rPr>
      </w:pPr>
      <w:r>
        <w:rPr>
          <w:rFonts w:eastAsiaTheme="minorEastAsia"/>
          <w:color w:val="000099"/>
          <w:sz w:val="18"/>
          <w:lang w:eastAsia="pl-PL"/>
        </w:rPr>
        <w:t xml:space="preserve">Opole, </w:t>
      </w:r>
      <w:r w:rsidR="007F4EA8">
        <w:rPr>
          <w:rFonts w:eastAsiaTheme="minorEastAsia"/>
          <w:color w:val="000099"/>
          <w:sz w:val="18"/>
          <w:lang w:eastAsia="pl-PL"/>
        </w:rPr>
        <w:t>wrzesień</w:t>
      </w:r>
      <w:r w:rsidR="00766D6D">
        <w:rPr>
          <w:rFonts w:eastAsiaTheme="minorEastAsia"/>
          <w:color w:val="000099"/>
          <w:sz w:val="18"/>
          <w:lang w:eastAsia="pl-PL"/>
        </w:rPr>
        <w:t xml:space="preserve"> 20</w:t>
      </w:r>
      <w:r w:rsidR="00FD6F18">
        <w:rPr>
          <w:rFonts w:eastAsiaTheme="minorEastAsia"/>
          <w:color w:val="000099"/>
          <w:sz w:val="18"/>
          <w:lang w:eastAsia="pl-PL"/>
        </w:rPr>
        <w:t>20</w:t>
      </w:r>
      <w:r w:rsidR="00136D60" w:rsidRPr="00136D60">
        <w:rPr>
          <w:rFonts w:eastAsiaTheme="minorEastAsia"/>
          <w:color w:val="000099"/>
          <w:sz w:val="18"/>
          <w:lang w:eastAsia="pl-PL"/>
        </w:rPr>
        <w:t xml:space="preserve"> r.</w:t>
      </w:r>
    </w:p>
    <w:p w14:paraId="27DBEE86" w14:textId="77777777" w:rsidR="00BE377C" w:rsidRPr="00FD6F18" w:rsidRDefault="00C374C2" w:rsidP="00CE19E5">
      <w:pPr>
        <w:spacing w:after="0"/>
        <w:ind w:left="-709" w:firstLine="283"/>
        <w:rPr>
          <w:i/>
          <w:sz w:val="24"/>
        </w:rPr>
      </w:pPr>
      <w:bookmarkStart w:id="0" w:name="_GoBack"/>
      <w:bookmarkEnd w:id="0"/>
      <w:r w:rsidRPr="00FD6F18">
        <w:rPr>
          <w:b/>
          <w:sz w:val="24"/>
        </w:rPr>
        <w:t xml:space="preserve">Tabela </w:t>
      </w:r>
      <w:r w:rsidR="00FC4C51" w:rsidRPr="00FD6F18">
        <w:rPr>
          <w:b/>
          <w:sz w:val="24"/>
        </w:rPr>
        <w:t xml:space="preserve">1 </w:t>
      </w:r>
      <w:r w:rsidR="00FC4C51" w:rsidRPr="00FD6F18">
        <w:rPr>
          <w:i/>
          <w:sz w:val="24"/>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3F5644" w:rsidRDefault="002826FB" w:rsidP="002826FB">
            <w:pPr>
              <w:pStyle w:val="Akapitzlist"/>
              <w:tabs>
                <w:tab w:val="left" w:pos="3402"/>
                <w:tab w:val="left" w:pos="5103"/>
              </w:tabs>
              <w:spacing w:before="80" w:after="80"/>
              <w:ind w:left="175"/>
              <w:rPr>
                <w:sz w:val="24"/>
                <w:szCs w:val="24"/>
              </w:rPr>
            </w:pPr>
            <w:r w:rsidRPr="003F5644">
              <w:rPr>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3F5644" w:rsidRDefault="009A24A5" w:rsidP="002826FB">
            <w:pPr>
              <w:pStyle w:val="Akapitzlist"/>
              <w:tabs>
                <w:tab w:val="left" w:pos="3402"/>
                <w:tab w:val="left" w:pos="5103"/>
              </w:tabs>
              <w:spacing w:before="80" w:after="80"/>
              <w:ind w:left="175"/>
              <w:rPr>
                <w:sz w:val="24"/>
                <w:szCs w:val="24"/>
              </w:rPr>
            </w:pPr>
            <w:r w:rsidRPr="003F5644">
              <w:rPr>
                <w:sz w:val="24"/>
                <w:szCs w:val="24"/>
              </w:rPr>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w:t>
            </w:r>
            <w:r w:rsidRPr="005452B5">
              <w:rPr>
                <w:sz w:val="24"/>
                <w:szCs w:val="24"/>
              </w:rPr>
              <w:lastRenderedPageBreak/>
              <w:t>komunikacyjnych. 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3F5644" w:rsidRDefault="002826FB" w:rsidP="002826FB">
            <w:pPr>
              <w:pStyle w:val="Akapitzlist"/>
              <w:tabs>
                <w:tab w:val="left" w:pos="3402"/>
                <w:tab w:val="left" w:pos="5103"/>
              </w:tabs>
              <w:spacing w:before="80" w:after="80"/>
              <w:ind w:left="34"/>
              <w:rPr>
                <w:sz w:val="24"/>
                <w:szCs w:val="24"/>
              </w:rPr>
            </w:pPr>
            <w:r w:rsidRPr="003F5644">
              <w:rPr>
                <w:sz w:val="24"/>
                <w:szCs w:val="24"/>
              </w:rPr>
              <w:lastRenderedPageBreak/>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3F5644" w:rsidRDefault="002826FB" w:rsidP="002826FB">
            <w:pPr>
              <w:pStyle w:val="Akapitzlist"/>
              <w:tabs>
                <w:tab w:val="left" w:pos="3402"/>
                <w:tab w:val="left" w:pos="5103"/>
              </w:tabs>
              <w:spacing w:before="80" w:after="80"/>
              <w:ind w:left="34"/>
              <w:rPr>
                <w:sz w:val="24"/>
                <w:szCs w:val="24"/>
              </w:rPr>
            </w:pPr>
            <w:r w:rsidRPr="003F5644">
              <w:rPr>
                <w:sz w:val="24"/>
                <w:szCs w:val="24"/>
              </w:rPr>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lastRenderedPageBreak/>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lastRenderedPageBreak/>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lastRenderedPageBreak/>
              <w:t>Bezpłatnie pomagający osobie prowadzącej działalność członek rodziny</w:t>
            </w:r>
            <w:r w:rsidRPr="00262A71">
              <w:rPr>
                <w:rFonts w:cs="Arial"/>
                <w:sz w:val="24"/>
                <w:szCs w:val="24"/>
              </w:rPr>
              <w:t xml:space="preserve"> uznawany jest za „osobę prowadzącą działalność na własny rachunek”.</w:t>
            </w:r>
          </w:p>
          <w:p w14:paraId="6621DEE9" w14:textId="77777777" w:rsidR="00AD23B2" w:rsidRPr="00AD23B2" w:rsidRDefault="00AD23B2" w:rsidP="00AD23B2">
            <w:pPr>
              <w:autoSpaceDE w:val="0"/>
              <w:autoSpaceDN w:val="0"/>
              <w:adjustRightInd w:val="0"/>
              <w:rPr>
                <w:rFonts w:cs="Arial"/>
                <w:sz w:val="24"/>
                <w:szCs w:val="24"/>
                <w:u w:val="single"/>
              </w:rPr>
            </w:pPr>
            <w:r w:rsidRPr="00AD23B2">
              <w:rPr>
                <w:rFonts w:cs="Arial"/>
                <w:sz w:val="24"/>
                <w:szCs w:val="24"/>
                <w:u w:val="single"/>
              </w:rPr>
              <w:t>Żołnierze poborowi</w:t>
            </w:r>
            <w:r w:rsidRPr="00AD23B2">
              <w:rPr>
                <w:rFonts w:cs="Arial"/>
                <w:sz w:val="24"/>
                <w:szCs w:val="24"/>
              </w:rPr>
              <w:t>, którzy wykonują określoną pracę, za którą otrzymują wynagrodzenie lub innego rodzaju zysk nie są uznawani za "osoby pracujące".</w:t>
            </w:r>
            <w:r w:rsidRPr="00AD23B2">
              <w:rPr>
                <w:rFonts w:cs="Arial"/>
                <w:sz w:val="24"/>
                <w:szCs w:val="24"/>
                <w:vertAlign w:val="superscript"/>
              </w:rPr>
              <w:footnoteReference w:id="1"/>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lastRenderedPageBreak/>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 xml:space="preserve">Programy na poziomie ISCED 3 z reguły kończą się 12 lub 13 lat po </w:t>
            </w:r>
            <w:r w:rsidRPr="00262A71">
              <w:rPr>
                <w:rFonts w:asciiTheme="minorHAnsi" w:hAnsiTheme="minorHAnsi"/>
                <w:sz w:val="24"/>
                <w:szCs w:val="24"/>
              </w:rPr>
              <w:lastRenderedPageBreak/>
              <w:t>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xml:space="preserve">– studia doktoranckie lub ich odpowiedniki – przede wszystkim prowadzą do uzyskania wysokiego stopnia naukowego. Programy na tym poziomie ISCED koncentrują się na zaawansowanych i twórczych pracach badawczych. Dostęp do </w:t>
            </w:r>
            <w:r w:rsidRPr="00262A71">
              <w:rPr>
                <w:rFonts w:cs="Arial"/>
                <w:sz w:val="24"/>
                <w:szCs w:val="24"/>
              </w:rPr>
              <w:lastRenderedPageBreak/>
              <w:t>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33401C4C"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w:t>
            </w:r>
            <w:r w:rsidR="00E20B22" w:rsidRPr="00E20B22">
              <w:rPr>
                <w:rFonts w:asciiTheme="minorHAnsi" w:hAnsiTheme="minorHAnsi"/>
                <w:sz w:val="24"/>
                <w:szCs w:val="24"/>
              </w:rPr>
              <w:t>o mniejszościach narodowych i etnicznych oraz o języku regionalnym (Dz. U. z 2017 r. poz. 823).</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174B856B"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w:t>
            </w:r>
            <w:r w:rsidR="00E20B22" w:rsidRPr="00E20B22">
              <w:rPr>
                <w:rFonts w:cs="Arial"/>
                <w:sz w:val="24"/>
                <w:szCs w:val="24"/>
              </w:rPr>
              <w:t>Dz. U. z 2020 r. poz. 426, z późn. zm</w:t>
            </w:r>
            <w:r w:rsidRPr="00262A71">
              <w:rPr>
                <w:rFonts w:cs="Arial"/>
                <w:sz w:val="24"/>
                <w:szCs w:val="24"/>
              </w:rPr>
              <w:t xml:space="preserve">), a także osoby z zaburzeniami psychicznymi, o których mowa w ustawie z dnia </w:t>
            </w:r>
            <w:r>
              <w:rPr>
                <w:rFonts w:cs="Arial"/>
                <w:sz w:val="24"/>
                <w:szCs w:val="24"/>
              </w:rPr>
              <w:t xml:space="preserve"> </w:t>
            </w:r>
            <w:r w:rsidRPr="00262A71">
              <w:rPr>
                <w:rFonts w:cs="Arial"/>
                <w:sz w:val="24"/>
                <w:szCs w:val="24"/>
              </w:rPr>
              <w:t xml:space="preserve">19 sierpnia 1994 r. o ochronie zdrowia psychicznego </w:t>
            </w:r>
            <w:r w:rsidR="00E20B22">
              <w:rPr>
                <w:rFonts w:cs="Arial"/>
                <w:sz w:val="24"/>
                <w:szCs w:val="24"/>
              </w:rPr>
              <w:t>(</w:t>
            </w:r>
            <w:r w:rsidR="00E20B22" w:rsidRPr="00E20B22">
              <w:rPr>
                <w:rFonts w:cs="Arial"/>
                <w:sz w:val="24"/>
                <w:szCs w:val="24"/>
              </w:rPr>
              <w:t>Dz. U. z 2020 r. poz. 685</w:t>
            </w:r>
            <w:r w:rsidRPr="00262A71">
              <w:rPr>
                <w:rFonts w:cs="Arial"/>
                <w:sz w:val="24"/>
                <w:szCs w:val="24"/>
              </w:rPr>
              <w:t>.),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w:t>
            </w:r>
            <w:r w:rsidRPr="00262A71">
              <w:rPr>
                <w:rFonts w:asciiTheme="minorHAnsi" w:eastAsiaTheme="minorHAnsi" w:hAnsiTheme="minorHAnsi" w:cs="Arial"/>
                <w:sz w:val="24"/>
                <w:szCs w:val="24"/>
              </w:rPr>
              <w:lastRenderedPageBreak/>
              <w:t xml:space="preserve">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CE19E5"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Pr="00AD23B2"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w:t>
            </w:r>
            <w:r w:rsidRPr="00AD23B2">
              <w:rPr>
                <w:rFonts w:asciiTheme="minorHAnsi" w:hAnsiTheme="minorHAnsi"/>
                <w:i/>
                <w:sz w:val="24"/>
                <w:szCs w:val="24"/>
              </w:rPr>
              <w:t xml:space="preserve">polityków poprzez dostarczanie informacji. </w:t>
            </w:r>
          </w:p>
          <w:p w14:paraId="23BBE75E" w14:textId="77777777" w:rsidR="009C307B" w:rsidRPr="00AD23B2" w:rsidRDefault="00DB353C" w:rsidP="00DB353C">
            <w:pPr>
              <w:pStyle w:val="Akapitzlist"/>
              <w:tabs>
                <w:tab w:val="left" w:pos="3402"/>
                <w:tab w:val="left" w:pos="5103"/>
              </w:tabs>
              <w:ind w:left="-8"/>
              <w:rPr>
                <w:rFonts w:asciiTheme="minorHAnsi" w:hAnsiTheme="minorHAnsi"/>
                <w:sz w:val="24"/>
                <w:szCs w:val="24"/>
              </w:rPr>
            </w:pPr>
            <w:r w:rsidRPr="00AD23B2">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Pr="00AD23B2" w:rsidRDefault="00DB353C" w:rsidP="00DB353C">
            <w:pPr>
              <w:pStyle w:val="Akapitzlist"/>
              <w:tabs>
                <w:tab w:val="left" w:pos="3402"/>
                <w:tab w:val="left" w:pos="5103"/>
              </w:tabs>
              <w:ind w:left="-8"/>
              <w:rPr>
                <w:rFonts w:asciiTheme="minorHAnsi" w:hAnsiTheme="minorHAnsi"/>
                <w:sz w:val="24"/>
                <w:szCs w:val="24"/>
              </w:rPr>
            </w:pPr>
            <w:r w:rsidRPr="00AD23B2">
              <w:rPr>
                <w:rFonts w:asciiTheme="minorHAnsi" w:hAnsiTheme="minorHAnsi"/>
                <w:sz w:val="24"/>
                <w:szCs w:val="24"/>
              </w:rPr>
              <w:t xml:space="preserve">Sformułowania zapisane kursywą są identyczne z definicjami Eurofound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AD23B2">
              <w:rPr>
                <w:rFonts w:asciiTheme="minorHAnsi" w:hAnsiTheme="minorHAnsi"/>
                <w:sz w:val="24"/>
                <w:szCs w:val="24"/>
              </w:rPr>
              <w:lastRenderedPageBreak/>
              <w:t xml:space="preserve">Wskaźnik obejmuje beneficjentów inicjujących </w:t>
            </w:r>
            <w:r w:rsidR="009C307B" w:rsidRPr="00AD23B2">
              <w:rPr>
                <w:rFonts w:asciiTheme="minorHAnsi" w:hAnsiTheme="minorHAnsi"/>
                <w:sz w:val="24"/>
                <w:szCs w:val="24"/>
              </w:rPr>
              <w:br/>
            </w:r>
            <w:r w:rsidRPr="00AD23B2">
              <w:rPr>
                <w:rFonts w:asciiTheme="minorHAnsi" w:hAnsiTheme="minorHAnsi"/>
                <w:sz w:val="24"/>
                <w:szCs w:val="24"/>
              </w:rPr>
              <w:t xml:space="preserve">i wdrażających projekty zgodnie z art. 2 Rozporządzenia </w:t>
            </w:r>
            <w:r w:rsidR="009C307B" w:rsidRPr="00AD23B2">
              <w:rPr>
                <w:rFonts w:asciiTheme="minorHAnsi" w:hAnsiTheme="minorHAnsi"/>
                <w:sz w:val="24"/>
                <w:szCs w:val="24"/>
              </w:rPr>
              <w:br/>
            </w:r>
            <w:r w:rsidRPr="00AD23B2">
              <w:rPr>
                <w:rFonts w:asciiTheme="minorHAnsi" w:hAnsiTheme="minorHAnsi"/>
                <w:sz w:val="24"/>
                <w:szCs w:val="24"/>
              </w:rPr>
              <w:t>nr 1303/2013</w:t>
            </w:r>
            <w:r w:rsidR="009C307B" w:rsidRPr="00AD23B2">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lastRenderedPageBreak/>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Liczba osób pracujących, łącznie </w:t>
            </w:r>
            <w:r w:rsidRPr="00262A71">
              <w:rPr>
                <w:rFonts w:cs="Arial"/>
                <w:i/>
                <w:sz w:val="24"/>
                <w:szCs w:val="24"/>
              </w:rPr>
              <w:lastRenderedPageBreak/>
              <w:t>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lastRenderedPageBreak/>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w:t>
            </w:r>
            <w:r w:rsidRPr="00262A71">
              <w:rPr>
                <w:sz w:val="24"/>
                <w:szCs w:val="24"/>
              </w:rPr>
              <w:lastRenderedPageBreak/>
              <w:t>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66D6D"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32147A50" w:rsidR="00766D6D" w:rsidRPr="00766D6D" w:rsidRDefault="00766D6D" w:rsidP="00CD719E">
            <w:pPr>
              <w:autoSpaceDE w:val="0"/>
              <w:autoSpaceDN w:val="0"/>
              <w:adjustRightInd w:val="0"/>
              <w:jc w:val="both"/>
              <w:rPr>
                <w:rFonts w:cs="Arial"/>
                <w:sz w:val="24"/>
                <w:szCs w:val="24"/>
              </w:rPr>
            </w:pPr>
            <w:r w:rsidRPr="00766D6D">
              <w:rPr>
                <w:i/>
                <w:color w:val="0033CC"/>
                <w:sz w:val="24"/>
              </w:rPr>
              <w:t>Oś priorytetowa I</w:t>
            </w:r>
            <w:r w:rsidR="00CD719E">
              <w:rPr>
                <w:i/>
                <w:color w:val="0033CC"/>
                <w:sz w:val="24"/>
              </w:rPr>
              <w:t>X</w:t>
            </w:r>
            <w:r w:rsidRPr="00766D6D">
              <w:rPr>
                <w:i/>
                <w:color w:val="0033CC"/>
                <w:sz w:val="24"/>
              </w:rPr>
              <w:t xml:space="preserve">  </w:t>
            </w:r>
            <w:r w:rsidR="00CD719E" w:rsidRPr="00CD719E">
              <w:rPr>
                <w:b/>
                <w:i/>
                <w:color w:val="0033CC"/>
                <w:sz w:val="24"/>
              </w:rPr>
              <w:t>Wysoka jakość edukacji</w:t>
            </w:r>
          </w:p>
        </w:tc>
      </w:tr>
      <w:tr w:rsidR="00766D6D"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427753C4" w:rsidR="00572E9F" w:rsidRPr="00572E9F" w:rsidRDefault="00766D6D" w:rsidP="00CD719E">
            <w:pPr>
              <w:autoSpaceDE w:val="0"/>
              <w:autoSpaceDN w:val="0"/>
              <w:adjustRightInd w:val="0"/>
              <w:jc w:val="both"/>
              <w:rPr>
                <w:b/>
                <w:i/>
                <w:color w:val="0033CC"/>
                <w:sz w:val="24"/>
                <w:szCs w:val="24"/>
              </w:rPr>
            </w:pPr>
            <w:r w:rsidRPr="00766D6D">
              <w:rPr>
                <w:i/>
                <w:color w:val="0033CC"/>
                <w:sz w:val="24"/>
              </w:rPr>
              <w:t xml:space="preserve">Działanie </w:t>
            </w:r>
            <w:r w:rsidR="00CD719E">
              <w:rPr>
                <w:i/>
                <w:color w:val="0033CC"/>
                <w:sz w:val="24"/>
              </w:rPr>
              <w:t>9.4</w:t>
            </w:r>
            <w:r w:rsidRPr="00766D6D">
              <w:rPr>
                <w:i/>
                <w:color w:val="0033CC"/>
                <w:sz w:val="24"/>
              </w:rPr>
              <w:t xml:space="preserve"> </w:t>
            </w:r>
            <w:r w:rsidR="00CD719E" w:rsidRPr="00CD719E">
              <w:rPr>
                <w:i/>
                <w:color w:val="0033CC"/>
                <w:sz w:val="24"/>
              </w:rPr>
              <w:t>Wsparcie kształcenia ustawicznego w ramach Europejskiego Budżetu Obywatelskiego</w:t>
            </w:r>
          </w:p>
        </w:tc>
      </w:tr>
      <w:tr w:rsidR="00572E9F" w:rsidRPr="009A24A5" w14:paraId="2047A440" w14:textId="77777777" w:rsidTr="00117FC7">
        <w:trPr>
          <w:jc w:val="center"/>
        </w:trPr>
        <w:tc>
          <w:tcPr>
            <w:tcW w:w="704" w:type="dxa"/>
            <w:vAlign w:val="center"/>
          </w:tcPr>
          <w:p w14:paraId="0E032E45" w14:textId="77777777" w:rsidR="00572E9F" w:rsidRPr="009A24A5" w:rsidRDefault="00572E9F" w:rsidP="00572E9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2DEC0804" w:rsidR="00572E9F" w:rsidRPr="00A47476" w:rsidRDefault="00CD719E" w:rsidP="00572E9F">
            <w:pPr>
              <w:autoSpaceDE w:val="0"/>
              <w:autoSpaceDN w:val="0"/>
              <w:adjustRightInd w:val="0"/>
              <w:rPr>
                <w:i/>
                <w:iCs/>
                <w:sz w:val="24"/>
                <w:szCs w:val="24"/>
              </w:rPr>
            </w:pPr>
            <w:r w:rsidRPr="00CD719E">
              <w:rPr>
                <w:i/>
                <w:iCs/>
                <w:sz w:val="24"/>
                <w:szCs w:val="24"/>
              </w:rPr>
              <w:t>Liczba osób objętych wsparciem w programie w zakresie uzyskiwania kwalifikacji lub nabywania kompetencji w ramach Europejskiego Budżetu Obywatelskiego</w:t>
            </w:r>
          </w:p>
        </w:tc>
        <w:tc>
          <w:tcPr>
            <w:tcW w:w="1140" w:type="dxa"/>
            <w:vAlign w:val="center"/>
          </w:tcPr>
          <w:p w14:paraId="0BA7ACB2" w14:textId="52FC4E8E" w:rsidR="00572E9F" w:rsidRPr="00A47476" w:rsidRDefault="00CD719E" w:rsidP="00572E9F">
            <w:pPr>
              <w:tabs>
                <w:tab w:val="left" w:pos="3402"/>
                <w:tab w:val="left" w:pos="5103"/>
              </w:tabs>
              <w:jc w:val="center"/>
              <w:rPr>
                <w:sz w:val="24"/>
                <w:szCs w:val="24"/>
              </w:rPr>
            </w:pPr>
            <w:r>
              <w:rPr>
                <w:sz w:val="24"/>
                <w:szCs w:val="24"/>
              </w:rPr>
              <w:t>os.</w:t>
            </w:r>
          </w:p>
        </w:tc>
        <w:tc>
          <w:tcPr>
            <w:tcW w:w="1283" w:type="dxa"/>
            <w:vAlign w:val="center"/>
          </w:tcPr>
          <w:p w14:paraId="3A98D579" w14:textId="3029DCF6" w:rsidR="00572E9F" w:rsidRPr="00A47476" w:rsidRDefault="00CD719E" w:rsidP="00572E9F">
            <w:pPr>
              <w:tabs>
                <w:tab w:val="left" w:pos="3402"/>
                <w:tab w:val="left" w:pos="5103"/>
              </w:tabs>
              <w:ind w:left="-183" w:right="-193"/>
              <w:jc w:val="center"/>
              <w:rPr>
                <w:sz w:val="24"/>
                <w:szCs w:val="24"/>
              </w:rPr>
            </w:pPr>
            <w:r>
              <w:rPr>
                <w:sz w:val="24"/>
                <w:szCs w:val="24"/>
              </w:rPr>
              <w:t>produkt</w:t>
            </w:r>
          </w:p>
        </w:tc>
        <w:tc>
          <w:tcPr>
            <w:tcW w:w="1557" w:type="dxa"/>
            <w:gridSpan w:val="2"/>
            <w:tcBorders>
              <w:right w:val="single" w:sz="4" w:space="0" w:color="9BBB59" w:themeColor="accent3"/>
            </w:tcBorders>
            <w:vAlign w:val="center"/>
          </w:tcPr>
          <w:p w14:paraId="14424E43" w14:textId="57104B3B" w:rsidR="00572E9F" w:rsidRPr="00A47476" w:rsidRDefault="00CD719E" w:rsidP="00572E9F">
            <w:pPr>
              <w:ind w:left="-116" w:right="-206"/>
              <w:jc w:val="center"/>
              <w:rPr>
                <w:sz w:val="24"/>
                <w:szCs w:val="24"/>
              </w:rPr>
            </w:pPr>
            <w:r>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719B383B" w:rsidR="00572E9F" w:rsidRPr="00A47476" w:rsidRDefault="00CD719E" w:rsidP="00572E9F">
            <w:pPr>
              <w:pStyle w:val="Akapitzlist"/>
              <w:tabs>
                <w:tab w:val="left" w:pos="3402"/>
                <w:tab w:val="left" w:pos="5103"/>
              </w:tabs>
              <w:ind w:left="-8"/>
              <w:jc w:val="center"/>
              <w:rPr>
                <w:rFonts w:asciiTheme="minorHAnsi" w:hAnsiTheme="minorHAnsi" w:cs="Calibri"/>
                <w:sz w:val="24"/>
                <w:szCs w:val="24"/>
              </w:rPr>
            </w:pPr>
            <w:r>
              <w:rPr>
                <w:rFonts w:asciiTheme="minorHAnsi" w:hAnsiTheme="minorHAnsi" w:cs="Calibri"/>
                <w:sz w:val="24"/>
                <w:szCs w:val="24"/>
              </w:rPr>
              <w:t>-</w:t>
            </w:r>
          </w:p>
        </w:tc>
        <w:tc>
          <w:tcPr>
            <w:tcW w:w="6099" w:type="dxa"/>
            <w:tcBorders>
              <w:left w:val="single" w:sz="4" w:space="0" w:color="9BBB59" w:themeColor="accent3"/>
            </w:tcBorders>
            <w:vAlign w:val="center"/>
          </w:tcPr>
          <w:p w14:paraId="13A3B17D" w14:textId="77777777" w:rsidR="00CD719E" w:rsidRDefault="00CD719E" w:rsidP="00362BA5">
            <w:pPr>
              <w:tabs>
                <w:tab w:val="left" w:pos="3402"/>
                <w:tab w:val="left" w:pos="5103"/>
              </w:tabs>
              <w:rPr>
                <w:rFonts w:cs="Calibri"/>
                <w:sz w:val="24"/>
                <w:szCs w:val="24"/>
              </w:rPr>
            </w:pPr>
            <w:r w:rsidRPr="00CD719E">
              <w:rPr>
                <w:rFonts w:cs="Calibri"/>
                <w:sz w:val="24"/>
                <w:szCs w:val="24"/>
              </w:rPr>
              <w:t>Liczba wszystkich uczestników projektu</w:t>
            </w:r>
            <w:r>
              <w:rPr>
                <w:rFonts w:cs="Calibri"/>
                <w:sz w:val="24"/>
                <w:szCs w:val="24"/>
              </w:rPr>
              <w:t xml:space="preserve"> </w:t>
            </w:r>
            <w:r w:rsidR="00730C90">
              <w:rPr>
                <w:rFonts w:cs="Calibri"/>
                <w:sz w:val="24"/>
                <w:szCs w:val="24"/>
              </w:rPr>
              <w:t xml:space="preserve">objętych wsparciem w programie w zakresie </w:t>
            </w:r>
            <w:r w:rsidR="00730C90" w:rsidRPr="00730C90">
              <w:rPr>
                <w:rFonts w:cs="Calibri"/>
                <w:sz w:val="24"/>
                <w:szCs w:val="24"/>
              </w:rPr>
              <w:t>uzyskiwania kwalifikacji lub nabywania kompetencji</w:t>
            </w:r>
            <w:r w:rsidR="00730C90">
              <w:rPr>
                <w:rFonts w:cs="Calibri"/>
                <w:sz w:val="24"/>
                <w:szCs w:val="24"/>
              </w:rPr>
              <w:t>.</w:t>
            </w:r>
          </w:p>
          <w:p w14:paraId="6349C641" w14:textId="08C91543" w:rsidR="00730C90" w:rsidRPr="00A47476" w:rsidRDefault="00730C90" w:rsidP="00730C90">
            <w:pPr>
              <w:tabs>
                <w:tab w:val="left" w:pos="3402"/>
                <w:tab w:val="left" w:pos="5103"/>
              </w:tabs>
              <w:rPr>
                <w:rFonts w:cs="Calibri"/>
                <w:sz w:val="24"/>
                <w:szCs w:val="24"/>
              </w:rPr>
            </w:pPr>
            <w:r w:rsidRPr="00415583">
              <w:rPr>
                <w:sz w:val="24"/>
                <w:szCs w:val="24"/>
              </w:rPr>
              <w:t xml:space="preserve">W przypadku gdy jedna osoba będzie uczestnikiem w </w:t>
            </w:r>
            <w:r>
              <w:rPr>
                <w:sz w:val="24"/>
                <w:szCs w:val="24"/>
              </w:rPr>
              <w:t>kilku zadaniach</w:t>
            </w:r>
            <w:r w:rsidRPr="00415583">
              <w:rPr>
                <w:sz w:val="24"/>
                <w:szCs w:val="24"/>
              </w:rPr>
              <w:t xml:space="preserve"> w ramach jednej Oferty, wówczas liczona jest jednokrotnie do wskaźnika</w:t>
            </w:r>
            <w:r>
              <w:rPr>
                <w:sz w:val="24"/>
                <w:szCs w:val="24"/>
              </w:rPr>
              <w:t>.</w:t>
            </w:r>
          </w:p>
        </w:tc>
      </w:tr>
      <w:tr w:rsidR="00730C90" w:rsidRPr="009A24A5" w14:paraId="16E97BF0" w14:textId="77777777" w:rsidTr="00117FC7">
        <w:trPr>
          <w:jc w:val="center"/>
        </w:trPr>
        <w:tc>
          <w:tcPr>
            <w:tcW w:w="704" w:type="dxa"/>
            <w:vAlign w:val="center"/>
          </w:tcPr>
          <w:p w14:paraId="7774EFA8" w14:textId="6B190269" w:rsidR="00730C90" w:rsidRPr="009A24A5" w:rsidRDefault="00730C90" w:rsidP="00730C90">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C1AFA03" w14:textId="0B0B5B29" w:rsidR="00730C90" w:rsidRPr="00A47476" w:rsidRDefault="00730C90" w:rsidP="00730C90">
            <w:pPr>
              <w:autoSpaceDE w:val="0"/>
              <w:autoSpaceDN w:val="0"/>
              <w:adjustRightInd w:val="0"/>
              <w:rPr>
                <w:i/>
                <w:iCs/>
                <w:sz w:val="24"/>
                <w:szCs w:val="24"/>
              </w:rPr>
            </w:pPr>
            <w:r w:rsidRPr="00730C90">
              <w:rPr>
                <w:i/>
                <w:iCs/>
                <w:sz w:val="24"/>
                <w:szCs w:val="24"/>
              </w:rPr>
              <w:t>Liczba projektów realizowanych w ramach Europejskiego Budżetu Obywatelskiego</w:t>
            </w:r>
          </w:p>
        </w:tc>
        <w:tc>
          <w:tcPr>
            <w:tcW w:w="1140" w:type="dxa"/>
            <w:vAlign w:val="center"/>
          </w:tcPr>
          <w:p w14:paraId="11F63A35" w14:textId="4DB4E02D" w:rsidR="00730C90" w:rsidRPr="00A47476" w:rsidRDefault="00730C90" w:rsidP="00730C90">
            <w:pPr>
              <w:tabs>
                <w:tab w:val="left" w:pos="3402"/>
                <w:tab w:val="left" w:pos="5103"/>
              </w:tabs>
              <w:jc w:val="center"/>
              <w:rPr>
                <w:sz w:val="24"/>
                <w:szCs w:val="24"/>
              </w:rPr>
            </w:pPr>
            <w:r>
              <w:rPr>
                <w:sz w:val="24"/>
                <w:szCs w:val="24"/>
              </w:rPr>
              <w:t>szt.</w:t>
            </w:r>
          </w:p>
        </w:tc>
        <w:tc>
          <w:tcPr>
            <w:tcW w:w="1283" w:type="dxa"/>
            <w:vAlign w:val="center"/>
          </w:tcPr>
          <w:p w14:paraId="2E23B30F" w14:textId="13E9D4A0" w:rsidR="00730C90" w:rsidRPr="00A47476" w:rsidRDefault="00730C90" w:rsidP="00730C90">
            <w:pPr>
              <w:tabs>
                <w:tab w:val="left" w:pos="3402"/>
                <w:tab w:val="left" w:pos="5103"/>
              </w:tabs>
              <w:ind w:left="-183" w:right="-193"/>
              <w:jc w:val="center"/>
              <w:rPr>
                <w:sz w:val="24"/>
                <w:szCs w:val="24"/>
              </w:rPr>
            </w:pPr>
            <w:r>
              <w:rPr>
                <w:sz w:val="24"/>
                <w:szCs w:val="24"/>
              </w:rPr>
              <w:t>produkt</w:t>
            </w:r>
          </w:p>
        </w:tc>
        <w:tc>
          <w:tcPr>
            <w:tcW w:w="1557" w:type="dxa"/>
            <w:gridSpan w:val="2"/>
            <w:tcBorders>
              <w:right w:val="single" w:sz="4" w:space="0" w:color="9BBB59" w:themeColor="accent3"/>
            </w:tcBorders>
            <w:vAlign w:val="center"/>
          </w:tcPr>
          <w:p w14:paraId="2A991BF2" w14:textId="0C8EB7F9" w:rsidR="00730C90" w:rsidRPr="00A47476" w:rsidRDefault="00730C90" w:rsidP="00730C90">
            <w:pPr>
              <w:ind w:right="-97"/>
              <w:jc w:val="center"/>
              <w:rPr>
                <w:sz w:val="24"/>
                <w:szCs w:val="24"/>
              </w:rPr>
            </w:pPr>
            <w:r>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5A3487A0" w:rsidR="00730C90" w:rsidRPr="00A47476" w:rsidRDefault="00730C90" w:rsidP="00730C90">
            <w:pPr>
              <w:pStyle w:val="Akapitzlist"/>
              <w:tabs>
                <w:tab w:val="left" w:pos="3402"/>
                <w:tab w:val="left" w:pos="5103"/>
              </w:tabs>
              <w:ind w:left="0"/>
              <w:jc w:val="center"/>
              <w:rPr>
                <w:rFonts w:asciiTheme="minorHAnsi" w:hAnsiTheme="minorHAnsi" w:cs="Calibri"/>
                <w:sz w:val="24"/>
                <w:szCs w:val="24"/>
              </w:rPr>
            </w:pPr>
            <w:r>
              <w:rPr>
                <w:rFonts w:asciiTheme="minorHAnsi" w:hAnsiTheme="minorHAnsi" w:cs="Calibri"/>
                <w:sz w:val="24"/>
                <w:szCs w:val="24"/>
              </w:rPr>
              <w:t>-</w:t>
            </w:r>
          </w:p>
        </w:tc>
        <w:tc>
          <w:tcPr>
            <w:tcW w:w="6099" w:type="dxa"/>
            <w:tcBorders>
              <w:left w:val="single" w:sz="4" w:space="0" w:color="9BBB59" w:themeColor="accent3"/>
            </w:tcBorders>
            <w:vAlign w:val="center"/>
          </w:tcPr>
          <w:p w14:paraId="4DAA8F5F" w14:textId="77777777" w:rsidR="00730C90" w:rsidRDefault="00730C90" w:rsidP="00730C90">
            <w:pPr>
              <w:spacing w:before="60" w:after="60"/>
              <w:rPr>
                <w:rFonts w:ascii="Calibri" w:hAnsi="Calibri" w:cs="Arial"/>
                <w:sz w:val="24"/>
                <w:szCs w:val="24"/>
              </w:rPr>
            </w:pPr>
            <w:r>
              <w:rPr>
                <w:rFonts w:ascii="Calibri" w:hAnsi="Calibri" w:cs="Arial"/>
                <w:sz w:val="24"/>
                <w:szCs w:val="24"/>
              </w:rPr>
              <w:t>Liczba projektów (ofert) wybranych i realizowanych w ramach Europejskiego Budżetu Obywatelskiego przez podmioty – oferentów.</w:t>
            </w:r>
          </w:p>
          <w:p w14:paraId="1AC1C684" w14:textId="11354DA3" w:rsidR="00730C90" w:rsidRPr="00362BA5" w:rsidRDefault="00730C90" w:rsidP="00730C90">
            <w:pPr>
              <w:spacing w:before="60" w:after="60"/>
              <w:rPr>
                <w:rFonts w:ascii="Calibri" w:hAnsi="Calibri" w:cs="Arial"/>
                <w:sz w:val="24"/>
                <w:szCs w:val="24"/>
              </w:rPr>
            </w:pPr>
            <w:r w:rsidRPr="00415583">
              <w:rPr>
                <w:sz w:val="24"/>
                <w:szCs w:val="24"/>
              </w:rPr>
              <w:t xml:space="preserve">W przypadku </w:t>
            </w:r>
            <w:r>
              <w:rPr>
                <w:sz w:val="24"/>
                <w:szCs w:val="24"/>
              </w:rPr>
              <w:t>realizacji przez</w:t>
            </w:r>
            <w:r w:rsidRPr="00415583">
              <w:rPr>
                <w:sz w:val="24"/>
                <w:szCs w:val="24"/>
              </w:rPr>
              <w:t xml:space="preserve"> jeden podmiot</w:t>
            </w:r>
            <w:r>
              <w:rPr>
                <w:sz w:val="24"/>
                <w:szCs w:val="24"/>
              </w:rPr>
              <w:t xml:space="preserve"> - oferenta</w:t>
            </w:r>
            <w:r w:rsidRPr="00415583">
              <w:rPr>
                <w:sz w:val="24"/>
                <w:szCs w:val="24"/>
              </w:rPr>
              <w:t xml:space="preserve"> dw</w:t>
            </w:r>
            <w:r>
              <w:rPr>
                <w:sz w:val="24"/>
                <w:szCs w:val="24"/>
              </w:rPr>
              <w:t>óch</w:t>
            </w:r>
            <w:r w:rsidRPr="00415583">
              <w:rPr>
                <w:sz w:val="24"/>
                <w:szCs w:val="24"/>
              </w:rPr>
              <w:t xml:space="preserve"> lub więcej </w:t>
            </w:r>
            <w:r>
              <w:rPr>
                <w:sz w:val="24"/>
                <w:szCs w:val="24"/>
              </w:rPr>
              <w:t>projektów - o</w:t>
            </w:r>
            <w:r w:rsidRPr="00415583">
              <w:rPr>
                <w:sz w:val="24"/>
                <w:szCs w:val="24"/>
              </w:rPr>
              <w:t xml:space="preserve">fert, </w:t>
            </w:r>
            <w:r>
              <w:rPr>
                <w:sz w:val="24"/>
                <w:szCs w:val="24"/>
              </w:rPr>
              <w:t xml:space="preserve">do </w:t>
            </w:r>
            <w:r w:rsidRPr="00415583">
              <w:rPr>
                <w:sz w:val="24"/>
                <w:szCs w:val="24"/>
              </w:rPr>
              <w:t>wskaźnika wlicza</w:t>
            </w:r>
            <w:r>
              <w:rPr>
                <w:sz w:val="24"/>
                <w:szCs w:val="24"/>
              </w:rPr>
              <w:t>ne są</w:t>
            </w:r>
            <w:r w:rsidRPr="00415583">
              <w:rPr>
                <w:sz w:val="24"/>
                <w:szCs w:val="24"/>
              </w:rPr>
              <w:t xml:space="preserve"> odpowiednio dwa lub więcej projektów</w:t>
            </w:r>
            <w:r>
              <w:rPr>
                <w:sz w:val="24"/>
                <w:szCs w:val="24"/>
              </w:rPr>
              <w:t>.</w:t>
            </w:r>
          </w:p>
        </w:tc>
      </w:tr>
      <w:tr w:rsidR="00730C90" w:rsidRPr="009A24A5" w14:paraId="5F4DD378" w14:textId="77777777" w:rsidTr="00117FC7">
        <w:trPr>
          <w:jc w:val="center"/>
        </w:trPr>
        <w:tc>
          <w:tcPr>
            <w:tcW w:w="704" w:type="dxa"/>
            <w:vAlign w:val="center"/>
          </w:tcPr>
          <w:p w14:paraId="164472B1" w14:textId="77777777" w:rsidR="00730C90" w:rsidRPr="009A24A5" w:rsidRDefault="00730C90" w:rsidP="00730C90">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2A86A0E9" w:rsidR="00730C90" w:rsidRPr="00055B29" w:rsidRDefault="00730C90" w:rsidP="00730C90">
            <w:pPr>
              <w:tabs>
                <w:tab w:val="left" w:pos="3402"/>
                <w:tab w:val="left" w:pos="5103"/>
              </w:tabs>
              <w:rPr>
                <w:i/>
                <w:sz w:val="24"/>
                <w:szCs w:val="24"/>
              </w:rPr>
            </w:pPr>
            <w:r w:rsidRPr="00730C90">
              <w:rPr>
                <w:i/>
                <w:sz w:val="24"/>
                <w:szCs w:val="24"/>
              </w:rPr>
              <w:t xml:space="preserve">Liczba osób, które uzyskały kwalifikacje lub nabyły kompetencje po </w:t>
            </w:r>
            <w:r w:rsidRPr="00730C90">
              <w:rPr>
                <w:i/>
                <w:sz w:val="24"/>
                <w:szCs w:val="24"/>
              </w:rPr>
              <w:lastRenderedPageBreak/>
              <w:t>opuszczeniu programu</w:t>
            </w:r>
          </w:p>
        </w:tc>
        <w:tc>
          <w:tcPr>
            <w:tcW w:w="1140" w:type="dxa"/>
            <w:vAlign w:val="center"/>
          </w:tcPr>
          <w:p w14:paraId="5F659CD5" w14:textId="0B54BE73" w:rsidR="00730C90" w:rsidRPr="00055B29" w:rsidRDefault="00730C90" w:rsidP="00730C90">
            <w:pPr>
              <w:tabs>
                <w:tab w:val="left" w:pos="3402"/>
                <w:tab w:val="left" w:pos="5103"/>
              </w:tabs>
              <w:jc w:val="center"/>
              <w:rPr>
                <w:sz w:val="24"/>
                <w:szCs w:val="24"/>
              </w:rPr>
            </w:pPr>
            <w:r w:rsidRPr="00262A71">
              <w:rPr>
                <w:sz w:val="24"/>
                <w:szCs w:val="24"/>
              </w:rPr>
              <w:lastRenderedPageBreak/>
              <w:t>os.</w:t>
            </w:r>
          </w:p>
        </w:tc>
        <w:tc>
          <w:tcPr>
            <w:tcW w:w="1283" w:type="dxa"/>
            <w:vAlign w:val="center"/>
          </w:tcPr>
          <w:p w14:paraId="583E6FA5" w14:textId="4D1AF5A1" w:rsidR="00730C90" w:rsidRPr="00055B29" w:rsidRDefault="00730C90" w:rsidP="00730C90">
            <w:pPr>
              <w:tabs>
                <w:tab w:val="left" w:pos="3402"/>
                <w:tab w:val="left" w:pos="5103"/>
              </w:tabs>
              <w:spacing w:before="80" w:after="80"/>
              <w:ind w:left="-183" w:right="-193"/>
              <w:jc w:val="center"/>
              <w:rPr>
                <w:sz w:val="24"/>
                <w:szCs w:val="24"/>
              </w:rPr>
            </w:pPr>
            <w:r w:rsidRPr="00262A71">
              <w:rPr>
                <w:sz w:val="24"/>
                <w:szCs w:val="24"/>
              </w:rPr>
              <w:t>rezultat bezpośredni</w:t>
            </w:r>
          </w:p>
        </w:tc>
        <w:tc>
          <w:tcPr>
            <w:tcW w:w="1557" w:type="dxa"/>
            <w:gridSpan w:val="2"/>
            <w:tcBorders>
              <w:right w:val="single" w:sz="4" w:space="0" w:color="9BBB59" w:themeColor="accent3"/>
            </w:tcBorders>
            <w:vAlign w:val="center"/>
          </w:tcPr>
          <w:p w14:paraId="6E4DE5BB" w14:textId="374E81FA" w:rsidR="00730C90" w:rsidRPr="00055B29" w:rsidRDefault="00F56C6E" w:rsidP="00730C90">
            <w:pPr>
              <w:ind w:left="-121" w:right="-97" w:firstLine="121"/>
              <w:jc w:val="center"/>
              <w:rPr>
                <w:sz w:val="24"/>
                <w:szCs w:val="24"/>
              </w:rPr>
            </w:pPr>
            <w:r>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2EEF2B5D" w:rsidR="00730C90" w:rsidRPr="00055B29" w:rsidRDefault="00730C90" w:rsidP="00730C90">
            <w:pPr>
              <w:pStyle w:val="Akapitzlist"/>
              <w:tabs>
                <w:tab w:val="left" w:pos="3402"/>
                <w:tab w:val="left" w:pos="5103"/>
              </w:tabs>
              <w:ind w:left="-8"/>
              <w:jc w:val="center"/>
              <w:rPr>
                <w:rFonts w:asciiTheme="minorHAnsi" w:hAnsiTheme="minorHAnsi" w:cs="Calibri"/>
                <w:sz w:val="24"/>
                <w:szCs w:val="24"/>
              </w:rPr>
            </w:pPr>
            <w:r w:rsidRPr="00262A71">
              <w:rPr>
                <w:sz w:val="24"/>
                <w:szCs w:val="24"/>
              </w:rPr>
              <w:t>-</w:t>
            </w:r>
          </w:p>
        </w:tc>
        <w:tc>
          <w:tcPr>
            <w:tcW w:w="6099" w:type="dxa"/>
            <w:tcBorders>
              <w:left w:val="single" w:sz="4" w:space="0" w:color="9BBB59" w:themeColor="accent3"/>
            </w:tcBorders>
            <w:vAlign w:val="center"/>
          </w:tcPr>
          <w:p w14:paraId="41568413" w14:textId="77777777" w:rsidR="00730C90" w:rsidRDefault="00730C90" w:rsidP="00942EE4">
            <w:pPr>
              <w:tabs>
                <w:tab w:val="left" w:pos="3402"/>
                <w:tab w:val="left" w:pos="5103"/>
              </w:tabs>
              <w:rPr>
                <w:rFonts w:cs="Calibri"/>
                <w:sz w:val="24"/>
                <w:szCs w:val="24"/>
              </w:rPr>
            </w:pPr>
            <w:r w:rsidRPr="00730C90">
              <w:rPr>
                <w:rFonts w:cs="Calibri"/>
                <w:sz w:val="24"/>
                <w:szCs w:val="24"/>
              </w:rPr>
              <w:t>Liczba osób, które otrzymały wsparcie Europejskiego Funduszu Społecznego i uzyskały kwalifikacje lub nabyły kompetencje  w określonym obszarze</w:t>
            </w:r>
            <w:r w:rsidR="00942EE4">
              <w:rPr>
                <w:rFonts w:cs="Calibri"/>
                <w:sz w:val="24"/>
                <w:szCs w:val="24"/>
              </w:rPr>
              <w:t>.</w:t>
            </w:r>
          </w:p>
          <w:p w14:paraId="27EC6FA5" w14:textId="77777777" w:rsidR="00942EE4" w:rsidRDefault="00942EE4" w:rsidP="00942EE4">
            <w:pPr>
              <w:tabs>
                <w:tab w:val="left" w:pos="3402"/>
                <w:tab w:val="left" w:pos="5103"/>
              </w:tabs>
              <w:spacing w:before="240"/>
              <w:rPr>
                <w:rFonts w:cs="Calibri"/>
                <w:sz w:val="24"/>
                <w:szCs w:val="24"/>
              </w:rPr>
            </w:pPr>
            <w:r w:rsidRPr="00942EE4">
              <w:rPr>
                <w:rFonts w:cs="Calibri"/>
                <w:i/>
                <w:sz w:val="24"/>
                <w:szCs w:val="24"/>
              </w:rPr>
              <w:lastRenderedPageBreak/>
              <w:t>Definicja kwalifikacji</w:t>
            </w:r>
            <w:r w:rsidRPr="00942EE4">
              <w:rPr>
                <w:rFonts w:cs="Calibri"/>
                <w:sz w:val="24"/>
                <w:szCs w:val="24"/>
              </w:rPr>
              <w:t xml:space="preserve"> zgodna z definicją zawartą w części dot. wskaźników EFS monitorowanych we wszystkich priorytetach inwestycyjnych dla wskaźnika </w:t>
            </w:r>
            <w:r w:rsidRPr="00942EE4">
              <w:rPr>
                <w:rFonts w:cs="Calibri"/>
                <w:i/>
                <w:sz w:val="24"/>
                <w:szCs w:val="24"/>
              </w:rPr>
              <w:t>liczba osób, które uzyskały kwalifikacje po opuszczeniu programu</w:t>
            </w:r>
            <w:r w:rsidRPr="00942EE4">
              <w:rPr>
                <w:rFonts w:cs="Calibri"/>
                <w:sz w:val="24"/>
                <w:szCs w:val="24"/>
              </w:rPr>
              <w:t>.</w:t>
            </w:r>
          </w:p>
          <w:p w14:paraId="59DD36CD" w14:textId="168C2E4B" w:rsidR="00942EE4" w:rsidRDefault="00942EE4" w:rsidP="00942EE4">
            <w:pPr>
              <w:tabs>
                <w:tab w:val="left" w:pos="3402"/>
                <w:tab w:val="left" w:pos="5103"/>
              </w:tabs>
              <w:spacing w:before="240"/>
              <w:rPr>
                <w:rFonts w:cs="Calibri"/>
                <w:sz w:val="24"/>
                <w:szCs w:val="24"/>
              </w:rPr>
            </w:pPr>
            <w:r w:rsidRPr="00942EE4">
              <w:rPr>
                <w:rFonts w:cs="Calibri"/>
                <w:i/>
                <w:sz w:val="24"/>
                <w:szCs w:val="24"/>
              </w:rPr>
              <w:t>Kompetencja</w:t>
            </w:r>
            <w:r w:rsidRPr="00942EE4">
              <w:rPr>
                <w:rFonts w:cs="Calibri"/>
                <w:sz w:val="24"/>
                <w:szCs w:val="24"/>
              </w:rPr>
              <w:t xml:space="preserve"> to wyodrębniony zestaw efektów uczenia się/kształcenia. Opis kompetencji zawiera jasno określone warunki, które powinien spełniać uczestnik projektu ubiegający się o nabycie kompetencji, tj.</w:t>
            </w:r>
            <w:r w:rsidR="00F56C6E">
              <w:rPr>
                <w:rFonts w:cs="Calibri"/>
                <w:sz w:val="24"/>
                <w:szCs w:val="24"/>
              </w:rPr>
              <w:t xml:space="preserve"> </w:t>
            </w:r>
            <w:r w:rsidRPr="00942EE4">
              <w:rPr>
                <w:rFonts w:cs="Calibri"/>
                <w:sz w:val="24"/>
                <w:szCs w:val="24"/>
              </w:rPr>
              <w:t>wyczerpującą informację o efektach uczenia się dla danej kompetencji oraz kryteria i metody ich weryfikacji.</w:t>
            </w:r>
          </w:p>
          <w:p w14:paraId="25FC68D1" w14:textId="35278291" w:rsidR="00F56C6E" w:rsidRPr="00F56C6E" w:rsidRDefault="00F56C6E" w:rsidP="00F56C6E">
            <w:pPr>
              <w:tabs>
                <w:tab w:val="left" w:pos="3402"/>
                <w:tab w:val="left" w:pos="5103"/>
              </w:tabs>
              <w:spacing w:before="240"/>
              <w:rPr>
                <w:rFonts w:cs="Calibri"/>
                <w:i/>
                <w:sz w:val="24"/>
                <w:szCs w:val="24"/>
              </w:rPr>
            </w:pPr>
            <w:r>
              <w:rPr>
                <w:rFonts w:cs="Calibri"/>
                <w:sz w:val="24"/>
                <w:szCs w:val="24"/>
              </w:rPr>
              <w:t xml:space="preserve">Zasady uzyskiwania kwalifikacji oraz nabywania kompetencji zostały opisane w rozdziale 4 </w:t>
            </w:r>
            <w:r w:rsidRPr="00F56C6E">
              <w:rPr>
                <w:rFonts w:cs="Calibri"/>
                <w:i/>
                <w:sz w:val="24"/>
                <w:szCs w:val="24"/>
              </w:rPr>
              <w:t>Zasad udzielania wsparcia dla działania 9.4 - Wsparcie kształcenia ustawicznego w ramach Europejskiego Budżetu Obywatelskiego RPO WO 2014-2020</w:t>
            </w:r>
            <w:r>
              <w:rPr>
                <w:rFonts w:cs="Calibri"/>
                <w:sz w:val="24"/>
                <w:szCs w:val="24"/>
              </w:rPr>
              <w:t xml:space="preserve">, stanowiącym załącznik nr 13 do </w:t>
            </w:r>
            <w:r>
              <w:rPr>
                <w:rFonts w:cs="Calibri"/>
                <w:i/>
                <w:sz w:val="24"/>
                <w:szCs w:val="24"/>
              </w:rPr>
              <w:t>Decyzji o dofinansowaniu projektu</w:t>
            </w:r>
          </w:p>
        </w:tc>
      </w:tr>
    </w:tbl>
    <w:p w14:paraId="06EA506E" w14:textId="77777777" w:rsidR="00884309" w:rsidRPr="007832FF" w:rsidRDefault="00884309" w:rsidP="00884309">
      <w:pPr>
        <w:spacing w:after="0"/>
        <w:rPr>
          <w:b/>
          <w:i/>
        </w:rPr>
      </w:pPr>
    </w:p>
    <w:sectPr w:rsidR="00884309" w:rsidRPr="007832FF" w:rsidSect="002271F7">
      <w:headerReference w:type="default" r:id="rId11"/>
      <w:footerReference w:type="default" r:id="rId12"/>
      <w:headerReference w:type="first" r:id="rId13"/>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CD719E" w:rsidRDefault="00CD719E" w:rsidP="00A11280">
      <w:pPr>
        <w:spacing w:after="0" w:line="240" w:lineRule="auto"/>
      </w:pPr>
      <w:r>
        <w:separator/>
      </w:r>
    </w:p>
  </w:endnote>
  <w:endnote w:type="continuationSeparator" w:id="0">
    <w:p w14:paraId="720FF4B1" w14:textId="77777777" w:rsidR="00CD719E" w:rsidRDefault="00CD719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CD719E" w:rsidRDefault="00CD719E">
        <w:pPr>
          <w:pStyle w:val="Stopka"/>
          <w:jc w:val="center"/>
        </w:pPr>
        <w:r>
          <w:fldChar w:fldCharType="begin"/>
        </w:r>
        <w:r>
          <w:instrText>PAGE   \* MERGEFORMAT</w:instrText>
        </w:r>
        <w:r>
          <w:fldChar w:fldCharType="separate"/>
        </w:r>
        <w:r w:rsidR="00CE19E5">
          <w:rPr>
            <w:noProof/>
          </w:rPr>
          <w:t>22</w:t>
        </w:r>
        <w:r>
          <w:rPr>
            <w:noProof/>
          </w:rPr>
          <w:fldChar w:fldCharType="end"/>
        </w:r>
      </w:p>
    </w:sdtContent>
  </w:sdt>
  <w:p w14:paraId="1CE2B7A3" w14:textId="77777777" w:rsidR="00CD719E" w:rsidRDefault="00CD719E"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CD719E" w:rsidRDefault="00CD719E" w:rsidP="00A11280">
      <w:pPr>
        <w:spacing w:after="0" w:line="240" w:lineRule="auto"/>
      </w:pPr>
      <w:r>
        <w:separator/>
      </w:r>
    </w:p>
  </w:footnote>
  <w:footnote w:type="continuationSeparator" w:id="0">
    <w:p w14:paraId="3B70A261" w14:textId="77777777" w:rsidR="00CD719E" w:rsidRDefault="00CD719E" w:rsidP="00A11280">
      <w:pPr>
        <w:spacing w:after="0" w:line="240" w:lineRule="auto"/>
      </w:pPr>
      <w:r>
        <w:continuationSeparator/>
      </w:r>
    </w:p>
  </w:footnote>
  <w:footnote w:id="1">
    <w:p w14:paraId="3C718C80" w14:textId="77777777" w:rsidR="00CD719E" w:rsidRPr="00E83551" w:rsidRDefault="00CD719E" w:rsidP="00AD23B2">
      <w:pPr>
        <w:pStyle w:val="Tekstprzypisudolnego"/>
      </w:pPr>
      <w:r w:rsidRPr="00187D4F">
        <w:rPr>
          <w:rStyle w:val="Odwoanieprzypisudolnego"/>
          <w:color w:val="000000" w:themeColor="text1"/>
        </w:rPr>
        <w:footnoteRef/>
      </w:r>
      <w:r w:rsidRPr="00187D4F">
        <w:rPr>
          <w:rFonts w:ascii="Arial" w:eastAsia="Times New Roman" w:hAnsi="Arial" w:cs="Arial"/>
          <w:color w:val="000000" w:themeColor="text1"/>
          <w:lang w:eastAsia="pl-PL"/>
        </w:rPr>
        <w:t>O ile obowiązkowy pobór i powołanie do wojska dotyczy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6B58" w14:textId="77777777" w:rsidR="007F4EA8" w:rsidRPr="007F4EA8" w:rsidRDefault="007F4EA8" w:rsidP="007F4EA8">
    <w:pPr>
      <w:autoSpaceDE w:val="0"/>
      <w:autoSpaceDN w:val="0"/>
      <w:spacing w:after="0" w:line="240" w:lineRule="auto"/>
      <w:jc w:val="right"/>
      <w:rPr>
        <w:rFonts w:ascii="Calibri" w:eastAsia="Calibri" w:hAnsi="Calibri" w:cs="Times New Roman"/>
        <w:iCs/>
        <w:sz w:val="24"/>
        <w:szCs w:val="24"/>
      </w:rPr>
    </w:pPr>
    <w:r w:rsidRPr="007F4EA8">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7F4EA8">
      <w:rPr>
        <w:rFonts w:ascii="Calibri" w:eastAsia="Calibri" w:hAnsi="Calibri" w:cs="Times New Roman"/>
        <w:bCs/>
        <w:iCs/>
        <w:sz w:val="24"/>
        <w:szCs w:val="24"/>
      </w:rPr>
      <w:t xml:space="preserve"> </w:t>
    </w:r>
    <w:r w:rsidRPr="007F4EA8">
      <w:rPr>
        <w:rFonts w:ascii="Calibri" w:eastAsia="Calibri" w:hAnsi="Calibri" w:cs="Times New Roman"/>
        <w:iCs/>
        <w:sz w:val="24"/>
        <w:szCs w:val="24"/>
      </w:rPr>
      <w:t xml:space="preserve">do Pozakonkursowej procedury wyboru projektu w ramach Działania 9.4 </w:t>
    </w:r>
    <w:r w:rsidRPr="007F4EA8">
      <w:rPr>
        <w:rFonts w:ascii="Calibri" w:eastAsia="Calibri" w:hAnsi="Calibri" w:cs="Times New Roman"/>
        <w:i/>
        <w:iCs/>
        <w:sz w:val="24"/>
        <w:szCs w:val="24"/>
      </w:rPr>
      <w:t>Wsparcie kształcenia ustawicznego w ramach Europejskiego Budżetu Obywatelskiego</w:t>
    </w:r>
    <w:r w:rsidRPr="007F4EA8">
      <w:rPr>
        <w:rFonts w:ascii="Calibri" w:eastAsia="Calibri" w:hAnsi="Calibri" w:cs="Times New Roman"/>
        <w:iCs/>
        <w:sz w:val="24"/>
        <w:szCs w:val="24"/>
      </w:rPr>
      <w:t xml:space="preserve">, Osi IX </w:t>
    </w:r>
    <w:r w:rsidRPr="007F4EA8">
      <w:rPr>
        <w:rFonts w:ascii="Calibri" w:eastAsia="Calibri" w:hAnsi="Calibri" w:cs="Times New Roman"/>
        <w:i/>
        <w:iCs/>
        <w:sz w:val="24"/>
        <w:szCs w:val="24"/>
      </w:rPr>
      <w:t>Wysoka jakość edukacji</w:t>
    </w:r>
    <w:r w:rsidRPr="007F4EA8">
      <w:rPr>
        <w:rFonts w:ascii="Calibri" w:eastAsia="Calibri" w:hAnsi="Calibri" w:cs="Times New Roman"/>
        <w:iCs/>
        <w:sz w:val="24"/>
        <w:szCs w:val="24"/>
      </w:rPr>
      <w:t xml:space="preserve"> RPO WO 2014-2020,</w:t>
    </w:r>
  </w:p>
  <w:p w14:paraId="5D5E42E6" w14:textId="5828DE9E" w:rsidR="00CD719E" w:rsidRPr="008C5028" w:rsidRDefault="007F4EA8" w:rsidP="007F4EA8">
    <w:pPr>
      <w:autoSpaceDE w:val="0"/>
      <w:autoSpaceDN w:val="0"/>
      <w:spacing w:after="0" w:line="240" w:lineRule="auto"/>
      <w:jc w:val="right"/>
      <w:rPr>
        <w:rFonts w:ascii="Calibri" w:eastAsia="Calibri" w:hAnsi="Calibri" w:cs="Times New Roman"/>
        <w:iCs/>
        <w:sz w:val="24"/>
        <w:szCs w:val="24"/>
      </w:rPr>
    </w:pPr>
    <w:r w:rsidRPr="007F4EA8">
      <w:rPr>
        <w:rFonts w:ascii="Calibri" w:eastAsia="Calibri" w:hAnsi="Calibri" w:cs="Times New Roman"/>
        <w:iCs/>
        <w:sz w:val="24"/>
        <w:szCs w:val="24"/>
      </w:rPr>
      <w:t>Nabór I, Wersja nr 1, wrzesień 2020 r.</w:t>
    </w:r>
  </w:p>
  <w:p w14:paraId="357B97C4" w14:textId="6BB48B2E" w:rsidR="00CD719E" w:rsidRPr="008D5FDA" w:rsidRDefault="00CD719E" w:rsidP="008D5F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5E67" w14:textId="4C09715D" w:rsidR="007F4EA8" w:rsidRPr="007F4EA8" w:rsidRDefault="007F4EA8" w:rsidP="007F4EA8">
    <w:pPr>
      <w:autoSpaceDE w:val="0"/>
      <w:autoSpaceDN w:val="0"/>
      <w:spacing w:after="0" w:line="240" w:lineRule="auto"/>
      <w:jc w:val="right"/>
      <w:rPr>
        <w:rFonts w:ascii="Calibri" w:eastAsia="Calibri" w:hAnsi="Calibri" w:cs="Times New Roman"/>
        <w:iCs/>
        <w:sz w:val="24"/>
        <w:szCs w:val="24"/>
      </w:rPr>
    </w:pPr>
    <w:r w:rsidRPr="007F4EA8">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7F4EA8">
      <w:rPr>
        <w:rFonts w:ascii="Calibri" w:eastAsia="Calibri" w:hAnsi="Calibri" w:cs="Times New Roman"/>
        <w:bCs/>
        <w:iCs/>
        <w:sz w:val="24"/>
        <w:szCs w:val="24"/>
      </w:rPr>
      <w:t xml:space="preserve"> </w:t>
    </w:r>
    <w:r w:rsidRPr="007F4EA8">
      <w:rPr>
        <w:rFonts w:ascii="Calibri" w:eastAsia="Calibri" w:hAnsi="Calibri" w:cs="Times New Roman"/>
        <w:iCs/>
        <w:sz w:val="24"/>
        <w:szCs w:val="24"/>
      </w:rPr>
      <w:t xml:space="preserve">do Pozakonkursowej procedury wyboru projektu w ramach Działania 9.4 </w:t>
    </w:r>
    <w:r w:rsidRPr="007F4EA8">
      <w:rPr>
        <w:rFonts w:ascii="Calibri" w:eastAsia="Calibri" w:hAnsi="Calibri" w:cs="Times New Roman"/>
        <w:i/>
        <w:iCs/>
        <w:sz w:val="24"/>
        <w:szCs w:val="24"/>
      </w:rPr>
      <w:t>Wsparcie kształcenia ustawicznego w ramach Europejskiego Budżetu Obywatelskiego</w:t>
    </w:r>
    <w:r w:rsidRPr="007F4EA8">
      <w:rPr>
        <w:rFonts w:ascii="Calibri" w:eastAsia="Calibri" w:hAnsi="Calibri" w:cs="Times New Roman"/>
        <w:iCs/>
        <w:sz w:val="24"/>
        <w:szCs w:val="24"/>
      </w:rPr>
      <w:t xml:space="preserve">, Osi IX </w:t>
    </w:r>
    <w:r w:rsidRPr="007F4EA8">
      <w:rPr>
        <w:rFonts w:ascii="Calibri" w:eastAsia="Calibri" w:hAnsi="Calibri" w:cs="Times New Roman"/>
        <w:i/>
        <w:iCs/>
        <w:sz w:val="24"/>
        <w:szCs w:val="24"/>
      </w:rPr>
      <w:t>Wysoka jakość edukacji</w:t>
    </w:r>
    <w:r w:rsidRPr="007F4EA8">
      <w:rPr>
        <w:rFonts w:ascii="Calibri" w:eastAsia="Calibri" w:hAnsi="Calibri" w:cs="Times New Roman"/>
        <w:iCs/>
        <w:sz w:val="24"/>
        <w:szCs w:val="24"/>
      </w:rPr>
      <w:t xml:space="preserve"> RPO WO 2014-2020,</w:t>
    </w:r>
  </w:p>
  <w:p w14:paraId="0B0C02F2" w14:textId="613C6105" w:rsidR="00CD719E" w:rsidRPr="00CD719E" w:rsidRDefault="007F4EA8" w:rsidP="007F4EA8">
    <w:pPr>
      <w:autoSpaceDE w:val="0"/>
      <w:autoSpaceDN w:val="0"/>
      <w:spacing w:after="0" w:line="240" w:lineRule="auto"/>
      <w:jc w:val="right"/>
      <w:rPr>
        <w:rFonts w:ascii="Calibri" w:eastAsia="Calibri" w:hAnsi="Calibri" w:cs="Times New Roman"/>
        <w:iCs/>
        <w:sz w:val="24"/>
        <w:szCs w:val="24"/>
      </w:rPr>
    </w:pPr>
    <w:r w:rsidRPr="007F4EA8">
      <w:rPr>
        <w:rFonts w:ascii="Calibri" w:eastAsia="Calibri" w:hAnsi="Calibri" w:cs="Times New Roman"/>
        <w:iCs/>
        <w:sz w:val="24"/>
        <w:szCs w:val="24"/>
      </w:rPr>
      <w:t>Nabór I, Wersja nr 1, wrzesień 2020 r.</w:t>
    </w:r>
  </w:p>
  <w:p w14:paraId="790563D9" w14:textId="02243110" w:rsidR="00CD719E" w:rsidRPr="008D5FDA" w:rsidRDefault="00CD719E" w:rsidP="003F5644">
    <w:pPr>
      <w:pStyle w:val="Nagwek"/>
      <w:rPr>
        <w:rFonts w:ascii="Calibri" w:eastAsia="Calibri" w:hAnsi="Calibri" w:cs="Times New Roman"/>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94"/>
    <w:multiLevelType w:val="hybridMultilevel"/>
    <w:tmpl w:val="4E5EEBDA"/>
    <w:lvl w:ilvl="0" w:tplc="04150017">
      <w:start w:val="1"/>
      <w:numFmt w:val="lowerLetter"/>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B62EE"/>
    <w:multiLevelType w:val="hybridMultilevel"/>
    <w:tmpl w:val="137CE560"/>
    <w:lvl w:ilvl="0" w:tplc="58C26ABE">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A4895"/>
    <w:multiLevelType w:val="hybridMultilevel"/>
    <w:tmpl w:val="31A85BF4"/>
    <w:lvl w:ilvl="0" w:tplc="370296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37"/>
  </w:num>
  <w:num w:numId="3">
    <w:abstractNumId w:val="20"/>
  </w:num>
  <w:num w:numId="4">
    <w:abstractNumId w:val="34"/>
  </w:num>
  <w:num w:numId="5">
    <w:abstractNumId w:val="17"/>
  </w:num>
  <w:num w:numId="6">
    <w:abstractNumId w:val="33"/>
  </w:num>
  <w:num w:numId="7">
    <w:abstractNumId w:val="24"/>
  </w:num>
  <w:num w:numId="8">
    <w:abstractNumId w:val="29"/>
  </w:num>
  <w:num w:numId="9">
    <w:abstractNumId w:val="18"/>
  </w:num>
  <w:num w:numId="10">
    <w:abstractNumId w:val="15"/>
  </w:num>
  <w:num w:numId="11">
    <w:abstractNumId w:val="4"/>
  </w:num>
  <w:num w:numId="12">
    <w:abstractNumId w:val="9"/>
  </w:num>
  <w:num w:numId="13">
    <w:abstractNumId w:val="12"/>
  </w:num>
  <w:num w:numId="14">
    <w:abstractNumId w:val="11"/>
  </w:num>
  <w:num w:numId="15">
    <w:abstractNumId w:val="35"/>
  </w:num>
  <w:num w:numId="16">
    <w:abstractNumId w:val="30"/>
  </w:num>
  <w:num w:numId="17">
    <w:abstractNumId w:val="3"/>
  </w:num>
  <w:num w:numId="18">
    <w:abstractNumId w:val="8"/>
  </w:num>
  <w:num w:numId="19">
    <w:abstractNumId w:val="31"/>
  </w:num>
  <w:num w:numId="20">
    <w:abstractNumId w:val="14"/>
  </w:num>
  <w:num w:numId="21">
    <w:abstractNumId w:val="25"/>
  </w:num>
  <w:num w:numId="22">
    <w:abstractNumId w:val="21"/>
  </w:num>
  <w:num w:numId="23">
    <w:abstractNumId w:val="38"/>
  </w:num>
  <w:num w:numId="24">
    <w:abstractNumId w:val="5"/>
  </w:num>
  <w:num w:numId="25">
    <w:abstractNumId w:val="22"/>
  </w:num>
  <w:num w:numId="26">
    <w:abstractNumId w:val="19"/>
  </w:num>
  <w:num w:numId="27">
    <w:abstractNumId w:val="32"/>
  </w:num>
  <w:num w:numId="28">
    <w:abstractNumId w:val="28"/>
  </w:num>
  <w:num w:numId="29">
    <w:abstractNumId w:val="10"/>
  </w:num>
  <w:num w:numId="30">
    <w:abstractNumId w:val="2"/>
  </w:num>
  <w:num w:numId="31">
    <w:abstractNumId w:val="27"/>
  </w:num>
  <w:num w:numId="32">
    <w:abstractNumId w:val="13"/>
  </w:num>
  <w:num w:numId="33">
    <w:abstractNumId w:val="26"/>
  </w:num>
  <w:num w:numId="34">
    <w:abstractNumId w:val="36"/>
  </w:num>
  <w:num w:numId="35">
    <w:abstractNumId w:val="7"/>
  </w:num>
  <w:num w:numId="36">
    <w:abstractNumId w:val="6"/>
  </w:num>
  <w:num w:numId="37">
    <w:abstractNumId w:val="1"/>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14F2"/>
    <w:rsid w:val="00053D66"/>
    <w:rsid w:val="00055B29"/>
    <w:rsid w:val="00055EE7"/>
    <w:rsid w:val="00056886"/>
    <w:rsid w:val="00061708"/>
    <w:rsid w:val="000637DD"/>
    <w:rsid w:val="0006395F"/>
    <w:rsid w:val="00067170"/>
    <w:rsid w:val="00072063"/>
    <w:rsid w:val="000735AC"/>
    <w:rsid w:val="000751CE"/>
    <w:rsid w:val="000757A9"/>
    <w:rsid w:val="00083607"/>
    <w:rsid w:val="00083D75"/>
    <w:rsid w:val="00084190"/>
    <w:rsid w:val="00084599"/>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6536"/>
    <w:rsid w:val="000E7FBF"/>
    <w:rsid w:val="000F36FA"/>
    <w:rsid w:val="000F5C3F"/>
    <w:rsid w:val="00101F68"/>
    <w:rsid w:val="001028AA"/>
    <w:rsid w:val="00102FB7"/>
    <w:rsid w:val="00110626"/>
    <w:rsid w:val="001126DE"/>
    <w:rsid w:val="001133C2"/>
    <w:rsid w:val="00115072"/>
    <w:rsid w:val="0011616D"/>
    <w:rsid w:val="00117FC7"/>
    <w:rsid w:val="00125111"/>
    <w:rsid w:val="00131B88"/>
    <w:rsid w:val="00136D60"/>
    <w:rsid w:val="0014329F"/>
    <w:rsid w:val="00144412"/>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2BA5"/>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3F5644"/>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8709F"/>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05C"/>
    <w:rsid w:val="005452B5"/>
    <w:rsid w:val="0056023F"/>
    <w:rsid w:val="0056602B"/>
    <w:rsid w:val="00567072"/>
    <w:rsid w:val="00570604"/>
    <w:rsid w:val="00572E9F"/>
    <w:rsid w:val="00573A93"/>
    <w:rsid w:val="00575F75"/>
    <w:rsid w:val="0058726C"/>
    <w:rsid w:val="00587F10"/>
    <w:rsid w:val="005923EA"/>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154"/>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4ABB"/>
    <w:rsid w:val="006D63E7"/>
    <w:rsid w:val="006E194D"/>
    <w:rsid w:val="006E2806"/>
    <w:rsid w:val="006E54A6"/>
    <w:rsid w:val="006E5DC7"/>
    <w:rsid w:val="006F18CC"/>
    <w:rsid w:val="006F1C8E"/>
    <w:rsid w:val="006F2FEB"/>
    <w:rsid w:val="006F5F19"/>
    <w:rsid w:val="006F6464"/>
    <w:rsid w:val="006F6CF9"/>
    <w:rsid w:val="006F70FD"/>
    <w:rsid w:val="0070236E"/>
    <w:rsid w:val="00710874"/>
    <w:rsid w:val="00716992"/>
    <w:rsid w:val="007201CA"/>
    <w:rsid w:val="00720906"/>
    <w:rsid w:val="00720BEC"/>
    <w:rsid w:val="00723F91"/>
    <w:rsid w:val="00730C90"/>
    <w:rsid w:val="007335DB"/>
    <w:rsid w:val="00735EAE"/>
    <w:rsid w:val="0074049A"/>
    <w:rsid w:val="00740C1F"/>
    <w:rsid w:val="00742D49"/>
    <w:rsid w:val="00757A2D"/>
    <w:rsid w:val="00760B0C"/>
    <w:rsid w:val="00761D7C"/>
    <w:rsid w:val="00762BB5"/>
    <w:rsid w:val="0076652B"/>
    <w:rsid w:val="00766D6D"/>
    <w:rsid w:val="00773BC6"/>
    <w:rsid w:val="007745E4"/>
    <w:rsid w:val="00774FA1"/>
    <w:rsid w:val="007754AA"/>
    <w:rsid w:val="00775B56"/>
    <w:rsid w:val="00780302"/>
    <w:rsid w:val="007815E2"/>
    <w:rsid w:val="007832FF"/>
    <w:rsid w:val="00783A8E"/>
    <w:rsid w:val="00784B34"/>
    <w:rsid w:val="007851A4"/>
    <w:rsid w:val="0078544D"/>
    <w:rsid w:val="00790A97"/>
    <w:rsid w:val="0079394C"/>
    <w:rsid w:val="007A27F7"/>
    <w:rsid w:val="007A69E4"/>
    <w:rsid w:val="007B0796"/>
    <w:rsid w:val="007B3E77"/>
    <w:rsid w:val="007C41F6"/>
    <w:rsid w:val="007C5437"/>
    <w:rsid w:val="007D00DC"/>
    <w:rsid w:val="007D3E62"/>
    <w:rsid w:val="007D46E8"/>
    <w:rsid w:val="007D4C96"/>
    <w:rsid w:val="007D7806"/>
    <w:rsid w:val="007D7F49"/>
    <w:rsid w:val="007E034D"/>
    <w:rsid w:val="007E1DB5"/>
    <w:rsid w:val="007F0A9C"/>
    <w:rsid w:val="007F4EA8"/>
    <w:rsid w:val="007F6DFA"/>
    <w:rsid w:val="008001AD"/>
    <w:rsid w:val="0080142A"/>
    <w:rsid w:val="00803AA7"/>
    <w:rsid w:val="00806531"/>
    <w:rsid w:val="00811CFE"/>
    <w:rsid w:val="00813ACE"/>
    <w:rsid w:val="008172D4"/>
    <w:rsid w:val="00820010"/>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D5FDA"/>
    <w:rsid w:val="008E1221"/>
    <w:rsid w:val="008E6BDD"/>
    <w:rsid w:val="008E70A7"/>
    <w:rsid w:val="008E76A3"/>
    <w:rsid w:val="008E7FF7"/>
    <w:rsid w:val="008F044A"/>
    <w:rsid w:val="008F0F56"/>
    <w:rsid w:val="008F18BC"/>
    <w:rsid w:val="008F2FEE"/>
    <w:rsid w:val="008F3B44"/>
    <w:rsid w:val="008F7815"/>
    <w:rsid w:val="00900893"/>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2EE4"/>
    <w:rsid w:val="00944557"/>
    <w:rsid w:val="009458D9"/>
    <w:rsid w:val="0094668B"/>
    <w:rsid w:val="00953A2D"/>
    <w:rsid w:val="00954478"/>
    <w:rsid w:val="00957E5D"/>
    <w:rsid w:val="0096700F"/>
    <w:rsid w:val="00970072"/>
    <w:rsid w:val="00974060"/>
    <w:rsid w:val="00975F71"/>
    <w:rsid w:val="00991562"/>
    <w:rsid w:val="009921C3"/>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5CF6"/>
    <w:rsid w:val="009C6492"/>
    <w:rsid w:val="009C7D7E"/>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47476"/>
    <w:rsid w:val="00A55E0F"/>
    <w:rsid w:val="00A56DCC"/>
    <w:rsid w:val="00A64913"/>
    <w:rsid w:val="00A75D3B"/>
    <w:rsid w:val="00A76BDD"/>
    <w:rsid w:val="00A83DBA"/>
    <w:rsid w:val="00A84E46"/>
    <w:rsid w:val="00A85AB9"/>
    <w:rsid w:val="00A86243"/>
    <w:rsid w:val="00A91CD6"/>
    <w:rsid w:val="00A93672"/>
    <w:rsid w:val="00A96B60"/>
    <w:rsid w:val="00A9780F"/>
    <w:rsid w:val="00AA3211"/>
    <w:rsid w:val="00AA43DC"/>
    <w:rsid w:val="00AB176A"/>
    <w:rsid w:val="00AC12E7"/>
    <w:rsid w:val="00AC22E3"/>
    <w:rsid w:val="00AC4C19"/>
    <w:rsid w:val="00AD23B2"/>
    <w:rsid w:val="00AD244B"/>
    <w:rsid w:val="00AD497B"/>
    <w:rsid w:val="00AD69B8"/>
    <w:rsid w:val="00AD6A25"/>
    <w:rsid w:val="00AD7C6B"/>
    <w:rsid w:val="00AE1F0B"/>
    <w:rsid w:val="00AF1CB4"/>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80B91"/>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0026"/>
    <w:rsid w:val="00C93A1D"/>
    <w:rsid w:val="00C9500E"/>
    <w:rsid w:val="00C953C5"/>
    <w:rsid w:val="00C95762"/>
    <w:rsid w:val="00CA1A8B"/>
    <w:rsid w:val="00CA4446"/>
    <w:rsid w:val="00CB2D0B"/>
    <w:rsid w:val="00CB7564"/>
    <w:rsid w:val="00CC7854"/>
    <w:rsid w:val="00CD1A35"/>
    <w:rsid w:val="00CD66E6"/>
    <w:rsid w:val="00CD70FA"/>
    <w:rsid w:val="00CD719E"/>
    <w:rsid w:val="00CE040A"/>
    <w:rsid w:val="00CE19E5"/>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708B3"/>
    <w:rsid w:val="00D73DC2"/>
    <w:rsid w:val="00D75342"/>
    <w:rsid w:val="00D80AAE"/>
    <w:rsid w:val="00D822A7"/>
    <w:rsid w:val="00D8458B"/>
    <w:rsid w:val="00D93FF1"/>
    <w:rsid w:val="00D957C4"/>
    <w:rsid w:val="00D95C70"/>
    <w:rsid w:val="00D963CA"/>
    <w:rsid w:val="00DA1854"/>
    <w:rsid w:val="00DA1AA6"/>
    <w:rsid w:val="00DA3986"/>
    <w:rsid w:val="00DA4D8E"/>
    <w:rsid w:val="00DB353C"/>
    <w:rsid w:val="00DC1F31"/>
    <w:rsid w:val="00DC5A06"/>
    <w:rsid w:val="00DC7AEC"/>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20B22"/>
    <w:rsid w:val="00E24B1E"/>
    <w:rsid w:val="00E25672"/>
    <w:rsid w:val="00E26334"/>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93E7F"/>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56C6E"/>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6F18"/>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3704-1503-41A0-B2B2-065EAA3D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6689</Words>
  <Characters>40135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6</cp:revision>
  <cp:lastPrinted>2015-08-13T07:51:00Z</cp:lastPrinted>
  <dcterms:created xsi:type="dcterms:W3CDTF">2020-09-02T08:03:00Z</dcterms:created>
  <dcterms:modified xsi:type="dcterms:W3CDTF">2020-09-02T08:04:00Z</dcterms:modified>
</cp:coreProperties>
</file>