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3D6E" w14:textId="77777777" w:rsidR="00842F3A" w:rsidRPr="004A2391" w:rsidRDefault="00E61FAB" w:rsidP="00F122C5">
      <w:pPr>
        <w:jc w:val="center"/>
        <w:rPr>
          <w:b/>
          <w:i/>
          <w:color w:val="000099"/>
          <w:sz w:val="44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7939EE" wp14:editId="42B03481">
            <wp:extent cx="8168440" cy="802257"/>
            <wp:effectExtent l="0" t="0" r="4445" b="0"/>
            <wp:docPr id="10" name="Obraz 10" descr="C:\Users\teresa.kiecon\AppData\Local\Microsoft\Windows\Temporary Internet Files\Content.Word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sa.kiecon\AppData\Local\Microsoft\Windows\Temporary Internet Files\Content.Word\RPO+OP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800" cy="81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80D2" w14:textId="77777777" w:rsidR="00F122C5" w:rsidRDefault="00F122C5">
      <w:pPr>
        <w:rPr>
          <w:b/>
        </w:rPr>
      </w:pPr>
    </w:p>
    <w:p w14:paraId="0213ECA8" w14:textId="77777777" w:rsidR="00F41DFA" w:rsidRPr="00BD3CDD" w:rsidRDefault="00F41DFA">
      <w:pPr>
        <w:rPr>
          <w:b/>
        </w:rPr>
      </w:pPr>
    </w:p>
    <w:p w14:paraId="516A9FE1" w14:textId="77777777" w:rsidR="00BD3CDD" w:rsidRPr="00BD3CDD" w:rsidRDefault="00BD3CDD" w:rsidP="00BD3CDD">
      <w:pPr>
        <w:spacing w:after="0"/>
        <w:jc w:val="center"/>
        <w:rPr>
          <w:b/>
          <w:sz w:val="44"/>
          <w:szCs w:val="44"/>
        </w:rPr>
      </w:pPr>
      <w:r w:rsidRPr="00BD3CDD">
        <w:rPr>
          <w:b/>
          <w:sz w:val="44"/>
          <w:szCs w:val="44"/>
        </w:rPr>
        <w:t xml:space="preserve">ZAŁĄCZNIK NR </w:t>
      </w:r>
      <w:r w:rsidR="00B10C8A">
        <w:rPr>
          <w:b/>
          <w:sz w:val="44"/>
          <w:szCs w:val="44"/>
        </w:rPr>
        <w:t>8</w:t>
      </w:r>
    </w:p>
    <w:p w14:paraId="02845316" w14:textId="77777777" w:rsidR="00D74914" w:rsidRPr="00BD3CDD" w:rsidRDefault="00D74914" w:rsidP="00D74914">
      <w:pPr>
        <w:jc w:val="center"/>
        <w:rPr>
          <w:rFonts w:ascii="Calibri" w:eastAsia="Times New Roman" w:hAnsi="Calibri" w:cs="Times New Roman"/>
          <w:b/>
          <w:i/>
          <w:sz w:val="44"/>
          <w:szCs w:val="28"/>
        </w:rPr>
      </w:pPr>
      <w:r w:rsidRPr="00BD3CDD">
        <w:rPr>
          <w:rFonts w:ascii="Calibri" w:eastAsia="Times New Roman" w:hAnsi="Calibri" w:cs="Times New Roman"/>
          <w:b/>
          <w:i/>
          <w:sz w:val="44"/>
          <w:szCs w:val="28"/>
        </w:rPr>
        <w:t xml:space="preserve">Lista wskaźników na poziomie projektu </w:t>
      </w:r>
      <w:r w:rsidR="00A635F2" w:rsidRPr="00BD3CDD">
        <w:rPr>
          <w:rFonts w:ascii="Calibri" w:eastAsia="Times New Roman" w:hAnsi="Calibri" w:cs="Times New Roman"/>
          <w:b/>
          <w:i/>
          <w:sz w:val="44"/>
          <w:szCs w:val="28"/>
        </w:rPr>
        <w:br/>
      </w:r>
      <w:r w:rsidR="00747DCF" w:rsidRPr="00BD3CDD">
        <w:rPr>
          <w:rFonts w:ascii="Calibri" w:eastAsia="Times New Roman" w:hAnsi="Calibri" w:cs="Times New Roman"/>
          <w:i/>
          <w:sz w:val="44"/>
          <w:szCs w:val="28"/>
        </w:rPr>
        <w:t>d</w:t>
      </w:r>
      <w:r w:rsidR="00A635F2" w:rsidRPr="00BD3CDD">
        <w:rPr>
          <w:rFonts w:ascii="Calibri" w:eastAsia="Times New Roman" w:hAnsi="Calibri" w:cs="Times New Roman"/>
          <w:i/>
          <w:sz w:val="44"/>
          <w:szCs w:val="28"/>
        </w:rPr>
        <w:t>la</w:t>
      </w:r>
      <w:r w:rsidR="00747DCF" w:rsidRPr="00BD3CDD">
        <w:rPr>
          <w:rFonts w:ascii="Calibri" w:eastAsia="Times New Roman" w:hAnsi="Calibri" w:cs="Times New Roman"/>
          <w:i/>
          <w:sz w:val="44"/>
          <w:szCs w:val="28"/>
        </w:rPr>
        <w:t xml:space="preserve"> poddziałania 3.2.1 Efektywność energetyczna w budynkach publicznych</w:t>
      </w:r>
      <w:r w:rsidR="00747DCF" w:rsidRPr="00BD3CDD">
        <w:rPr>
          <w:rFonts w:ascii="Calibri" w:eastAsia="Times New Roman" w:hAnsi="Calibri" w:cs="Times New Roman"/>
          <w:b/>
          <w:i/>
          <w:sz w:val="44"/>
          <w:szCs w:val="28"/>
        </w:rPr>
        <w:t xml:space="preserve"> </w:t>
      </w:r>
      <w:r w:rsidR="00A635F2" w:rsidRPr="00BD3CDD">
        <w:rPr>
          <w:rFonts w:ascii="Calibri" w:eastAsia="Times New Roman" w:hAnsi="Calibri" w:cs="Times New Roman"/>
          <w:b/>
          <w:i/>
          <w:sz w:val="44"/>
          <w:szCs w:val="28"/>
        </w:rPr>
        <w:br/>
        <w:t>RPO WO 2014-2020</w:t>
      </w:r>
    </w:p>
    <w:p w14:paraId="29741D07" w14:textId="77777777" w:rsidR="00F122C5" w:rsidRPr="004A2391" w:rsidRDefault="00F122C5">
      <w:pPr>
        <w:rPr>
          <w:b/>
        </w:rPr>
      </w:pPr>
    </w:p>
    <w:p w14:paraId="668A6B90" w14:textId="77777777" w:rsidR="00BD3CDD" w:rsidRDefault="00BD3CDD">
      <w:pPr>
        <w:rPr>
          <w:b/>
        </w:rPr>
      </w:pPr>
    </w:p>
    <w:p w14:paraId="674D51DF" w14:textId="77777777" w:rsidR="00BD3CDD" w:rsidRPr="004A2391" w:rsidRDefault="00BD3CDD">
      <w:pPr>
        <w:rPr>
          <w:b/>
        </w:rPr>
      </w:pPr>
    </w:p>
    <w:p w14:paraId="1C4ABAB2" w14:textId="610000E8" w:rsidR="001E4C2E" w:rsidRPr="004A2391" w:rsidRDefault="001E4C2E">
      <w:pPr>
        <w:rPr>
          <w:b/>
        </w:rPr>
      </w:pPr>
    </w:p>
    <w:p w14:paraId="79E8FA9A" w14:textId="77777777" w:rsidR="00BD3CDD" w:rsidRDefault="00BD3CDD" w:rsidP="00BD3CDD">
      <w:pPr>
        <w:spacing w:after="0"/>
        <w:jc w:val="center"/>
        <w:rPr>
          <w:b/>
        </w:rPr>
      </w:pPr>
      <w:r>
        <w:rPr>
          <w:b/>
        </w:rPr>
        <w:t>Wersja 1</w:t>
      </w:r>
    </w:p>
    <w:p w14:paraId="79E2F222" w14:textId="77777777" w:rsidR="00BD3CDD" w:rsidRDefault="00BD3CDD" w:rsidP="00BD3CDD">
      <w:pPr>
        <w:spacing w:after="0" w:line="240" w:lineRule="auto"/>
        <w:jc w:val="center"/>
        <w:rPr>
          <w:b/>
        </w:rPr>
      </w:pPr>
      <w:r>
        <w:rPr>
          <w:b/>
        </w:rPr>
        <w:t xml:space="preserve">Opole, </w:t>
      </w:r>
      <w:r w:rsidR="00F73722">
        <w:rPr>
          <w:b/>
        </w:rPr>
        <w:t>lipiec</w:t>
      </w:r>
      <w:r w:rsidR="00E61FAB">
        <w:rPr>
          <w:b/>
        </w:rPr>
        <w:t xml:space="preserve"> 2019</w:t>
      </w:r>
      <w:r>
        <w:rPr>
          <w:b/>
        </w:rPr>
        <w:t xml:space="preserve"> r.</w:t>
      </w:r>
    </w:p>
    <w:p w14:paraId="604748AC" w14:textId="0EAB69A1" w:rsidR="001E4C2E" w:rsidRDefault="001E4C2E" w:rsidP="006C7F25">
      <w:pPr>
        <w:spacing w:after="120" w:line="360" w:lineRule="auto"/>
        <w:jc w:val="both"/>
        <w:rPr>
          <w:rFonts w:ascii="Calibri" w:hAnsi="Calibri"/>
          <w:sz w:val="24"/>
          <w:szCs w:val="24"/>
        </w:rPr>
      </w:pPr>
    </w:p>
    <w:p w14:paraId="29BBC973" w14:textId="78988822" w:rsidR="001E4C2E" w:rsidRDefault="001E4C2E" w:rsidP="001E4C2E">
      <w:pPr>
        <w:spacing w:after="120" w:line="360" w:lineRule="auto"/>
        <w:rPr>
          <w:rFonts w:ascii="Calibri" w:hAnsi="Calibri"/>
          <w:sz w:val="24"/>
          <w:szCs w:val="24"/>
        </w:rPr>
      </w:pPr>
    </w:p>
    <w:p w14:paraId="242C07E3" w14:textId="77777777" w:rsidR="00DF2D9B" w:rsidRDefault="00DF2D9B">
      <w:pPr>
        <w:rPr>
          <w:b/>
        </w:rPr>
      </w:pPr>
    </w:p>
    <w:p w14:paraId="0D3AB044" w14:textId="4ACD37C0" w:rsidR="00747DCF" w:rsidRDefault="00747DCF" w:rsidP="006C7F25">
      <w:pPr>
        <w:tabs>
          <w:tab w:val="left" w:pos="10140"/>
        </w:tabs>
        <w:rPr>
          <w:b/>
        </w:rPr>
      </w:pPr>
    </w:p>
    <w:p w14:paraId="1F88DDFF" w14:textId="77777777" w:rsidR="00747DCF" w:rsidRDefault="00747DCF">
      <w:pPr>
        <w:rPr>
          <w:b/>
        </w:rPr>
      </w:pPr>
    </w:p>
    <w:p w14:paraId="60B94970" w14:textId="77777777" w:rsidR="00747DCF" w:rsidRDefault="00747DCF">
      <w:pPr>
        <w:rPr>
          <w:b/>
        </w:rPr>
      </w:pPr>
    </w:p>
    <w:p w14:paraId="3F434AAB" w14:textId="77777777" w:rsidR="00611F30" w:rsidRDefault="00611F30">
      <w:pPr>
        <w:rPr>
          <w:b/>
        </w:rPr>
      </w:pPr>
    </w:p>
    <w:p w14:paraId="13945B10" w14:textId="77777777" w:rsidR="001E4C2E" w:rsidRDefault="001E4C2E">
      <w:pPr>
        <w:rPr>
          <w:b/>
        </w:rPr>
      </w:pPr>
    </w:p>
    <w:p w14:paraId="3D763F97" w14:textId="77777777" w:rsidR="00DF2D9B" w:rsidRDefault="00DF2D9B">
      <w:pPr>
        <w:rPr>
          <w:b/>
        </w:rPr>
      </w:pPr>
    </w:p>
    <w:p w14:paraId="7C726855" w14:textId="77777777" w:rsidR="00D74914" w:rsidRDefault="00D74914">
      <w:pPr>
        <w:rPr>
          <w:b/>
        </w:rPr>
      </w:pPr>
    </w:p>
    <w:p w14:paraId="1D798D9F" w14:textId="77777777" w:rsidR="00C9633D" w:rsidRDefault="00C9633D">
      <w:pPr>
        <w:rPr>
          <w:b/>
        </w:rPr>
      </w:pPr>
    </w:p>
    <w:p w14:paraId="5B3AD55E" w14:textId="77777777" w:rsidR="00C9633D" w:rsidRDefault="00C9633D">
      <w:pPr>
        <w:rPr>
          <w:b/>
        </w:rPr>
      </w:pPr>
    </w:p>
    <w:p w14:paraId="7B18515C" w14:textId="77777777" w:rsidR="00C9633D" w:rsidRPr="004A2391" w:rsidRDefault="00C9633D">
      <w:pPr>
        <w:rPr>
          <w:b/>
        </w:rPr>
      </w:pPr>
    </w:p>
    <w:p w14:paraId="4C1974F9" w14:textId="77777777" w:rsidR="00F122C5" w:rsidRPr="00E735FF" w:rsidRDefault="00F122C5" w:rsidP="00F122C5">
      <w:pPr>
        <w:spacing w:after="0"/>
        <w:rPr>
          <w:b/>
          <w:color w:val="000099"/>
          <w:sz w:val="24"/>
          <w:szCs w:val="24"/>
          <w:u w:val="single"/>
        </w:rPr>
      </w:pPr>
      <w:r w:rsidRPr="00E735FF">
        <w:rPr>
          <w:b/>
          <w:color w:val="000099"/>
          <w:sz w:val="24"/>
          <w:szCs w:val="24"/>
          <w:u w:val="single"/>
        </w:rPr>
        <w:t>Opracowanie:</w:t>
      </w:r>
    </w:p>
    <w:p w14:paraId="07A9441C" w14:textId="3DE097BE" w:rsidR="00F122C5" w:rsidRPr="00E735FF" w:rsidRDefault="00F122C5" w:rsidP="000E521A">
      <w:pPr>
        <w:tabs>
          <w:tab w:val="center" w:pos="7001"/>
        </w:tabs>
        <w:spacing w:after="0"/>
        <w:rPr>
          <w:color w:val="000099"/>
          <w:sz w:val="24"/>
          <w:szCs w:val="24"/>
        </w:rPr>
      </w:pPr>
      <w:r w:rsidRPr="00E735FF">
        <w:rPr>
          <w:color w:val="000099"/>
          <w:sz w:val="24"/>
          <w:szCs w:val="24"/>
        </w:rPr>
        <w:t>Departament Koordynacji Programów Operacyjnych</w:t>
      </w:r>
    </w:p>
    <w:p w14:paraId="03A69CE0" w14:textId="77777777" w:rsidR="00F122C5" w:rsidRPr="00E735FF" w:rsidRDefault="00F122C5" w:rsidP="00F122C5">
      <w:pPr>
        <w:spacing w:after="0"/>
        <w:rPr>
          <w:color w:val="000099"/>
          <w:sz w:val="24"/>
          <w:szCs w:val="24"/>
        </w:rPr>
      </w:pPr>
      <w:r w:rsidRPr="00E735FF">
        <w:rPr>
          <w:color w:val="000099"/>
          <w:sz w:val="24"/>
          <w:szCs w:val="24"/>
        </w:rPr>
        <w:t>Urząd Marszałkowski Województwa Opolskiego</w:t>
      </w:r>
    </w:p>
    <w:p w14:paraId="29DCE16B" w14:textId="6C2A2970" w:rsidR="00F122C5" w:rsidRPr="00E735FF" w:rsidRDefault="00AA17E8" w:rsidP="00F73722">
      <w:pPr>
        <w:tabs>
          <w:tab w:val="left" w:pos="5265"/>
        </w:tabs>
        <w:spacing w:after="0"/>
        <w:rPr>
          <w:b/>
          <w:sz w:val="24"/>
          <w:szCs w:val="24"/>
        </w:rPr>
      </w:pPr>
      <w:r w:rsidRPr="00E735FF">
        <w:rPr>
          <w:color w:val="000099"/>
          <w:sz w:val="24"/>
          <w:szCs w:val="24"/>
        </w:rPr>
        <w:t>Opole</w:t>
      </w:r>
      <w:r w:rsidR="00864144" w:rsidRPr="00E735FF">
        <w:rPr>
          <w:color w:val="000099"/>
          <w:sz w:val="24"/>
          <w:szCs w:val="24"/>
        </w:rPr>
        <w:t>,</w:t>
      </w:r>
      <w:r w:rsidR="00611F30" w:rsidRPr="00E735FF">
        <w:rPr>
          <w:color w:val="000099"/>
          <w:sz w:val="24"/>
          <w:szCs w:val="24"/>
        </w:rPr>
        <w:t xml:space="preserve"> </w:t>
      </w:r>
      <w:r w:rsidR="00F73722" w:rsidRPr="00E735FF">
        <w:rPr>
          <w:color w:val="000099"/>
          <w:sz w:val="24"/>
          <w:szCs w:val="24"/>
        </w:rPr>
        <w:t>lipiec</w:t>
      </w:r>
      <w:r w:rsidR="00E61FAB" w:rsidRPr="00E735FF">
        <w:rPr>
          <w:color w:val="000099"/>
          <w:sz w:val="24"/>
          <w:szCs w:val="24"/>
        </w:rPr>
        <w:t xml:space="preserve"> 2019</w:t>
      </w:r>
      <w:r w:rsidR="00611F30" w:rsidRPr="00E735FF">
        <w:rPr>
          <w:color w:val="000099"/>
          <w:sz w:val="24"/>
          <w:szCs w:val="24"/>
        </w:rPr>
        <w:t xml:space="preserve"> </w:t>
      </w:r>
      <w:r w:rsidR="00F122C5" w:rsidRPr="00E735FF">
        <w:rPr>
          <w:color w:val="000099"/>
          <w:sz w:val="24"/>
          <w:szCs w:val="24"/>
        </w:rPr>
        <w:t>r.</w:t>
      </w:r>
      <w:r w:rsidR="00F122C5" w:rsidRPr="00E735FF">
        <w:rPr>
          <w:b/>
          <w:sz w:val="24"/>
          <w:szCs w:val="24"/>
        </w:rPr>
        <w:br w:type="page"/>
      </w:r>
    </w:p>
    <w:p w14:paraId="19C08783" w14:textId="77777777" w:rsidR="001F61B4" w:rsidRPr="00A635F2" w:rsidRDefault="001F61B4" w:rsidP="001F61B4">
      <w:pPr>
        <w:spacing w:after="60"/>
        <w:rPr>
          <w:i/>
          <w:sz w:val="24"/>
        </w:rPr>
      </w:pPr>
      <w:r w:rsidRPr="00A635F2">
        <w:rPr>
          <w:b/>
          <w:sz w:val="24"/>
        </w:rPr>
        <w:lastRenderedPageBreak/>
        <w:t xml:space="preserve">Tabela 1. </w:t>
      </w:r>
      <w:r w:rsidRPr="00A635F2">
        <w:rPr>
          <w:i/>
          <w:sz w:val="24"/>
        </w:rPr>
        <w:t>Zestawienie wskaźników EFRR na poziomie projektu RPO WO 2014-2020</w:t>
      </w:r>
    </w:p>
    <w:tbl>
      <w:tblPr>
        <w:tblStyle w:val="Tabela-Siatka"/>
        <w:tblW w:w="14586" w:type="dxa"/>
        <w:tblBorders>
          <w:top w:val="single" w:sz="12" w:space="0" w:color="33CC33"/>
          <w:left w:val="single" w:sz="12" w:space="0" w:color="33CC33"/>
          <w:bottom w:val="single" w:sz="12" w:space="0" w:color="33CC33"/>
          <w:right w:val="single" w:sz="12" w:space="0" w:color="33CC33"/>
          <w:insideH w:val="single" w:sz="4" w:space="0" w:color="33CC33"/>
          <w:insideV w:val="single" w:sz="4" w:space="0" w:color="33CC33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77"/>
        <w:gridCol w:w="1276"/>
        <w:gridCol w:w="1276"/>
        <w:gridCol w:w="1275"/>
        <w:gridCol w:w="1276"/>
        <w:gridCol w:w="5954"/>
      </w:tblGrid>
      <w:tr w:rsidR="001F61B4" w:rsidRPr="004A2391" w14:paraId="7A00D52F" w14:textId="77777777" w:rsidTr="00CC562B">
        <w:trPr>
          <w:tblHeader/>
        </w:trPr>
        <w:tc>
          <w:tcPr>
            <w:tcW w:w="552" w:type="dxa"/>
            <w:tcBorders>
              <w:top w:val="single" w:sz="8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0A1B6491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57EDB616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Nazwa wskaźnika</w:t>
            </w:r>
          </w:p>
        </w:tc>
        <w:tc>
          <w:tcPr>
            <w:tcW w:w="1276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556F58A9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Jednostka miary</w:t>
            </w:r>
          </w:p>
        </w:tc>
        <w:tc>
          <w:tcPr>
            <w:tcW w:w="1276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2BA9301A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Rodzaj wskaźnika</w:t>
            </w:r>
          </w:p>
        </w:tc>
        <w:tc>
          <w:tcPr>
            <w:tcW w:w="1275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14A70DB8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Typ wskaźnika</w:t>
            </w:r>
          </w:p>
        </w:tc>
        <w:tc>
          <w:tcPr>
            <w:tcW w:w="1276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  <w:right w:val="single" w:sz="12" w:space="0" w:color="33CC33"/>
            </w:tcBorders>
            <w:shd w:val="clear" w:color="auto" w:fill="F2F2F2"/>
            <w:vAlign w:val="center"/>
          </w:tcPr>
          <w:p w14:paraId="67C60F21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Inne uwagi</w:t>
            </w:r>
          </w:p>
        </w:tc>
        <w:tc>
          <w:tcPr>
            <w:tcW w:w="5954" w:type="dxa"/>
            <w:tcBorders>
              <w:top w:val="single" w:sz="8" w:space="0" w:color="33CC33"/>
              <w:left w:val="single" w:sz="12" w:space="0" w:color="33CC33"/>
              <w:bottom w:val="single" w:sz="12" w:space="0" w:color="33CC33"/>
            </w:tcBorders>
            <w:shd w:val="clear" w:color="auto" w:fill="F2F2F2"/>
            <w:vAlign w:val="center"/>
          </w:tcPr>
          <w:p w14:paraId="343F432D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A635F2">
              <w:rPr>
                <w:b/>
                <w:color w:val="000099"/>
                <w:sz w:val="24"/>
                <w:szCs w:val="24"/>
              </w:rPr>
              <w:t>Definicja</w:t>
            </w:r>
          </w:p>
        </w:tc>
      </w:tr>
      <w:tr w:rsidR="001F61B4" w:rsidRPr="004A2391" w14:paraId="3C854194" w14:textId="77777777" w:rsidTr="00CC562B">
        <w:tc>
          <w:tcPr>
            <w:tcW w:w="14586" w:type="dxa"/>
            <w:gridSpan w:val="7"/>
            <w:tcBorders>
              <w:top w:val="single" w:sz="12" w:space="0" w:color="33CC33"/>
              <w:bottom w:val="single" w:sz="12" w:space="0" w:color="33CC33"/>
            </w:tcBorders>
            <w:shd w:val="clear" w:color="auto" w:fill="FFFFFF" w:themeFill="background1"/>
          </w:tcPr>
          <w:p w14:paraId="0CFF62FD" w14:textId="77777777" w:rsidR="001F61B4" w:rsidRPr="00A635F2" w:rsidRDefault="001F61B4" w:rsidP="00CC562B">
            <w:pPr>
              <w:spacing w:before="80" w:after="80"/>
              <w:rPr>
                <w:b/>
                <w:color w:val="000099"/>
                <w:sz w:val="24"/>
                <w:szCs w:val="24"/>
              </w:rPr>
            </w:pPr>
            <w:r w:rsidRPr="005046F5">
              <w:rPr>
                <w:b/>
                <w:color w:val="000099"/>
                <w:sz w:val="28"/>
                <w:szCs w:val="24"/>
              </w:rPr>
              <w:t>Wskaźniki horyzontalne</w:t>
            </w:r>
          </w:p>
        </w:tc>
      </w:tr>
      <w:tr w:rsidR="001F61B4" w:rsidRPr="004A2391" w14:paraId="48E3FE75" w14:textId="77777777" w:rsidTr="00CC562B">
        <w:tc>
          <w:tcPr>
            <w:tcW w:w="552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5F31910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0B9661BD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obiektów dostosowanych</w:t>
            </w:r>
            <w:r>
              <w:rPr>
                <w:i/>
                <w:sz w:val="24"/>
                <w:szCs w:val="24"/>
              </w:rPr>
              <w:t xml:space="preserve"> do potrzeb osób </w:t>
            </w:r>
            <w:r w:rsidRPr="00A635F2">
              <w:rPr>
                <w:i/>
                <w:sz w:val="24"/>
                <w:szCs w:val="24"/>
              </w:rPr>
              <w:t>z niepełnosprawnościami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2330441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0DB1C5B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77FA7AE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5F4AF5EB" w14:textId="2884B09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</w:p>
          <w:p w14:paraId="59C92325" w14:textId="77777777" w:rsidR="001F61B4" w:rsidRPr="00A635F2" w:rsidRDefault="001F61B4" w:rsidP="00CC562B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14561610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Wskaźnik odnosi się do liczby obiektów, które zaopatrzono w specjalne podjazdy, windy, urządzenia głośnomówiące, bądź inne </w:t>
            </w:r>
            <w:r w:rsidRPr="00A635F2">
              <w:rPr>
                <w:sz w:val="24"/>
                <w:szCs w:val="24"/>
              </w:rPr>
              <w:t>rozwiązania umożliwiające dostęp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(tj. usunięcie barier w dostępie, w szczególności barier archi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tektonicznych) do tych obiektów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i poruszanie się po nich osobom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z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niepełnosprawnościami ruchowymi czy sensorycznymi.</w:t>
            </w:r>
          </w:p>
          <w:p w14:paraId="45993290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Jako obiekty budowlane należy rozumieć konstrukcje połączone z gruntem w sposób trwały, wykonane z materiałów budowlanych i elementów składowych, będące wynikiem prac budowlanych (wg. def. PKOB).</w:t>
            </w:r>
          </w:p>
          <w:p w14:paraId="2135947B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Należy podać liczbę obiektów, w których zastosowano rozwiązania umożliwiające dostęp osobom z niepełnosprawnościami ruchowymi czy sensorycznymi lub zaopatrzonych w sprzęt, a nie liczbę sprzętów, urządzeń itp.</w:t>
            </w:r>
          </w:p>
          <w:p w14:paraId="1F8E082E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Theme="minorHAnsi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Jeśli instytucja, zakład itp. składa się z kilku obiektów, należy zliczyć wszystkie, które dostosowano do potrzeb osób z </w:t>
            </w:r>
            <w:r w:rsidRPr="00A635F2">
              <w:rPr>
                <w:rFonts w:eastAsiaTheme="minorHAnsi"/>
                <w:sz w:val="24"/>
                <w:szCs w:val="24"/>
                <w:lang w:eastAsia="en-US"/>
              </w:rPr>
              <w:t>niepełnosprawnościami.</w:t>
            </w:r>
          </w:p>
          <w:p w14:paraId="26DC89DB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Wskaźnik mierzony w momencie rozliczenia wydatku związanego z dostosowaniem obiektów do potrzeb osób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z niepełnosprawnościami w ramach danego projektu.</w:t>
            </w:r>
          </w:p>
          <w:p w14:paraId="75A1526C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Do wskaźnika powinny zostać wliczone zarówno obiekty dostosowane w projektach ogólnodostępnych, jak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 xml:space="preserve">i dedykowanych (zgodnie z kategoryzacją projektów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z </w:t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 xml:space="preserve">Wytycznych w zakresie realizacji zasady równości szans </w:t>
            </w:r>
            <w:r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 xml:space="preserve">i niedyskryminacji, w tym dostępności dla osób </w:t>
            </w:r>
            <w:r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>z niepełnosprawnościami oraz zasady równości szans kobiet i mężczyzn w ramach funduszy unijnych na lata 2014-2020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1F61B4" w:rsidRPr="004A2391" w14:paraId="078416A9" w14:textId="77777777" w:rsidTr="00CC562B">
        <w:trPr>
          <w:trHeight w:val="1481"/>
        </w:trPr>
        <w:tc>
          <w:tcPr>
            <w:tcW w:w="552" w:type="dxa"/>
            <w:shd w:val="clear" w:color="auto" w:fill="FFFFFF" w:themeFill="background1"/>
            <w:vAlign w:val="center"/>
          </w:tcPr>
          <w:p w14:paraId="6DA5A6D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6FE8C3B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osób objętych szkoleniami / doradztwem w zakresie kompetencji cyfrowych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566C4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85C102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4A271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CA947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14:paraId="5BAF7845" w14:textId="74D9FE0B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Wskaźnik mierzy liczbę osób objętych szkoleniami / doradztwem w zakresie nabywania / doskonalenia umiejętności warunkujących efektywne korzystanie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z mediów elektronicznych tj. m.in. korzystania z komputera, różnych rodzajów oprogramowania, </w:t>
            </w:r>
            <w:r w:rsidR="00C9633D"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Internetu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oraz kompetencji ściśle informatycznych (np. programowanie, zarządzanie bazami danych, administracja sieciami, administracja witrynami internetowymi).</w:t>
            </w:r>
          </w:p>
          <w:p w14:paraId="75A5C861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Wskaźnik ma agregować wszystkie osoby, które skorzystały ze wsparcia w zakresie TIK we wszystkich programach i projektach, także tych, gdzie szkolenie dotycz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y obsługi specyficznego systemu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teleinformatycznego, którego wdrożenia dotyczy projekt. </w:t>
            </w:r>
          </w:p>
          <w:p w14:paraId="74051EDB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6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Do wskaźnika powinni zostać wliczeni wszyscy uczestnicy projektów zawierających określony rodzaj wsparcia, w tym również np. uczniowie nabywający kompetencje w ramach zajęć szkolnych, jeśli wsparcie to dotyczy technologii informacyjno-komunikacyjnych.</w:t>
            </w:r>
          </w:p>
          <w:p w14:paraId="037DADE0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Identyfikacja charakteru i zakresu nabywanych kompetencji będzie możliwa dzięki możliwości pogrupowania wskaźnika według programów, osi priorytetowych i priorytetów inwestycyjnych.</w:t>
            </w:r>
          </w:p>
        </w:tc>
      </w:tr>
      <w:tr w:rsidR="001F61B4" w:rsidRPr="004A2391" w14:paraId="144C6836" w14:textId="77777777" w:rsidTr="00CC562B">
        <w:trPr>
          <w:trHeight w:val="1828"/>
        </w:trPr>
        <w:tc>
          <w:tcPr>
            <w:tcW w:w="552" w:type="dxa"/>
            <w:shd w:val="clear" w:color="auto" w:fill="FFFFFF" w:themeFill="background1"/>
            <w:vAlign w:val="center"/>
          </w:tcPr>
          <w:p w14:paraId="7166124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2a.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3D83988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osób objętych szkoleniami / doradztwem w zakresie kompetencji cyfrowych</w:t>
            </w:r>
            <w:r w:rsidRPr="00A635F2">
              <w:rPr>
                <w:i/>
                <w:sz w:val="24"/>
                <w:szCs w:val="24"/>
              </w:rPr>
              <w:br/>
              <w:t>- kobiety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240D7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258033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4B3E29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07BDC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7809353D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ind w:left="-8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1F61B4" w:rsidRPr="004A2391" w14:paraId="1925D8B6" w14:textId="77777777" w:rsidTr="00CC562B">
        <w:tc>
          <w:tcPr>
            <w:tcW w:w="552" w:type="dxa"/>
            <w:shd w:val="clear" w:color="auto" w:fill="FFFFFF" w:themeFill="background1"/>
            <w:vAlign w:val="center"/>
          </w:tcPr>
          <w:p w14:paraId="5246AD9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2b.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C7F639B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osób objętych szkoleniami / doradztwem w zakresie kompetencji cyfrowych</w:t>
            </w:r>
            <w:r w:rsidRPr="00A635F2">
              <w:rPr>
                <w:i/>
                <w:sz w:val="24"/>
                <w:szCs w:val="24"/>
              </w:rPr>
              <w:br/>
              <w:t>- mężczyźni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1D300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C7C2ED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A8DBDC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AB6B0F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4DB0F7F9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ind w:left="-8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1F61B4" w:rsidRPr="004A2391" w14:paraId="7116269A" w14:textId="77777777" w:rsidTr="00CC562B">
        <w:trPr>
          <w:trHeight w:val="3184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F77C0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05D33EA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Liczba projektów, w których sfinansowano koszty racjonalnych usprawnień dla osób </w:t>
            </w:r>
            <w:r w:rsidRPr="00A635F2">
              <w:rPr>
                <w:i/>
                <w:sz w:val="24"/>
                <w:szCs w:val="24"/>
              </w:rPr>
              <w:br/>
              <w:t>z niepełnosprawnościami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9D740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78BFC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C61241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B212D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2B8AB54D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Racjonalne usprawnienie oznacza konieczne i odpowiednie zmiany oraz dostosowania, nie nakładające nieproporcjonaln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ego lub nadmiernego obciążenia,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rozpatrywane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osobno dla każdego konkretnego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przypadku, w celu zapewnienia osobom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z niepełnosprawnościami możliwości korzystania z wszelkich praw człowieka i podstawowych wolności oraz ich wykonywania na zasadzie równości z innymi osobami.</w:t>
            </w:r>
          </w:p>
          <w:p w14:paraId="035A1EF9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Wskaźnik mierzony w momencie rozliczenia wydatku związanego z racjonalnymi usprawnieniami w ramach danego projektu.</w:t>
            </w:r>
          </w:p>
          <w:p w14:paraId="3362DB53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7284C0B6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Do wskaźnika powinny zostać wliczone zarówno projekty ogólnodostępne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, w których sfinansowano koszty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racjonalnych usprawnień, jak i dedykowane (zgodnie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z kategoryzacją projektów z </w:t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 xml:space="preserve">Wytycznych w zakresie realizacji zasady równości szans </w:t>
            </w:r>
            <w:r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 xml:space="preserve">i niedyskryminacji, w tym </w:t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>dostępności dla osób z niepełnosprawnościami oraz zasady równości szans kobiet i mężczyzn w ramach funduszy unijnych na lata 2014-2020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).</w:t>
            </w:r>
          </w:p>
          <w:p w14:paraId="69E203D8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Theme="minorHAnsi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Definicja na podstawie: </w:t>
            </w:r>
            <w:r w:rsidRPr="00A635F2">
              <w:rPr>
                <w:rFonts w:eastAsia="Times New Roman" w:cs="Times New Roman"/>
                <w:i/>
                <w:sz w:val="24"/>
                <w:szCs w:val="24"/>
                <w:lang w:eastAsia="en-US"/>
              </w:rPr>
              <w:t>Wytyczne w zakresie realizacji zasady równości szans i niedyskryminacji, w tym dostępności dla osób z niepełnosprawnościami oraz równości szans kobiet i mężczyzn w ramach funduszy unijnych na lata 2014-</w:t>
            </w:r>
            <w:r w:rsidRPr="00A635F2">
              <w:rPr>
                <w:rFonts w:eastAsiaTheme="minorHAnsi"/>
                <w:i/>
                <w:sz w:val="24"/>
                <w:szCs w:val="24"/>
                <w:lang w:eastAsia="en-US"/>
              </w:rPr>
              <w:t>2020</w:t>
            </w:r>
            <w:r w:rsidRPr="00A635F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1EBA6DE2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Theme="minorHAnsi"/>
                <w:i/>
                <w:sz w:val="24"/>
                <w:szCs w:val="24"/>
                <w:lang w:eastAsia="en-US"/>
              </w:rPr>
              <w:t>Wyjaśnienie:</w:t>
            </w:r>
            <w:r w:rsidRPr="00A635F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635F2">
              <w:rPr>
                <w:rFonts w:eastAsiaTheme="minorHAnsi"/>
                <w:sz w:val="24"/>
                <w:szCs w:val="24"/>
                <w:lang w:eastAsia="en-US"/>
              </w:rPr>
              <w:t xml:space="preserve">Jeśli projekt spełnia kryteria w/w definicji wnioskodawca powinien wykazać wartość „1”,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Theme="minorHAnsi"/>
                <w:sz w:val="24"/>
                <w:szCs w:val="24"/>
                <w:lang w:eastAsia="en-US"/>
              </w:rPr>
              <w:t xml:space="preserve">w przeciwnym wypadku „0”. W przypadku projektów partnerskich wskaźnik powinien być wykazany wyłącznie przez lidera projektu, bez względu na liczbę partnerów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Theme="minorHAnsi"/>
                <w:sz w:val="24"/>
                <w:szCs w:val="24"/>
                <w:lang w:eastAsia="en-US"/>
              </w:rPr>
              <w:t>w projekcie realizujących wskaźnik.</w:t>
            </w:r>
          </w:p>
        </w:tc>
      </w:tr>
      <w:tr w:rsidR="001F61B4" w:rsidRPr="004A2391" w14:paraId="0334A658" w14:textId="77777777" w:rsidTr="00CC562B">
        <w:tc>
          <w:tcPr>
            <w:tcW w:w="552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79D3E84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518352F2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podmiotów wykorzystujących technologie informacyjno-komunikacyjne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3611F5B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6A0B50B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4F24F01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571AD01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3AADA4E6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Wskaźnik mierzy liczbę podmiotów, które w celu realizacji projektu, zainwestowały w technologie informacyjno-komunikacyjne, a w przypadku projektów edukacyjno-szkoleniowych, również podmiotów, które podjęły działania upowszechniające wykorzystanie TIK. </w:t>
            </w:r>
          </w:p>
          <w:p w14:paraId="329BDB48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Przez technologie informacyjno-komunikacyjne (ang. ITC – Information and Communications Technology) należy rozumieć technologie pozyskiwania/ produkcji, gromadzenia /przechowywania, przesyłania, przetwarzania i rozpowszechniania informacji w formie elektronicznej z wykorzystaniem technik cyfrowych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i wszelkich narzędzi komunikacji elektronicznej oraz wszelkie działania związane z produkcją i wykorzystaniem urządzeń telekomunikacyjnych i informatycznych oraz usług im towarzy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szących; działania edukacyjne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 xml:space="preserve">i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szkoleniowe. </w:t>
            </w:r>
          </w:p>
          <w:p w14:paraId="203816D3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 zakresie EFS podmioty wykorzystujące TIK należy rozumieć jako podmioty (beneficjenci/partnerzy beneficjentów), które w ramach realizowanego przez nie projektu wspierają wykorzystywanie technik poprzez: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np. propagowanie / szkolenie / zakup TIK lub podmioty, które otrzymują wsparcie w tym zakresie (uczestnicy projektów). Podmiotu, do którego odnosi się wskaźnik,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 przypadku gdy nie spełnia definicji uczestnika projektu zgodnie z rozdziałem 3.3 Wytycznych w zakresie monitorowania postępu rzeczowego realizacji programów operacyjnych na lata 2014-2020, nie należy wykazywać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 module Uczestnicy projektów w SL2014. </w:t>
            </w:r>
          </w:p>
          <w:p w14:paraId="22D062F0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Podmiotami realizującymi projekty TIK mogą być m.in. MŚP, duże przedsiębiorstwa, administracja publiczna,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w tym jednostki samorządu terytorialnego, NGO, jednostki naukowe, szkoły, które będą wykorzystywać TIK do usprawnienia swojego działania i do prowadzenia relacji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z innymi podmiotami. </w:t>
            </w:r>
          </w:p>
          <w:p w14:paraId="2F705333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W przypadku, gdy beneficjentem pozostaje jeden podmiot, we wskaź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niku należy ująć wartość „1”. </w:t>
            </w:r>
            <w:r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 xml:space="preserve">W </w:t>
            </w:r>
            <w:r w:rsidRPr="00A635F2">
              <w:rPr>
                <w:rFonts w:eastAsia="Times New Roman" w:cs="Times New Roman"/>
                <w:sz w:val="24"/>
                <w:szCs w:val="24"/>
                <w:lang w:eastAsia="en-US"/>
              </w:rPr>
              <w:t>przypadku gdy projekt jest realizowany przez partnerstwo podmiotów, w wartości wskaźnika należy ująć każdy z podmiotów wchodzących w skład partnerstwa, który wdrożył w swojej działalności narzędzia TIK.</w:t>
            </w:r>
          </w:p>
        </w:tc>
      </w:tr>
      <w:tr w:rsidR="001F61B4" w:rsidRPr="004A2391" w14:paraId="65874C6F" w14:textId="77777777" w:rsidTr="00CC562B">
        <w:trPr>
          <w:trHeight w:val="6161"/>
        </w:trPr>
        <w:tc>
          <w:tcPr>
            <w:tcW w:w="552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15DE3724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08F62A43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rFonts w:cs="Arial"/>
                <w:i/>
                <w:sz w:val="24"/>
                <w:szCs w:val="24"/>
              </w:rPr>
              <w:t>Wzrost zatrudnienia we wspieranych przedsiębiorstwach</w:t>
            </w:r>
            <w:r w:rsidRPr="00A635F2">
              <w:rPr>
                <w:rStyle w:val="Odwoanieprzypisudolnego"/>
                <w:rFonts w:cs="Arial"/>
                <w:i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66C0101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71358A8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2E10773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48BB7ED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Common Indicator</w:t>
            </w:r>
          </w:p>
        </w:tc>
        <w:tc>
          <w:tcPr>
            <w:tcW w:w="5954" w:type="dxa"/>
            <w:vMerge w:val="restart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5BFD8E24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right="34"/>
              <w:rPr>
                <w:rFonts w:cs="Times New Roman"/>
                <w:sz w:val="24"/>
                <w:szCs w:val="24"/>
              </w:rPr>
            </w:pPr>
            <w:r w:rsidRPr="00A635F2">
              <w:rPr>
                <w:rFonts w:cs="Times New Roman"/>
                <w:sz w:val="24"/>
                <w:szCs w:val="24"/>
              </w:rPr>
              <w:t>Liczba brutto nowych miejsc pracy we wspieranych przedsiębiorstwach w przeliczeniu na pełne etaty na podstawie umowy o pracę (nie dotyczy umów cywilnoprawnych). Zasadniczo wskaźnik "przed-po", który oddaje część wzrostu zatrudnienia będącą bezpośrednią konsekwencją realizacji projektu (pracownicy zatrudnieni do realizacji projektu nie są liczeni). Stanowiska muszą być wypełnione (wolne stanowiska nie są liczone) oraz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635F2">
              <w:rPr>
                <w:rFonts w:cs="Times New Roman"/>
                <w:sz w:val="24"/>
                <w:szCs w:val="24"/>
              </w:rPr>
              <w:t xml:space="preserve">zwiększać całkowitą liczbę miejsc pracy </w:t>
            </w:r>
            <w:r>
              <w:rPr>
                <w:rFonts w:cs="Times New Roman"/>
                <w:sz w:val="24"/>
                <w:szCs w:val="24"/>
              </w:rPr>
              <w:br/>
              <w:t xml:space="preserve">w </w:t>
            </w:r>
            <w:r w:rsidRPr="00A635F2">
              <w:rPr>
                <w:rFonts w:cs="Times New Roman"/>
                <w:sz w:val="24"/>
                <w:szCs w:val="24"/>
              </w:rPr>
              <w:t xml:space="preserve">przedsiębiorstwie. Jeśli łączne zatrudnienie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A635F2">
              <w:rPr>
                <w:rFonts w:cs="Times New Roman"/>
                <w:sz w:val="24"/>
                <w:szCs w:val="24"/>
              </w:rPr>
              <w:t xml:space="preserve">w przedsiębiorstwie nie zwiększa się, wartość jest równa zero - to wskaźnik jest traktowany jako wyregulowanie,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A635F2">
              <w:rPr>
                <w:rFonts w:cs="Times New Roman"/>
                <w:sz w:val="24"/>
                <w:szCs w:val="24"/>
              </w:rPr>
              <w:t>a nie zwiększenie. Zagwarantowane itp. miejsca pracy nie są wliczone.</w:t>
            </w:r>
          </w:p>
          <w:p w14:paraId="2942CFF9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right="34"/>
              <w:rPr>
                <w:rFonts w:cs="Times New Roman"/>
                <w:sz w:val="24"/>
                <w:szCs w:val="24"/>
              </w:rPr>
            </w:pPr>
            <w:r w:rsidRPr="00A635F2">
              <w:rPr>
                <w:rFonts w:cs="Times New Roman"/>
                <w:spacing w:val="-1"/>
                <w:sz w:val="24"/>
                <w:szCs w:val="24"/>
              </w:rPr>
              <w:t>Brutto: Nie licząc pochodzenia zatrudnionego dopóki bezpośrednio przyczynia się do wzrostu całkowitej liczby zatrudnionych w organizacji. Wskaźnik powinien być stosowany, jeśli wzrost zatrudnienia może być wiarygodnie przypisany do wsparcia.</w:t>
            </w:r>
          </w:p>
          <w:p w14:paraId="03315595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right="34"/>
              <w:rPr>
                <w:rFonts w:cs="Times New Roman"/>
                <w:sz w:val="24"/>
                <w:szCs w:val="24"/>
              </w:rPr>
            </w:pPr>
            <w:r w:rsidRPr="00A635F2">
              <w:rPr>
                <w:rFonts w:cs="Times New Roman"/>
                <w:sz w:val="24"/>
                <w:szCs w:val="24"/>
              </w:rPr>
              <w:t>Ekwiwalent pełnego czasu pracy: stanowiska mogą być pełnymi etatami, pracą w niepełnym wymiarze czasu pracy lub pracą sezonową. Sezonowe i niepełne etaty zostaną przeliczone na ekwiwalenty pełnego czasu pracy za pomocą standardów ILO/statystycznych/innych.</w:t>
            </w:r>
          </w:p>
          <w:p w14:paraId="16ACEB9B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ind w:right="34"/>
              <w:rPr>
                <w:rFonts w:cs="Times New Roman"/>
                <w:sz w:val="24"/>
                <w:szCs w:val="24"/>
              </w:rPr>
            </w:pPr>
            <w:r w:rsidRPr="00A635F2">
              <w:rPr>
                <w:rFonts w:cs="Times New Roman"/>
                <w:sz w:val="24"/>
                <w:szCs w:val="24"/>
              </w:rPr>
              <w:t>Trwałość: oczekuje się, że stanowiska będą stałe tj. będą trwały odpowiednio długo, w zależności od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635F2">
              <w:rPr>
                <w:rFonts w:cs="Times New Roman"/>
                <w:sz w:val="24"/>
                <w:szCs w:val="24"/>
              </w:rPr>
              <w:t>charakterystyki przemysłowo-technologicznej: prace sezonowe powinny być cykliczne. Dane liczbowe przedsiębiorstw, które zbankrutowały są zapisywane jako zerowy wzrost zatrudnienia.</w:t>
            </w:r>
          </w:p>
          <w:p w14:paraId="02D74ED0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4"/>
                <w:szCs w:val="24"/>
              </w:rPr>
            </w:pPr>
            <w:r w:rsidRPr="00A635F2">
              <w:rPr>
                <w:rFonts w:cs="Times New Roman"/>
                <w:sz w:val="24"/>
                <w:szCs w:val="24"/>
              </w:rPr>
              <w:t xml:space="preserve">Czas: Dane są zbierane przed rozpoczęciem projektu i po jego zakończeniu; Instytucje Zarządzające mają swobodę </w:t>
            </w:r>
            <w:r w:rsidRPr="00A635F2">
              <w:rPr>
                <w:rFonts w:cs="Times New Roman"/>
                <w:sz w:val="24"/>
                <w:szCs w:val="24"/>
              </w:rPr>
              <w:br/>
              <w:t xml:space="preserve">w określaniu dokładnego czasu. Preferowane jest stosowanie średniego zatrudnienia w oparciu o dane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A635F2">
              <w:rPr>
                <w:rFonts w:cs="Times New Roman"/>
                <w:sz w:val="24"/>
                <w:szCs w:val="24"/>
              </w:rPr>
              <w:t>z 6 miesięcy lub z roku, dla danych dotyczących zatrudnienia w określonych terminach.</w:t>
            </w:r>
          </w:p>
          <w:p w14:paraId="18F74035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spacing w:before="60" w:after="60"/>
              <w:ind w:left="-8"/>
              <w:rPr>
                <w:rFonts w:cs="Times New Roman"/>
                <w:b/>
                <w:sz w:val="24"/>
                <w:szCs w:val="24"/>
              </w:rPr>
            </w:pPr>
            <w:r w:rsidRPr="00A635F2">
              <w:rPr>
                <w:rFonts w:cs="Times New Roman"/>
                <w:b/>
                <w:sz w:val="24"/>
                <w:szCs w:val="24"/>
              </w:rPr>
              <w:t>Dla celów monitoringowych Beneficjent w opisie metodologii wskaźnika (w wierszu pod wskaźnikiem) powinien przedstawić dane dotyczące stanu zatrudnienia w przedsiębiorstwie przed rozpoczęciem realizacji projektu.</w:t>
            </w:r>
          </w:p>
          <w:p w14:paraId="6066DF09" w14:textId="77777777" w:rsidR="001F61B4" w:rsidRPr="00A635F2" w:rsidRDefault="001F61B4" w:rsidP="00CC5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0" w:after="80"/>
              <w:rPr>
                <w:rFonts w:cs="Times New Roman"/>
                <w:b/>
                <w:sz w:val="24"/>
                <w:szCs w:val="24"/>
              </w:rPr>
            </w:pPr>
            <w:r w:rsidRPr="00A635F2">
              <w:rPr>
                <w:rFonts w:cs="Times New Roman"/>
                <w:b/>
                <w:sz w:val="24"/>
                <w:szCs w:val="24"/>
              </w:rPr>
              <w:t xml:space="preserve">W ramach działania 2.2 </w:t>
            </w:r>
            <w:r w:rsidRPr="00A635F2">
              <w:rPr>
                <w:rFonts w:cs="Times New Roman"/>
                <w:b/>
                <w:i/>
                <w:sz w:val="24"/>
                <w:szCs w:val="24"/>
              </w:rPr>
              <w:t>Przygotowanie terenów inwestycyjnych na rzecz gospodarki</w:t>
            </w:r>
            <w:r w:rsidRPr="00A635F2">
              <w:rPr>
                <w:rFonts w:cs="Times New Roman"/>
                <w:b/>
                <w:sz w:val="24"/>
                <w:szCs w:val="24"/>
              </w:rPr>
              <w:t xml:space="preserve"> zgodnie z zapisami RPO WO 2014-2020 wartość docelowa wskaźnika musi być większa niż „0”.</w:t>
            </w:r>
          </w:p>
        </w:tc>
      </w:tr>
      <w:tr w:rsidR="001F61B4" w:rsidRPr="004A2391" w14:paraId="6D9AEBC9" w14:textId="77777777" w:rsidTr="00CC562B">
        <w:trPr>
          <w:trHeight w:val="1543"/>
        </w:trPr>
        <w:tc>
          <w:tcPr>
            <w:tcW w:w="552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128C3B4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5a.</w:t>
            </w:r>
          </w:p>
        </w:tc>
        <w:tc>
          <w:tcPr>
            <w:tcW w:w="2977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28CBF847" w14:textId="308C723F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rFonts w:cs="Arial"/>
                <w:i/>
                <w:sz w:val="24"/>
                <w:szCs w:val="24"/>
              </w:rPr>
              <w:t>Wzrost zatrudnienia we wspieranyc</w:t>
            </w:r>
            <w:r w:rsidR="006C7F25">
              <w:rPr>
                <w:rFonts w:cs="Arial"/>
                <w:i/>
                <w:sz w:val="24"/>
                <w:szCs w:val="24"/>
              </w:rPr>
              <w:t>h przedsiębiorstwach</w:t>
            </w:r>
            <w:r w:rsidR="006C7F25">
              <w:rPr>
                <w:rFonts w:cs="Arial"/>
                <w:i/>
                <w:sz w:val="24"/>
                <w:szCs w:val="24"/>
              </w:rPr>
              <w:br/>
              <w:t xml:space="preserve"> – kobiety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3400869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1337738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51577F0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24B1BF0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Common Indicator</w:t>
            </w:r>
          </w:p>
        </w:tc>
        <w:tc>
          <w:tcPr>
            <w:tcW w:w="5954" w:type="dxa"/>
            <w:vMerge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51F98CC9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ind w:left="-8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1F61B4" w:rsidRPr="004A2391" w14:paraId="7A379DB7" w14:textId="77777777" w:rsidTr="00CC562B">
        <w:tc>
          <w:tcPr>
            <w:tcW w:w="552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6B54660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5b.</w:t>
            </w:r>
          </w:p>
        </w:tc>
        <w:tc>
          <w:tcPr>
            <w:tcW w:w="2977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1FDAAC27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rFonts w:cs="Arial"/>
                <w:i/>
                <w:sz w:val="24"/>
                <w:szCs w:val="24"/>
              </w:rPr>
              <w:t xml:space="preserve">Wzrost zatrudnienia we wspieranych przedsiębiorstwach </w:t>
            </w:r>
            <w:r w:rsidRPr="00A635F2">
              <w:rPr>
                <w:rFonts w:cs="Arial"/>
                <w:i/>
                <w:sz w:val="24"/>
                <w:szCs w:val="24"/>
              </w:rPr>
              <w:br/>
              <w:t>– mężczyźni</w:t>
            </w:r>
            <w:r w:rsidRPr="00A635F2">
              <w:rPr>
                <w:rFonts w:cs="Arial"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230B220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7D24E91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0C0EF7F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354A914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Common Indicator</w:t>
            </w:r>
          </w:p>
        </w:tc>
        <w:tc>
          <w:tcPr>
            <w:tcW w:w="5954" w:type="dxa"/>
            <w:vMerge/>
            <w:tcBorders>
              <w:top w:val="single" w:sz="4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08B3F12A" w14:textId="77777777" w:rsidR="001F61B4" w:rsidRPr="00A635F2" w:rsidRDefault="001F61B4" w:rsidP="00CC562B">
            <w:pPr>
              <w:tabs>
                <w:tab w:val="left" w:pos="3402"/>
                <w:tab w:val="left" w:pos="5103"/>
              </w:tabs>
              <w:ind w:left="-8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1F61B4" w:rsidRPr="004A2391" w14:paraId="4E7D3572" w14:textId="77777777" w:rsidTr="00CC562B">
        <w:trPr>
          <w:trHeight w:val="1692"/>
        </w:trPr>
        <w:tc>
          <w:tcPr>
            <w:tcW w:w="552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42AA5DE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  <w:highlight w:val="red"/>
              </w:rPr>
            </w:pPr>
            <w:r w:rsidRPr="00A635F2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1CE25565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Wzrost zatrudnienia we wspieranych podmiotach (innych </w:t>
            </w:r>
            <w:r>
              <w:rPr>
                <w:i/>
                <w:sz w:val="24"/>
                <w:szCs w:val="24"/>
              </w:rPr>
              <w:t xml:space="preserve">niż </w:t>
            </w:r>
            <w:r w:rsidRPr="00A635F2">
              <w:rPr>
                <w:i/>
                <w:sz w:val="24"/>
                <w:szCs w:val="24"/>
              </w:rPr>
              <w:t>przedsiębiorstwa)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31F2C6AE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49BCC386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69A5BC0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162A416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 w:val="restart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6E1C4B2F" w14:textId="77777777" w:rsidR="001F61B4" w:rsidRPr="00A635F2" w:rsidRDefault="001F61B4" w:rsidP="00CC562B">
            <w:pPr>
              <w:spacing w:before="80" w:after="80"/>
              <w:rPr>
                <w:color w:val="C00000"/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Należy stosować analogiczną definicję jak we wskaźniku „</w:t>
            </w:r>
            <w:r w:rsidRPr="00A635F2">
              <w:rPr>
                <w:i/>
                <w:sz w:val="24"/>
                <w:szCs w:val="24"/>
              </w:rPr>
              <w:t>Wzrost zatrudnienia we wspieranych przedsiębiorstwach</w:t>
            </w:r>
            <w:r w:rsidRPr="00A635F2">
              <w:rPr>
                <w:sz w:val="24"/>
                <w:szCs w:val="24"/>
              </w:rPr>
              <w:t xml:space="preserve">” w odniesieniu do podmiotów innych niż przedsiębiorstwa. </w:t>
            </w:r>
          </w:p>
        </w:tc>
      </w:tr>
      <w:tr w:rsidR="001F61B4" w:rsidRPr="004A2391" w14:paraId="6F19E13F" w14:textId="77777777" w:rsidTr="00CC562B">
        <w:trPr>
          <w:trHeight w:val="1747"/>
        </w:trPr>
        <w:tc>
          <w:tcPr>
            <w:tcW w:w="552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34783B7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6a.</w:t>
            </w:r>
          </w:p>
        </w:tc>
        <w:tc>
          <w:tcPr>
            <w:tcW w:w="2977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038F2BE4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Wzrost zatrudnienia we wspieranych podmiotach (innych niż przedsiębiorstwa)</w:t>
            </w:r>
          </w:p>
          <w:p w14:paraId="26937883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kobiety</w:t>
            </w:r>
          </w:p>
        </w:tc>
        <w:tc>
          <w:tcPr>
            <w:tcW w:w="1276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0282F34A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74BC0C1C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6D29912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12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6EB23CD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tcBorders>
              <w:top w:val="single" w:sz="12" w:space="0" w:color="33CC33"/>
            </w:tcBorders>
            <w:shd w:val="clear" w:color="auto" w:fill="FFFFFF" w:themeFill="background1"/>
            <w:vAlign w:val="center"/>
          </w:tcPr>
          <w:p w14:paraId="46D4DC7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1F61B4" w:rsidRPr="004A2391" w14:paraId="7FB49879" w14:textId="77777777" w:rsidTr="00CC562B">
        <w:trPr>
          <w:trHeight w:val="1706"/>
        </w:trPr>
        <w:tc>
          <w:tcPr>
            <w:tcW w:w="552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4EE313F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6b.</w:t>
            </w:r>
          </w:p>
        </w:tc>
        <w:tc>
          <w:tcPr>
            <w:tcW w:w="2977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7880C74F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Wzrost zatrudnienia we wspieranych podmiotach (innych niż przedsiębiorstwa)</w:t>
            </w:r>
          </w:p>
          <w:p w14:paraId="7F6B1BD4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mężczyźni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4B179737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6310F4EA" w14:textId="77777777" w:rsidR="001F61B4" w:rsidRPr="00A635F2" w:rsidRDefault="001F61B4" w:rsidP="00CC562B">
            <w:pPr>
              <w:tabs>
                <w:tab w:val="center" w:pos="4536"/>
                <w:tab w:val="right" w:pos="9072"/>
              </w:tabs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1C90B05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4" w:space="0" w:color="33CC33"/>
            </w:tcBorders>
            <w:shd w:val="clear" w:color="auto" w:fill="FFFFFF" w:themeFill="background1"/>
            <w:vAlign w:val="center"/>
          </w:tcPr>
          <w:p w14:paraId="75C9D2B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5AA4CF6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1F61B4" w:rsidRPr="004A2391" w14:paraId="71D3573E" w14:textId="77777777" w:rsidTr="00CC562B">
        <w:trPr>
          <w:trHeight w:val="1484"/>
        </w:trPr>
        <w:tc>
          <w:tcPr>
            <w:tcW w:w="552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4E4A4AC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1324633B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utrzymanych miejsc pracy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75FF903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684CA09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5EBA930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36A683C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14:paraId="2D19364A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Wskaźnik służy do pomiaru liczby miejsc pracy, które zostały utrzymane w wyniku wsparcia, w ciągu pełnego roku kalendarzowego od zakończenia realizacji projektu,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a które byłyby zlikwidowane, gdyby tego wsparcia Beneficjent nie uzyskał. Etaty muszą być obsadzone (nieobsadzonych etatów się nie wlicza). Prace sezonowe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i niepełnowymiarowe należy przeliczyć na ekwiwalent pełnego czasu pracy. </w:t>
            </w:r>
          </w:p>
          <w:p w14:paraId="3B44910C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Zatrudnienie w ekwiwalentach pełnego czasu pracy ustala się na podstawie proporcji czasu przepracowanego przez poszczególnych pracowników w ciągu roku sprawozdawczego w stosunku do pełnego czasu pracy obowiązującego w danej instytucji. </w:t>
            </w:r>
          </w:p>
          <w:p w14:paraId="507D3CDE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 przypadku osób wykonujących daną działalność na podstawie umowy zlecenia, umowy o dzieło lub samozatrudnienia – do wyliczenia EPC podajemy: pełny, faktyczny czas pracy w roku sprawozdawczym „ze wszystkich umów”, podany, jako odpowiedni ułamek rocznego czasu pracy. </w:t>
            </w:r>
          </w:p>
          <w:p w14:paraId="6F9503BC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 celu weryfikacji, czy utrzymano wymaganą liczbę nowych miejsc pracy, należy porównać poziom wyjściowy zatrudnienia (na moment złożenia wniosku aplikacyjnego), z poziomem zatrudnienia w okresie utrzymania nowych miejsc pracy.</w:t>
            </w:r>
          </w:p>
          <w:p w14:paraId="42BD4380" w14:textId="77777777" w:rsidR="001F61B4" w:rsidRPr="00A635F2" w:rsidRDefault="001F61B4" w:rsidP="00CC562B">
            <w:pPr>
              <w:spacing w:before="60" w:after="60"/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37F27807" w14:textId="77777777" w:rsidTr="00CC562B">
        <w:trPr>
          <w:trHeight w:val="1185"/>
        </w:trPr>
        <w:tc>
          <w:tcPr>
            <w:tcW w:w="552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53C6EC3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7a.</w:t>
            </w:r>
          </w:p>
        </w:tc>
        <w:tc>
          <w:tcPr>
            <w:tcW w:w="2977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1161F725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utrzymanych miejsc pracy</w:t>
            </w:r>
          </w:p>
          <w:p w14:paraId="7652FA24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kobiety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68531DA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57A5832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03A485A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59A8D48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3CEF007C" w14:textId="77777777" w:rsidR="001F61B4" w:rsidRPr="00A635F2" w:rsidRDefault="001F61B4" w:rsidP="00CC562B">
            <w:pPr>
              <w:spacing w:before="80" w:after="80"/>
              <w:rPr>
                <w:i/>
                <w:color w:val="C00000"/>
                <w:sz w:val="24"/>
                <w:szCs w:val="24"/>
              </w:rPr>
            </w:pPr>
          </w:p>
        </w:tc>
      </w:tr>
      <w:tr w:rsidR="001F61B4" w:rsidRPr="004A2391" w14:paraId="4B318DF2" w14:textId="77777777" w:rsidTr="00CC562B">
        <w:tc>
          <w:tcPr>
            <w:tcW w:w="552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6BF37C5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7b.</w:t>
            </w:r>
          </w:p>
        </w:tc>
        <w:tc>
          <w:tcPr>
            <w:tcW w:w="2977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76F6AAC3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utrzymanych miejsc pracy</w:t>
            </w:r>
          </w:p>
          <w:p w14:paraId="7001F6D8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mężczyźni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1667ADF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228A7D9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3600793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4B374D1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2395F700" w14:textId="77777777" w:rsidR="001F61B4" w:rsidRPr="00A635F2" w:rsidRDefault="001F61B4" w:rsidP="00CC562B">
            <w:pPr>
              <w:spacing w:before="80" w:after="80"/>
              <w:rPr>
                <w:i/>
                <w:color w:val="C00000"/>
                <w:sz w:val="24"/>
                <w:szCs w:val="24"/>
              </w:rPr>
            </w:pPr>
          </w:p>
        </w:tc>
      </w:tr>
      <w:tr w:rsidR="001F61B4" w:rsidRPr="004A2391" w14:paraId="3A41A23D" w14:textId="77777777" w:rsidTr="00CC562B">
        <w:trPr>
          <w:trHeight w:val="1162"/>
        </w:trPr>
        <w:tc>
          <w:tcPr>
            <w:tcW w:w="552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471F59A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18C016BE" w14:textId="77777777" w:rsidR="001F61B4" w:rsidRPr="00A635F2" w:rsidRDefault="001F61B4" w:rsidP="00CC562B">
            <w:pPr>
              <w:spacing w:before="80" w:after="8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nowo utworzonych miejsc pracy - pozostałe formy</w:t>
            </w:r>
          </w:p>
        </w:tc>
        <w:tc>
          <w:tcPr>
            <w:tcW w:w="1276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1C35492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4343ED4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1FF298A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38D7330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 w:val="restart"/>
            <w:shd w:val="clear" w:color="auto" w:fill="FFFFFF" w:themeFill="background1"/>
            <w:vAlign w:val="center"/>
          </w:tcPr>
          <w:p w14:paraId="32CD971E" w14:textId="77777777" w:rsidR="001F61B4" w:rsidRPr="00A635F2" w:rsidRDefault="001F61B4" w:rsidP="00CC562B">
            <w:pPr>
              <w:pStyle w:val="Default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Wskaźnik służy do pomiaru liczby pracowników zatrudnionych bezpośrednio w efekcie realizacji projektu, pracujących </w:t>
            </w:r>
            <w:r w:rsidRPr="00A635F2">
              <w:rPr>
                <w:rFonts w:asciiTheme="minorHAnsi" w:hAnsiTheme="minorHAnsi"/>
                <w:b/>
                <w:bCs/>
              </w:rPr>
              <w:t xml:space="preserve">na podstawie umów cywilnoprawnych </w:t>
            </w:r>
            <w:r>
              <w:rPr>
                <w:rFonts w:asciiTheme="minorHAnsi" w:hAnsiTheme="minorHAnsi"/>
                <w:b/>
                <w:bCs/>
              </w:rPr>
              <w:br/>
            </w:r>
            <w:r w:rsidRPr="00A635F2">
              <w:rPr>
                <w:rFonts w:asciiTheme="minorHAnsi" w:hAnsiTheme="minorHAnsi"/>
              </w:rPr>
              <w:t xml:space="preserve">tj.: umów o dzieło, umów zlecenia </w:t>
            </w:r>
            <w:r w:rsidRPr="00A635F2">
              <w:rPr>
                <w:rFonts w:asciiTheme="minorHAnsi" w:hAnsiTheme="minorHAnsi"/>
                <w:b/>
                <w:bCs/>
              </w:rPr>
              <w:t xml:space="preserve">czy samozatrudnienia </w:t>
            </w:r>
            <w:r w:rsidRPr="00A635F2">
              <w:rPr>
                <w:rFonts w:asciiTheme="minorHAnsi" w:hAnsiTheme="minorHAnsi"/>
              </w:rPr>
              <w:t xml:space="preserve">– kontraktu, jak i pracujących </w:t>
            </w:r>
            <w:r w:rsidRPr="00A635F2">
              <w:rPr>
                <w:rFonts w:asciiTheme="minorHAnsi" w:hAnsiTheme="minorHAnsi"/>
                <w:b/>
                <w:bCs/>
              </w:rPr>
              <w:t>na podstawie umów o pracę na czas określony</w:t>
            </w:r>
            <w:r w:rsidRPr="00A635F2">
              <w:rPr>
                <w:rFonts w:asciiTheme="minorHAnsi" w:hAnsiTheme="minorHAnsi"/>
              </w:rPr>
              <w:t xml:space="preserve">, </w:t>
            </w:r>
            <w:r w:rsidRPr="00A635F2">
              <w:rPr>
                <w:rFonts w:asciiTheme="minorHAnsi" w:hAnsiTheme="minorHAnsi"/>
                <w:b/>
                <w:bCs/>
              </w:rPr>
              <w:t xml:space="preserve">zarówno w przedsiębiorstwach </w:t>
            </w:r>
            <w:r w:rsidRPr="00A635F2">
              <w:rPr>
                <w:rFonts w:asciiTheme="minorHAnsi" w:hAnsiTheme="minorHAnsi"/>
              </w:rPr>
              <w:t xml:space="preserve">jak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i pozostałych </w:t>
            </w:r>
            <w:r w:rsidRPr="00A635F2">
              <w:rPr>
                <w:rFonts w:asciiTheme="minorHAnsi" w:hAnsiTheme="minorHAnsi"/>
                <w:b/>
                <w:bCs/>
              </w:rPr>
              <w:t>podmiotach niebędących przedsiębiorstwami</w:t>
            </w:r>
            <w:r w:rsidRPr="00A635F2">
              <w:rPr>
                <w:rFonts w:asciiTheme="minorHAnsi" w:hAnsiTheme="minorHAnsi"/>
              </w:rPr>
              <w:t xml:space="preserve">. </w:t>
            </w:r>
          </w:p>
          <w:p w14:paraId="142B323E" w14:textId="77777777" w:rsidR="001F61B4" w:rsidRPr="00A635F2" w:rsidRDefault="001F61B4" w:rsidP="00CC562B">
            <w:pPr>
              <w:pStyle w:val="Default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>Zatrudnienie w ekwiwalentach pełnego czasu pracy ustala się na podstawie proporcji czasu przepracowanego przez poszczególnych pracowników w ciągu roku sprawozdawczego w stosunku do pełnego czasu pracy obowiązującego w danej instytucji.</w:t>
            </w:r>
          </w:p>
          <w:p w14:paraId="58332DE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 przypadku osób wykonujących daną działalność na podstawie umowy zlecenia, umowy o dzieło lub samozatrudnienia – do wyliczenia EPC podajemy: pełny, faktyczny czas pracy w roku sprawozdawczym „ze wszystkich umów”, podany, jako odpowiedni ułamek rocznego czasu pracy.</w:t>
            </w:r>
          </w:p>
          <w:p w14:paraId="3E756F75" w14:textId="77777777" w:rsidR="001F61B4" w:rsidRPr="00A635F2" w:rsidRDefault="001F61B4" w:rsidP="00CC562B">
            <w:pPr>
              <w:spacing w:before="80" w:after="80"/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2359AFB2" w14:textId="77777777" w:rsidTr="00CC562B">
        <w:trPr>
          <w:trHeight w:val="1395"/>
        </w:trPr>
        <w:tc>
          <w:tcPr>
            <w:tcW w:w="552" w:type="dxa"/>
            <w:tcBorders>
              <w:top w:val="single" w:sz="8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02F9C39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8a.</w:t>
            </w:r>
          </w:p>
        </w:tc>
        <w:tc>
          <w:tcPr>
            <w:tcW w:w="2977" w:type="dxa"/>
            <w:tcBorders>
              <w:top w:val="single" w:sz="8" w:space="0" w:color="33CC33"/>
              <w:bottom w:val="single" w:sz="8" w:space="0" w:color="33CC33"/>
            </w:tcBorders>
            <w:shd w:val="clear" w:color="auto" w:fill="FFFFFF" w:themeFill="background1"/>
            <w:vAlign w:val="center"/>
          </w:tcPr>
          <w:p w14:paraId="42D26CD9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nowo utworzonych miejsc pracy - pozostałe formy</w:t>
            </w:r>
          </w:p>
          <w:p w14:paraId="1DA6A29E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kobiety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1CB95374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0CC34AA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3B12D2E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5C31247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shd w:val="clear" w:color="auto" w:fill="FFFFFF" w:themeFill="background1"/>
            <w:vAlign w:val="center"/>
          </w:tcPr>
          <w:p w14:paraId="6451709A" w14:textId="77777777" w:rsidR="001F61B4" w:rsidRPr="00A635F2" w:rsidRDefault="001F61B4" w:rsidP="00CC562B">
            <w:pPr>
              <w:spacing w:before="80" w:after="80"/>
              <w:rPr>
                <w:i/>
                <w:color w:val="C00000"/>
                <w:sz w:val="24"/>
                <w:szCs w:val="24"/>
              </w:rPr>
            </w:pPr>
          </w:p>
        </w:tc>
      </w:tr>
      <w:tr w:rsidR="001F61B4" w:rsidRPr="004A2391" w14:paraId="00297D51" w14:textId="77777777" w:rsidTr="00CC562B">
        <w:tc>
          <w:tcPr>
            <w:tcW w:w="552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42B5FAC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8b.</w:t>
            </w:r>
          </w:p>
        </w:tc>
        <w:tc>
          <w:tcPr>
            <w:tcW w:w="2977" w:type="dxa"/>
            <w:tcBorders>
              <w:top w:val="single" w:sz="8" w:space="0" w:color="33CC33"/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5A62B08F" w14:textId="77777777" w:rsidR="001F61B4" w:rsidRPr="00A635F2" w:rsidRDefault="001F61B4" w:rsidP="00CC562B">
            <w:pPr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Liczba nowo utworzonych miejsc pracy - pozostałe formy</w:t>
            </w:r>
          </w:p>
          <w:p w14:paraId="171C38FD" w14:textId="77777777" w:rsidR="001F61B4" w:rsidRPr="00A635F2" w:rsidRDefault="001F61B4" w:rsidP="00CC562B">
            <w:pPr>
              <w:spacing w:before="40"/>
              <w:rPr>
                <w:i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- mężczyźni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30C30FF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EPC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46491AB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7D9325C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shd w:val="clear" w:color="auto" w:fill="FFFFFF" w:themeFill="background1"/>
            <w:vAlign w:val="center"/>
          </w:tcPr>
          <w:p w14:paraId="111D968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Merge/>
            <w:tcBorders>
              <w:bottom w:val="single" w:sz="12" w:space="0" w:color="33CC33"/>
            </w:tcBorders>
            <w:shd w:val="clear" w:color="auto" w:fill="FFFFFF" w:themeFill="background1"/>
            <w:vAlign w:val="center"/>
          </w:tcPr>
          <w:p w14:paraId="37242197" w14:textId="77777777" w:rsidR="001F61B4" w:rsidRPr="00A635F2" w:rsidRDefault="001F61B4" w:rsidP="00CC562B">
            <w:pPr>
              <w:spacing w:before="80" w:after="80"/>
              <w:rPr>
                <w:i/>
                <w:color w:val="C00000"/>
                <w:sz w:val="24"/>
                <w:szCs w:val="24"/>
              </w:rPr>
            </w:pPr>
          </w:p>
        </w:tc>
      </w:tr>
      <w:tr w:rsidR="001F61B4" w:rsidRPr="004A2391" w14:paraId="2A30F76F" w14:textId="77777777" w:rsidTr="00CC562B">
        <w:tc>
          <w:tcPr>
            <w:tcW w:w="14586" w:type="dxa"/>
            <w:gridSpan w:val="7"/>
            <w:tcBorders>
              <w:top w:val="single" w:sz="12" w:space="0" w:color="33CC33"/>
              <w:bottom w:val="single" w:sz="12" w:space="0" w:color="33CC33"/>
            </w:tcBorders>
            <w:shd w:val="clear" w:color="auto" w:fill="D9D9D9" w:themeFill="background1" w:themeFillShade="D9"/>
            <w:vAlign w:val="center"/>
          </w:tcPr>
          <w:p w14:paraId="52B94FA3" w14:textId="77777777" w:rsidR="001F61B4" w:rsidRPr="004E53E9" w:rsidRDefault="001F61B4" w:rsidP="00CC562B">
            <w:pPr>
              <w:spacing w:before="80" w:after="80"/>
              <w:rPr>
                <w:b/>
                <w:i/>
                <w:color w:val="FF0000"/>
                <w:sz w:val="28"/>
                <w:szCs w:val="24"/>
              </w:rPr>
            </w:pPr>
            <w:r w:rsidRPr="004E53E9">
              <w:rPr>
                <w:i/>
                <w:color w:val="000099"/>
                <w:sz w:val="28"/>
                <w:szCs w:val="24"/>
              </w:rPr>
              <w:t xml:space="preserve">Oś priorytetowa III </w:t>
            </w:r>
            <w:r w:rsidRPr="004E53E9">
              <w:rPr>
                <w:b/>
                <w:i/>
                <w:color w:val="000099"/>
                <w:sz w:val="28"/>
                <w:szCs w:val="24"/>
              </w:rPr>
              <w:t>Gospodarka niskoemisyjna</w:t>
            </w:r>
          </w:p>
        </w:tc>
      </w:tr>
      <w:tr w:rsidR="001F61B4" w:rsidRPr="004A2391" w14:paraId="63DEA4DC" w14:textId="77777777" w:rsidTr="00CC562B">
        <w:tc>
          <w:tcPr>
            <w:tcW w:w="14586" w:type="dxa"/>
            <w:gridSpan w:val="7"/>
            <w:tcBorders>
              <w:top w:val="single" w:sz="12" w:space="0" w:color="33CC33"/>
              <w:bottom w:val="single" w:sz="12" w:space="0" w:color="33CC33"/>
            </w:tcBorders>
            <w:shd w:val="clear" w:color="auto" w:fill="EAF1DD"/>
            <w:vAlign w:val="center"/>
          </w:tcPr>
          <w:p w14:paraId="33912FAC" w14:textId="77777777" w:rsidR="001F61B4" w:rsidRPr="004E53E9" w:rsidRDefault="001F61B4" w:rsidP="00CC562B">
            <w:pPr>
              <w:spacing w:before="80" w:after="80"/>
              <w:rPr>
                <w:i/>
                <w:color w:val="000099"/>
                <w:sz w:val="28"/>
                <w:szCs w:val="24"/>
              </w:rPr>
            </w:pPr>
            <w:r w:rsidRPr="004E53E9">
              <w:rPr>
                <w:i/>
                <w:color w:val="000099"/>
                <w:sz w:val="28"/>
                <w:szCs w:val="24"/>
              </w:rPr>
              <w:t xml:space="preserve">Poddziałanie 3.2.1  </w:t>
            </w:r>
            <w:r w:rsidRPr="004E53E9">
              <w:rPr>
                <w:rFonts w:cs="Arial"/>
                <w:b/>
                <w:i/>
                <w:color w:val="000099"/>
                <w:sz w:val="28"/>
                <w:szCs w:val="24"/>
              </w:rPr>
              <w:t xml:space="preserve">Efektywność energetyczna w budynkach publicznych </w:t>
            </w:r>
          </w:p>
        </w:tc>
      </w:tr>
      <w:tr w:rsidR="001F61B4" w:rsidRPr="004A2391" w14:paraId="5252B0EA" w14:textId="77777777" w:rsidTr="00CC562B">
        <w:tc>
          <w:tcPr>
            <w:tcW w:w="552" w:type="dxa"/>
            <w:tcBorders>
              <w:top w:val="single" w:sz="12" w:space="0" w:color="33CC33"/>
            </w:tcBorders>
            <w:vAlign w:val="center"/>
          </w:tcPr>
          <w:p w14:paraId="6F6781C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12" w:space="0" w:color="33CC33"/>
            </w:tcBorders>
            <w:vAlign w:val="center"/>
          </w:tcPr>
          <w:p w14:paraId="70EACB24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zmodernizowanych energetycznie budynków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vAlign w:val="center"/>
          </w:tcPr>
          <w:p w14:paraId="7A801D16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vAlign w:val="center"/>
          </w:tcPr>
          <w:p w14:paraId="1FE8BC52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tcBorders>
              <w:top w:val="single" w:sz="12" w:space="0" w:color="33CC33"/>
            </w:tcBorders>
            <w:vAlign w:val="center"/>
          </w:tcPr>
          <w:p w14:paraId="3E8D5BD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vAlign w:val="center"/>
          </w:tcPr>
          <w:p w14:paraId="5009674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Wskaźnik z ram wykonania</w:t>
            </w:r>
          </w:p>
        </w:tc>
        <w:tc>
          <w:tcPr>
            <w:tcW w:w="5954" w:type="dxa"/>
            <w:tcBorders>
              <w:top w:val="single" w:sz="12" w:space="0" w:color="33CC33"/>
            </w:tcBorders>
            <w:vAlign w:val="center"/>
          </w:tcPr>
          <w:p w14:paraId="13CCDC27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Wskaźnik mierzy liczbę zmodernizowanych energetycznie budynków w wyniku realizacji projektu.</w:t>
            </w:r>
          </w:p>
          <w:p w14:paraId="35267C37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Modernizacja – obejmuje przebudowę, remont oraz rozbudowę budynków w celu dokonania modernizacji urządzeń energetycznych.</w:t>
            </w:r>
          </w:p>
          <w:p w14:paraId="20781EBA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Przebudowa – wykonywanie robót budowlanych, </w:t>
            </w:r>
            <w:r w:rsidRPr="00A635F2">
              <w:rPr>
                <w:sz w:val="24"/>
                <w:szCs w:val="24"/>
              </w:rPr>
              <w:br/>
              <w:t xml:space="preserve">w wyniku których następuje zmiana parametrów użytkowych lub technicznych istniejącego obiektu budowlanego, z wyjątkiem charakterystycznych parametrów, jak: kubatura, powierzchnia zabudowy, wysokość, długość, szerokość bądź liczba kondygnacji. </w:t>
            </w:r>
          </w:p>
          <w:p w14:paraId="3B3F89C1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Remont – wykonywanie w istniejącym obiekcie budowlanym robót budowlanych polegających na odtworzeniu stanu pierwotnego, a niestanowiących bieżącej konserwacji, przy czym dopuszcza się stosowanie wyrobów budowlanych innych niż użyto w stanie pierwotnym. </w:t>
            </w:r>
          </w:p>
          <w:p w14:paraId="0F949632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Rozbudowa – w budownictwie rodzaj budowy, w wyniku którego powstaje nowa część istniejącego już obiektu budowlanego.</w:t>
            </w:r>
          </w:p>
        </w:tc>
      </w:tr>
      <w:tr w:rsidR="001F61B4" w:rsidRPr="004A2391" w14:paraId="3EC8265C" w14:textId="77777777" w:rsidTr="00CC562B">
        <w:tc>
          <w:tcPr>
            <w:tcW w:w="552" w:type="dxa"/>
            <w:vAlign w:val="center"/>
          </w:tcPr>
          <w:p w14:paraId="4959D60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167590C9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wybudowanych jednostek wytwarzania energii elektrycznej z OZE</w:t>
            </w:r>
          </w:p>
        </w:tc>
        <w:tc>
          <w:tcPr>
            <w:tcW w:w="1276" w:type="dxa"/>
            <w:vAlign w:val="center"/>
          </w:tcPr>
          <w:p w14:paraId="37401D40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31AEFCDD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2127713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013031E4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30F6AD8E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Jednostka wytwarzania energii elektrycznej obejmuje:</w:t>
            </w:r>
          </w:p>
          <w:p w14:paraId="026CDD22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w przypadku przedsiębiorstw energetycznych: jednostki wytwórcze – jednostka wytwórcza, to wyodrębniony zespół urządzeń należących do przedsiębiorstwa energetycznego, służący do wytwarzania energii z OZE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wyprowadzania mocy, opisany poprzez dane techniczne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handlowe, w przypadku budynków mieszkalnych </w:t>
            </w:r>
            <w:r w:rsidRPr="00A635F2">
              <w:rPr>
                <w:sz w:val="24"/>
                <w:szCs w:val="24"/>
              </w:rPr>
              <w:br/>
              <w:t>i budynków użyteczności publicznej: zespół urządzeń służących do wytwarzania energii elektrycznej z OZE.</w:t>
            </w:r>
          </w:p>
          <w:p w14:paraId="256C1757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Odnawialne źródło energii (zgodnie z ustawą z dnia </w:t>
            </w:r>
            <w:r>
              <w:rPr>
                <w:i/>
                <w:sz w:val="24"/>
                <w:szCs w:val="24"/>
              </w:rPr>
              <w:br/>
            </w:r>
            <w:r w:rsidRPr="00A635F2">
              <w:rPr>
                <w:i/>
                <w:sz w:val="24"/>
                <w:szCs w:val="24"/>
              </w:rPr>
              <w:t xml:space="preserve">10 kwietnia 1997 r. Prawo energetyczne) – źródło wykorzystujące w procesie przetwarzania energię wiatru, promieniowania słonecznego, aerotermalną, geotermalną, hydrotermalną, fal, prądów i pływów morskich, spadku rzek oraz energię pozyskiwaną z biomasy, biogazu pochodzącego ze składowisk odpadów, a także biogazu powstałego w procesach odprowadzania lub oczyszczania ścieków albo rozkładu składowanych szczątków roślinnych </w:t>
            </w:r>
            <w:r w:rsidRPr="00A635F2">
              <w:rPr>
                <w:i/>
                <w:sz w:val="24"/>
                <w:szCs w:val="24"/>
              </w:rPr>
              <w:br/>
              <w:t>i zwierzęcych.</w:t>
            </w:r>
          </w:p>
        </w:tc>
      </w:tr>
      <w:tr w:rsidR="001F61B4" w:rsidRPr="004A2391" w14:paraId="7B26992B" w14:textId="77777777" w:rsidTr="00CC562B">
        <w:tc>
          <w:tcPr>
            <w:tcW w:w="552" w:type="dxa"/>
            <w:vAlign w:val="center"/>
          </w:tcPr>
          <w:p w14:paraId="1F745DA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4E3A3ACB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przebudowanych jednostek wytwarzania energii elektrycznej z OZE</w:t>
            </w:r>
          </w:p>
        </w:tc>
        <w:tc>
          <w:tcPr>
            <w:tcW w:w="1276" w:type="dxa"/>
            <w:vAlign w:val="center"/>
          </w:tcPr>
          <w:p w14:paraId="2AEE5723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1491A7F1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32E4944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061A405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38221DF2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Jednostka wytwarzania energii elektrycznej obejmuje:</w:t>
            </w:r>
          </w:p>
          <w:p w14:paraId="0FE3A170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w przypadku przedsiębiorstw energetycznych: jednostki wytwórcze – jednostka wytwórcza, to wyodrębniony zespół urządzeń należących do przedsiębiorstwa energetycznego, służący do wytwarzania energii z OZE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wyprowadzania mocy, opisany poprzez dane techniczne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>i handlowe, w przypadku budynków mieszkalnych i budynków użyteczności publicznej: zespół urządzeń służących do wytwarzania energii elektrycznej z OZE.</w:t>
            </w:r>
          </w:p>
          <w:p w14:paraId="2AB4F4F8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Odnawialne źródło energii (zgodnie z ustawą z dnia </w:t>
            </w:r>
            <w:r>
              <w:rPr>
                <w:i/>
                <w:sz w:val="24"/>
                <w:szCs w:val="24"/>
              </w:rPr>
              <w:br/>
            </w:r>
            <w:r w:rsidRPr="00A635F2">
              <w:rPr>
                <w:i/>
                <w:sz w:val="24"/>
                <w:szCs w:val="24"/>
              </w:rPr>
              <w:t>10 kwietnia 1997 r. Prawo energetyczne) – źródło wykorzystujące w procesie przetwarzania energię wiatru, promieniowania słonecznego, aerotermalną, geotermalną, hydrotermalną, fal, prądów i pływów morskich, spadku rzek oraz energię pozyskiwaną z biomasy, biogazu pochodzącego ze składowisk odpadów, a także biogazu powstałego w procesach odprowadzania lub oczyszczania ścieków albo rozkładu składowanych szczątków roślinnych i zwierzęcych.</w:t>
            </w:r>
          </w:p>
        </w:tc>
      </w:tr>
      <w:tr w:rsidR="001F61B4" w:rsidRPr="004A2391" w14:paraId="0DA77075" w14:textId="77777777" w:rsidTr="00CC562B">
        <w:tc>
          <w:tcPr>
            <w:tcW w:w="552" w:type="dxa"/>
            <w:vAlign w:val="center"/>
          </w:tcPr>
          <w:p w14:paraId="12CF06F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2B4B5E24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wybudowanych jednostek wytwarzania energii cieplnej z OZE</w:t>
            </w:r>
          </w:p>
        </w:tc>
        <w:tc>
          <w:tcPr>
            <w:tcW w:w="1276" w:type="dxa"/>
            <w:vAlign w:val="center"/>
          </w:tcPr>
          <w:p w14:paraId="05676333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6A554004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6385C4E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1DDF978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25C4E611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Jednostka wytwarzania energii cieplnej obejmuje: </w:t>
            </w:r>
          </w:p>
          <w:p w14:paraId="0DBAF3B8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w przypadku przedsiębiorstw energetycznych: jednostki wytwórcze – jednostka wytwórcza, to wyodrębniony zespół urządzeń należących do przedsiębiorstwa energetycznego, służący do wytwarzania energii z OZE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wyprowadzania mocy, opisany poprzez dane techniczne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handlowe, w przypadku budynków mieszkalnych </w:t>
            </w:r>
            <w:r w:rsidRPr="00A635F2">
              <w:rPr>
                <w:sz w:val="24"/>
                <w:szCs w:val="24"/>
              </w:rPr>
              <w:br/>
              <w:t>i budynków użyteczności publicznej: zespół urządzeń służących do wytwarzania energii cieplnej z OZE.</w:t>
            </w:r>
          </w:p>
          <w:p w14:paraId="58248FA4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Odnawialne źródło energii (zgodnie z ustawą z dnia </w:t>
            </w:r>
            <w:r>
              <w:rPr>
                <w:i/>
                <w:sz w:val="24"/>
                <w:szCs w:val="24"/>
              </w:rPr>
              <w:br/>
            </w:r>
            <w:r w:rsidRPr="00A635F2">
              <w:rPr>
                <w:i/>
                <w:sz w:val="24"/>
                <w:szCs w:val="24"/>
              </w:rPr>
              <w:t>10 kwietnia 1997 r. Prawo energetyczne) – źródło wykorzystujące w procesie przetwarzania energię wiatru, promieniowania słonecznego, aerotermalną, geotermalną, hydrotermalną, fal, prądów i pływów morskich, spadku rzek oraz energię pozyskiwaną z biomasy, biogazu pochodzącego ze składowisk odpadów, a także biogazu powstałego w procesach odprowadzania lub oczyszczania ścieków albo rozkładu składowanych szczątków roślinnych i zwierzęcych.</w:t>
            </w:r>
          </w:p>
        </w:tc>
      </w:tr>
      <w:tr w:rsidR="001F61B4" w:rsidRPr="004A2391" w14:paraId="29F45355" w14:textId="77777777" w:rsidTr="00CC562B">
        <w:tc>
          <w:tcPr>
            <w:tcW w:w="552" w:type="dxa"/>
            <w:vAlign w:val="center"/>
          </w:tcPr>
          <w:p w14:paraId="6B91DED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561FC47D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przebudowanych jednostek wytwarzania energii cieplnej z OZE</w:t>
            </w:r>
          </w:p>
        </w:tc>
        <w:tc>
          <w:tcPr>
            <w:tcW w:w="1276" w:type="dxa"/>
            <w:vAlign w:val="center"/>
          </w:tcPr>
          <w:p w14:paraId="1BC1C129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731BFBE3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139B23E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41BE540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3DAA5FF8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Jednostka wytwarzania energii elektrycznej obejmuje:</w:t>
            </w:r>
          </w:p>
          <w:p w14:paraId="4C307540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w przypadku przedsiębiorstw energetycznych: jednostki wytwórcze – jednostka wytwórcza, to wyodrębniony zespół urządzeń należących do przedsiębiorstwa energetycznego, służący do wytwarzania energii z OZE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wyprowadzania mocy, opisany poprzez dane techniczne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 xml:space="preserve">i handlowe, w przypadku budynków mieszkalnych </w:t>
            </w:r>
            <w:r w:rsidRPr="00A635F2">
              <w:rPr>
                <w:sz w:val="24"/>
                <w:szCs w:val="24"/>
              </w:rPr>
              <w:br/>
              <w:t>i budynków użyteczności publicznej: zespół urządzeń służących do wytwarzania energii cieplnej z OZE.</w:t>
            </w:r>
          </w:p>
          <w:p w14:paraId="7A0EEF04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 xml:space="preserve">Odnawialne źródło energii (zgodnie z ustawą z dnia </w:t>
            </w:r>
            <w:r>
              <w:rPr>
                <w:i/>
                <w:sz w:val="24"/>
                <w:szCs w:val="24"/>
              </w:rPr>
              <w:br/>
            </w:r>
            <w:r w:rsidRPr="00A635F2">
              <w:rPr>
                <w:i/>
                <w:sz w:val="24"/>
                <w:szCs w:val="24"/>
              </w:rPr>
              <w:t>10 kwietnia 1997 r. Prawo energetyczne) – źródło wykorzystujące w procesie przetwarzania energię wiatru, promieniowania słonecznego, aerotermalną, geotermalną, hydrotermalną, fal, prądów i pływów morskich, spadku rzek oraz energię pozyskiwaną z biomasy, biogazu pochodzącego ze składowisk odpadów, a także biogazu powstałego w procesach odprowadzania lub oczyszczania ścieków albo rozkładu składowanych szczątków roślinnych i zwierzęcych.</w:t>
            </w:r>
          </w:p>
        </w:tc>
      </w:tr>
      <w:tr w:rsidR="001F61B4" w:rsidRPr="004A2391" w14:paraId="64C252B8" w14:textId="77777777" w:rsidTr="00CC562B">
        <w:tc>
          <w:tcPr>
            <w:tcW w:w="552" w:type="dxa"/>
            <w:vAlign w:val="center"/>
          </w:tcPr>
          <w:p w14:paraId="1D2DA67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vAlign w:val="center"/>
          </w:tcPr>
          <w:p w14:paraId="7B58F59A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Dodatkowa zdolność wytwarzania energii elektrycznej ze źródeł odnawialnych</w:t>
            </w:r>
          </w:p>
        </w:tc>
        <w:tc>
          <w:tcPr>
            <w:tcW w:w="1276" w:type="dxa"/>
            <w:vAlign w:val="center"/>
          </w:tcPr>
          <w:p w14:paraId="1ED3203D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MWe</w:t>
            </w:r>
          </w:p>
        </w:tc>
        <w:tc>
          <w:tcPr>
            <w:tcW w:w="1276" w:type="dxa"/>
            <w:vAlign w:val="center"/>
          </w:tcPr>
          <w:p w14:paraId="2488916A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263F4D6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65891D3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5833AF89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Wzrost zdolności produkcyjnych energii urządzeń wykorzystują</w:t>
            </w:r>
            <w:r>
              <w:rPr>
                <w:sz w:val="24"/>
                <w:szCs w:val="24"/>
              </w:rPr>
              <w:t xml:space="preserve">cych odnawialne źródła energii, </w:t>
            </w:r>
            <w:r w:rsidRPr="00A635F2">
              <w:rPr>
                <w:sz w:val="24"/>
                <w:szCs w:val="24"/>
              </w:rPr>
              <w:t>zbudowanych / wyposażonych w ramach projektu. Obejmuje energię elektryczną i cieplną.</w:t>
            </w:r>
          </w:p>
          <w:p w14:paraId="51E1F6B5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Odnawialne źródło energii: Wszelkie źródło energii, która nie jest paliwem kopalnym i jądrowym.</w:t>
            </w:r>
            <w:r>
              <w:rPr>
                <w:sz w:val="24"/>
                <w:szCs w:val="24"/>
              </w:rPr>
              <w:t xml:space="preserve"> Patrz </w:t>
            </w:r>
            <w:r w:rsidRPr="00A635F2">
              <w:rPr>
                <w:sz w:val="24"/>
                <w:szCs w:val="24"/>
              </w:rPr>
              <w:t>rozporządzenie 2009/28, art. 2(a).</w:t>
            </w:r>
          </w:p>
        </w:tc>
      </w:tr>
      <w:tr w:rsidR="001F61B4" w:rsidRPr="004A2391" w14:paraId="77BE6EFD" w14:textId="77777777" w:rsidTr="00CC562B">
        <w:tc>
          <w:tcPr>
            <w:tcW w:w="552" w:type="dxa"/>
            <w:vAlign w:val="center"/>
          </w:tcPr>
          <w:p w14:paraId="0DEC5C4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  <w:vAlign w:val="center"/>
          </w:tcPr>
          <w:p w14:paraId="3F9DA853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Dodatkowa zdolność wytwarzania energii cieplnej ze źródeł odnawialnych</w:t>
            </w:r>
          </w:p>
        </w:tc>
        <w:tc>
          <w:tcPr>
            <w:tcW w:w="1276" w:type="dxa"/>
            <w:vAlign w:val="center"/>
          </w:tcPr>
          <w:p w14:paraId="1E4F5464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MWt</w:t>
            </w:r>
          </w:p>
        </w:tc>
        <w:tc>
          <w:tcPr>
            <w:tcW w:w="1276" w:type="dxa"/>
            <w:vAlign w:val="center"/>
          </w:tcPr>
          <w:p w14:paraId="64654ACE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1CF3AFC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4BAC4C0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2BEE5CE0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Wzrost zdolności produkcyjnych energii urządzeń wykorzystujących odnawialne źródła energii, zbudowanych / wyposażonych w ramach projektu. Obejmuje energię elektryczną i cieplną.</w:t>
            </w:r>
          </w:p>
          <w:p w14:paraId="726DC228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Odnawialne źródło energii: Wszelkie źródło energii, która nie jest paliwem kopalnym i jądrowym. Patrz rozporządzenie 2009/28, art. 2(a).</w:t>
            </w:r>
          </w:p>
        </w:tc>
      </w:tr>
      <w:tr w:rsidR="001F61B4" w:rsidRPr="004A2391" w14:paraId="06AFD4C3" w14:textId="77777777" w:rsidTr="00CC562B">
        <w:tc>
          <w:tcPr>
            <w:tcW w:w="552" w:type="dxa"/>
            <w:vAlign w:val="center"/>
          </w:tcPr>
          <w:p w14:paraId="5FB4E6D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14:paraId="3A093EA5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Powierzchnia użytkowa budynków poddanych termomodernizacji</w:t>
            </w:r>
          </w:p>
        </w:tc>
        <w:tc>
          <w:tcPr>
            <w:tcW w:w="1276" w:type="dxa"/>
            <w:vAlign w:val="center"/>
          </w:tcPr>
          <w:p w14:paraId="0FB506AD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</w:t>
            </w:r>
            <w:r w:rsidRPr="00A635F2">
              <w:rPr>
                <w:rFonts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14:paraId="2ECDE04F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2B22F8C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77AF18C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13574BE3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Ilość m2 powierzchni użytkowej poddanej termomodernizacji, gdzie termomodernizacja definiowana jest jako przedsięwzięcia służące poprawie efektywności energetycznej, zgodnie z zapisami:</w:t>
            </w:r>
          </w:p>
          <w:p w14:paraId="17070E05" w14:textId="77777777" w:rsidR="001F61B4" w:rsidRPr="00A635F2" w:rsidRDefault="001F61B4" w:rsidP="00CC562B">
            <w:pPr>
              <w:numPr>
                <w:ilvl w:val="0"/>
                <w:numId w:val="10"/>
              </w:numPr>
              <w:spacing w:before="60" w:after="60"/>
              <w:ind w:left="317" w:hanging="218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Ustawy z dnia 15 kwietnia 2011 r. o efektywności energetycznej;</w:t>
            </w:r>
          </w:p>
          <w:p w14:paraId="04B1A565" w14:textId="77777777" w:rsidR="001F61B4" w:rsidRPr="00A635F2" w:rsidRDefault="001F61B4" w:rsidP="00CC562B">
            <w:pPr>
              <w:numPr>
                <w:ilvl w:val="0"/>
                <w:numId w:val="10"/>
              </w:numPr>
              <w:spacing w:before="60" w:after="60"/>
              <w:ind w:left="317" w:hanging="218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Obwieszczenia Ministra Gospodarki z dnia 21 grudnia 2012 r. w sprawie szczegółowego wykazu przedsięwzięć służących poprawie efektywności energetycznej;</w:t>
            </w:r>
          </w:p>
          <w:p w14:paraId="2E22C36C" w14:textId="77777777" w:rsidR="001F61B4" w:rsidRPr="00A635F2" w:rsidRDefault="001F61B4" w:rsidP="00CC562B">
            <w:pPr>
              <w:numPr>
                <w:ilvl w:val="0"/>
                <w:numId w:val="10"/>
              </w:numPr>
              <w:spacing w:before="60" w:after="60"/>
              <w:ind w:left="317" w:hanging="218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Ustawy z dnia 21 listopada 2008 r. o wspieraniu termomodernizacji i remontów.</w:t>
            </w:r>
          </w:p>
        </w:tc>
      </w:tr>
      <w:tr w:rsidR="001F61B4" w:rsidRPr="004A2391" w14:paraId="6417D401" w14:textId="77777777" w:rsidTr="00CC562B">
        <w:tc>
          <w:tcPr>
            <w:tcW w:w="552" w:type="dxa"/>
            <w:vAlign w:val="center"/>
          </w:tcPr>
          <w:p w14:paraId="2281FE1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  <w:vAlign w:val="center"/>
          </w:tcPr>
          <w:p w14:paraId="6FFE0D4D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Liczba zmodernizowanych źródeł ciepła</w:t>
            </w:r>
          </w:p>
        </w:tc>
        <w:tc>
          <w:tcPr>
            <w:tcW w:w="1276" w:type="dxa"/>
            <w:vAlign w:val="center"/>
          </w:tcPr>
          <w:p w14:paraId="0051255C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14:paraId="4412DA91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2257C39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1BF77B0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0038A3F4" w14:textId="77777777" w:rsidR="001F61B4" w:rsidRPr="00A635F2" w:rsidRDefault="001F61B4" w:rsidP="00CC562B">
            <w:pPr>
              <w:spacing w:before="40" w:after="40"/>
              <w:rPr>
                <w:i/>
                <w:color w:val="000000" w:themeColor="text1"/>
                <w:sz w:val="24"/>
                <w:szCs w:val="24"/>
              </w:rPr>
            </w:pPr>
            <w:r w:rsidRPr="00A635F2">
              <w:rPr>
                <w:color w:val="000000" w:themeColor="text1"/>
                <w:sz w:val="24"/>
                <w:szCs w:val="24"/>
              </w:rPr>
              <w:t>Liczba wymienionych lub zmodernizowanych źródeł ciepła, gdzie źródła ciepła rozumiane są jako zespół urządzeń lub instalacji służących do wytwarzania ciepła.</w:t>
            </w:r>
          </w:p>
          <w:p w14:paraId="17F66F48" w14:textId="77777777" w:rsidR="001F61B4" w:rsidRPr="00A635F2" w:rsidRDefault="001F61B4" w:rsidP="00CC562B">
            <w:pPr>
              <w:spacing w:before="40" w:after="40"/>
              <w:rPr>
                <w:sz w:val="24"/>
                <w:szCs w:val="24"/>
              </w:rPr>
            </w:pPr>
            <w:r w:rsidRPr="00A635F2">
              <w:rPr>
                <w:i/>
                <w:color w:val="000000" w:themeColor="text1"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6908C1CC" w14:textId="77777777" w:rsidTr="00CC562B">
        <w:tc>
          <w:tcPr>
            <w:tcW w:w="552" w:type="dxa"/>
            <w:vAlign w:val="center"/>
          </w:tcPr>
          <w:p w14:paraId="012D111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  <w:vAlign w:val="center"/>
          </w:tcPr>
          <w:p w14:paraId="38F4C25F" w14:textId="77777777" w:rsidR="001F61B4" w:rsidRPr="00A635F2" w:rsidRDefault="001F61B4" w:rsidP="00CC562B">
            <w:pPr>
              <w:autoSpaceDE w:val="0"/>
              <w:autoSpaceDN w:val="0"/>
              <w:adjustRightInd w:val="0"/>
              <w:rPr>
                <w:rFonts w:cs="Times New Roman"/>
                <w:i/>
                <w:sz w:val="24"/>
                <w:szCs w:val="24"/>
              </w:rPr>
            </w:pPr>
            <w:r w:rsidRPr="00A635F2">
              <w:rPr>
                <w:rFonts w:cs="Arial"/>
                <w:i/>
                <w:sz w:val="24"/>
                <w:szCs w:val="24"/>
              </w:rPr>
              <w:t>Udział projektu w odniesieniu do obszaru objętego programem rewitalizacji</w:t>
            </w:r>
          </w:p>
        </w:tc>
        <w:tc>
          <w:tcPr>
            <w:tcW w:w="1276" w:type="dxa"/>
            <w:vAlign w:val="center"/>
          </w:tcPr>
          <w:p w14:paraId="20D18065" w14:textId="77777777" w:rsidR="001F61B4" w:rsidRPr="00A635F2" w:rsidRDefault="001F61B4" w:rsidP="00CC562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2037656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produkt</w:t>
            </w:r>
          </w:p>
        </w:tc>
        <w:tc>
          <w:tcPr>
            <w:tcW w:w="1275" w:type="dxa"/>
            <w:vAlign w:val="center"/>
          </w:tcPr>
          <w:p w14:paraId="0839070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59335E">
              <w:rPr>
                <w:szCs w:val="24"/>
              </w:rPr>
              <w:t>specyficzny</w:t>
            </w:r>
          </w:p>
        </w:tc>
        <w:tc>
          <w:tcPr>
            <w:tcW w:w="1276" w:type="dxa"/>
            <w:vAlign w:val="center"/>
          </w:tcPr>
          <w:p w14:paraId="0ECFEB7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vAlign w:val="center"/>
          </w:tcPr>
          <w:p w14:paraId="59881B9A" w14:textId="77777777" w:rsidR="001F61B4" w:rsidRPr="00A635F2" w:rsidRDefault="001F61B4" w:rsidP="00CC562B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Wskaźnik obrazuje w jakim stopniu (%) projekt dotyczy części rewitalizacyjnej projektu. J</w:t>
            </w:r>
            <w:r>
              <w:rPr>
                <w:sz w:val="24"/>
                <w:szCs w:val="24"/>
              </w:rPr>
              <w:t xml:space="preserve">eżeli projekt w całości wynika </w:t>
            </w:r>
            <w:r w:rsidRPr="00A635F2">
              <w:rPr>
                <w:sz w:val="24"/>
                <w:szCs w:val="24"/>
              </w:rPr>
              <w:t>z programu rewitalizacji lub ma zasięg horyzontalny, ale w całości sprofilowany jest na obszary objęte rewitalizacją to wartość wskaźnika będzie wynosiła 100%.</w:t>
            </w:r>
          </w:p>
          <w:p w14:paraId="5597BCB5" w14:textId="77777777" w:rsidR="001F61B4" w:rsidRPr="00A635F2" w:rsidRDefault="001F61B4" w:rsidP="00CC562B">
            <w:pPr>
              <w:shd w:val="clear" w:color="auto" w:fill="FFFFFF"/>
              <w:spacing w:before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 przypadku projektów, które dotyczą obszarów objętych programami rewitalizacyjnymi tylko w części (np. projekty o szerszym charakterze takie jak projekty „miękkie” nakierowane na specyficzne grupy odbiorców efektów tych projektów), udział projektu w odniesieniu do obszaru programu rewitalizacji należy oszacować proporcjonalnie do wydatków planowanych do poniesienia/ lub poniesionych na tym obszarze.</w:t>
            </w:r>
          </w:p>
          <w:p w14:paraId="392F5CD2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40"/>
              <w:rPr>
                <w:rFonts w:cs="Times New Roman"/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Definicja programu rewitalizacji zgodnie z </w:t>
            </w:r>
            <w:r w:rsidRPr="00A635F2">
              <w:rPr>
                <w:i/>
                <w:sz w:val="24"/>
                <w:szCs w:val="24"/>
              </w:rPr>
              <w:t xml:space="preserve">Wytycznymi </w:t>
            </w:r>
            <w:r>
              <w:rPr>
                <w:i/>
                <w:sz w:val="24"/>
                <w:szCs w:val="24"/>
              </w:rPr>
              <w:br/>
            </w:r>
            <w:r w:rsidRPr="00A635F2">
              <w:rPr>
                <w:i/>
                <w:sz w:val="24"/>
                <w:szCs w:val="24"/>
              </w:rPr>
              <w:t>w zakresie rewitalizacji w programach operacyjnych na lata 2014-2020</w:t>
            </w:r>
            <w:r w:rsidRPr="00A635F2">
              <w:rPr>
                <w:sz w:val="24"/>
                <w:szCs w:val="24"/>
              </w:rPr>
              <w:t>.</w:t>
            </w:r>
          </w:p>
        </w:tc>
      </w:tr>
      <w:tr w:rsidR="001F61B4" w:rsidRPr="004A2391" w14:paraId="7F10B9DD" w14:textId="77777777" w:rsidTr="00CC562B">
        <w:tc>
          <w:tcPr>
            <w:tcW w:w="552" w:type="dxa"/>
            <w:vAlign w:val="center"/>
          </w:tcPr>
          <w:p w14:paraId="0FFFA354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  <w:vAlign w:val="center"/>
          </w:tcPr>
          <w:p w14:paraId="5D29766D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Zmniejszenie rocznego zużycia energii pierwotnej w budynkach publicznych</w:t>
            </w:r>
          </w:p>
        </w:tc>
        <w:tc>
          <w:tcPr>
            <w:tcW w:w="1276" w:type="dxa"/>
            <w:vAlign w:val="center"/>
          </w:tcPr>
          <w:p w14:paraId="1AB1142F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kWh/rok</w:t>
            </w:r>
          </w:p>
        </w:tc>
        <w:tc>
          <w:tcPr>
            <w:tcW w:w="1276" w:type="dxa"/>
            <w:vAlign w:val="center"/>
          </w:tcPr>
          <w:p w14:paraId="166007B9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vAlign w:val="center"/>
          </w:tcPr>
          <w:p w14:paraId="7D1503F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2A46310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Common Indicator</w:t>
            </w:r>
          </w:p>
        </w:tc>
        <w:tc>
          <w:tcPr>
            <w:tcW w:w="5954" w:type="dxa"/>
            <w:vAlign w:val="center"/>
          </w:tcPr>
          <w:p w14:paraId="61D40E7E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Obliczenia są oparte na świadectwie energetycznym budynków (patrz Art.12.1.b Dyrektywy 2010/31/UE). Zgodnie z wytycznymi określonymi w dyrektywie, wskaźnik musi dotyczyć wszystkich budynków publicznych powyżej 500m</w:t>
            </w:r>
            <w:r w:rsidRPr="00A635F2">
              <w:rPr>
                <w:sz w:val="24"/>
                <w:szCs w:val="24"/>
                <w:vertAlign w:val="superscript"/>
              </w:rPr>
              <w:t>2</w:t>
            </w:r>
            <w:r w:rsidRPr="00A635F2">
              <w:rPr>
                <w:sz w:val="24"/>
                <w:szCs w:val="24"/>
              </w:rPr>
              <w:t xml:space="preserve"> całkowitej powierzchni użytkowej, które zostały zrekonstruowane z wykorzystaniem wsparcia z funduszy strukturalnych. Jeśli budowa rozpocznie się po 9 lipca 2015 r., to wartość progowa dla budynków publicznych spada do 250m</w:t>
            </w:r>
            <w:r w:rsidRPr="00A635F2">
              <w:rPr>
                <w:sz w:val="24"/>
                <w:szCs w:val="24"/>
                <w:vertAlign w:val="superscript"/>
              </w:rPr>
              <w:t>2</w:t>
            </w:r>
            <w:r w:rsidRPr="00A635F2">
              <w:rPr>
                <w:sz w:val="24"/>
                <w:szCs w:val="24"/>
              </w:rPr>
              <w:t xml:space="preserve"> całkowitej powierzchni użytkowej. Instytucja Zarządzająca może włączyć do obliczeń budynki o powierzchni mniejszej niż 250m</w:t>
            </w:r>
            <w:r w:rsidRPr="00A635F2">
              <w:rPr>
                <w:sz w:val="24"/>
                <w:szCs w:val="24"/>
                <w:vertAlign w:val="superscript"/>
              </w:rPr>
              <w:t>2</w:t>
            </w:r>
            <w:r w:rsidRPr="00A635F2">
              <w:rPr>
                <w:sz w:val="24"/>
                <w:szCs w:val="24"/>
              </w:rPr>
              <w:t xml:space="preserve"> (lub 500m</w:t>
            </w:r>
            <w:r w:rsidRPr="00A635F2">
              <w:rPr>
                <w:sz w:val="24"/>
                <w:szCs w:val="24"/>
                <w:vertAlign w:val="superscript"/>
              </w:rPr>
              <w:t>2</w:t>
            </w:r>
            <w:r w:rsidRPr="00A635F2">
              <w:rPr>
                <w:sz w:val="24"/>
                <w:szCs w:val="24"/>
              </w:rPr>
              <w:t xml:space="preserve"> przed 9/7/2015).</w:t>
            </w:r>
          </w:p>
          <w:p w14:paraId="1F3CEB04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Wartość będzie obliczana ze świadectw energetycznych wydanych przed i po przebudowie. Wskaźnik pokaże całkowitą redukcję rocznego  zużycia, a nie sumę wielkości zaoszczędzonych (niezużytych).</w:t>
            </w:r>
          </w:p>
        </w:tc>
      </w:tr>
      <w:tr w:rsidR="001F61B4" w:rsidRPr="004A2391" w14:paraId="7674E4E7" w14:textId="77777777" w:rsidTr="00CC562B">
        <w:tc>
          <w:tcPr>
            <w:tcW w:w="552" w:type="dxa"/>
            <w:vAlign w:val="center"/>
          </w:tcPr>
          <w:p w14:paraId="3FB74314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  <w:vAlign w:val="center"/>
          </w:tcPr>
          <w:p w14:paraId="74953067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Szacowany roczny spadek emisji gazów cieplarnianych</w:t>
            </w:r>
          </w:p>
        </w:tc>
        <w:tc>
          <w:tcPr>
            <w:tcW w:w="1276" w:type="dxa"/>
            <w:vAlign w:val="center"/>
          </w:tcPr>
          <w:p w14:paraId="1A6ECCF7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59335E">
              <w:rPr>
                <w:rFonts w:eastAsia="Times New Roman" w:cs="Arial"/>
                <w:szCs w:val="24"/>
              </w:rPr>
              <w:t>tony równowa</w:t>
            </w:r>
            <w:r>
              <w:rPr>
                <w:rFonts w:eastAsia="Times New Roman" w:cs="Arial"/>
                <w:szCs w:val="24"/>
              </w:rPr>
              <w:t>-</w:t>
            </w:r>
            <w:r w:rsidRPr="0059335E">
              <w:rPr>
                <w:rFonts w:eastAsia="Times New Roman" w:cs="Arial"/>
                <w:szCs w:val="24"/>
              </w:rPr>
              <w:t>żnika CO</w:t>
            </w:r>
            <w:r w:rsidRPr="0059335E">
              <w:rPr>
                <w:rFonts w:eastAsia="Times New Roman" w:cs="Arial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14:paraId="27B9E8CA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vAlign w:val="center"/>
          </w:tcPr>
          <w:p w14:paraId="222444A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646BA2FF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Common Indicator</w:t>
            </w:r>
          </w:p>
        </w:tc>
        <w:tc>
          <w:tcPr>
            <w:tcW w:w="5954" w:type="dxa"/>
            <w:vAlign w:val="center"/>
          </w:tcPr>
          <w:p w14:paraId="1058FE09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Wskaźnik ten jest obliczany dla interwencji bezpośrednio zmierzających do zwiększenia produkcji energii ze źródeł odnawialnych lub zmierzających do zmniejszenia zużycia energii poprzez oszczędność energii, a tym samym jego stosowanie jest obowiązkowe tylko w przypadku gdy wskaźniki te są istotne. Zastosowania do innych interwencji z ewentualnym wpływem emisji gazów cieplarnianych są opcjonalne. Wskaźnik pokaże łączny szacunkowy roczny spadek na koniec okresu, a nie całkowity spadek w całym okresie.</w:t>
            </w:r>
          </w:p>
          <w:p w14:paraId="41165A3D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W przypadku produkcji energii odnawialnej, prognoza opiera się na ilości energii pierwotnej produkowanej przez wspierane obiekty w danym roku (albo jeden rok po zakończeniu projektu lub w roku kalendarzowym, po zakończeniu projektu). Energia odnawialna ma być neutralna w kwestii emisji gazów cieplarnianych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>i zastępować produkcję energii ze źródeł nieodnawialnych. Wpływ emisji gazów cieplarnianych na energię nieodnawialną określany jest poprzez emisję całkowitą gazów cieplarnianych w państwie członkowskim na jednostkę wyprodukowanej energii nieodnawialnej.</w:t>
            </w:r>
          </w:p>
          <w:p w14:paraId="1190AE21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W przypadku działań na rzecz oszczędności energii, prognoza opiera się na ilości energii pierwotnej zaoszczędzonej przez wspierane działania w danym roku (albo jeden rok po zakończeniu projektu lub w roku kalendarzowym, po zakończeniu projektu). Energia zaoszczędzona ma zastąpić produkcję energii ze źródeł nieodnawialnych. Wpływ emisji gazów cieplarnianych na energię nieodnawialną określany jest poprzez emisję całkowitą gazów cieplarnianych w państwie członkowskim na jednostkę wyprodukowanej energii nieodnawialnej.</w:t>
            </w:r>
          </w:p>
        </w:tc>
      </w:tr>
      <w:tr w:rsidR="001F61B4" w:rsidRPr="004A2391" w14:paraId="5D372E3C" w14:textId="77777777" w:rsidTr="00CC562B">
        <w:tc>
          <w:tcPr>
            <w:tcW w:w="552" w:type="dxa"/>
            <w:tcBorders>
              <w:bottom w:val="single" w:sz="8" w:space="0" w:color="33CC33"/>
            </w:tcBorders>
            <w:vAlign w:val="center"/>
          </w:tcPr>
          <w:p w14:paraId="7D7E659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13.</w:t>
            </w:r>
          </w:p>
        </w:tc>
        <w:tc>
          <w:tcPr>
            <w:tcW w:w="2977" w:type="dxa"/>
            <w:tcBorders>
              <w:bottom w:val="single" w:sz="4" w:space="0" w:color="33CC33"/>
            </w:tcBorders>
            <w:vAlign w:val="center"/>
          </w:tcPr>
          <w:p w14:paraId="750CD687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Ilość zaoszczędzonej energii elektrycznej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vAlign w:val="center"/>
          </w:tcPr>
          <w:p w14:paraId="088EF68D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MWh/</w:t>
            </w:r>
            <w:r w:rsidRPr="00A635F2">
              <w:rPr>
                <w:rFonts w:cs="Arial"/>
                <w:sz w:val="24"/>
                <w:szCs w:val="24"/>
              </w:rPr>
              <w:t>rok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vAlign w:val="center"/>
          </w:tcPr>
          <w:p w14:paraId="6F953C49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bottom w:val="single" w:sz="4" w:space="0" w:color="33CC33"/>
            </w:tcBorders>
            <w:vAlign w:val="center"/>
          </w:tcPr>
          <w:p w14:paraId="4B36BE25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bottom w:val="single" w:sz="4" w:space="0" w:color="33CC33"/>
            </w:tcBorders>
            <w:vAlign w:val="center"/>
          </w:tcPr>
          <w:p w14:paraId="0E29749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bottom w:val="single" w:sz="4" w:space="0" w:color="33CC33"/>
            </w:tcBorders>
            <w:vAlign w:val="center"/>
          </w:tcPr>
          <w:p w14:paraId="6769EACA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 xml:space="preserve">Ilość zaoszczędzonej w wyniku realizacji projektu energii elektrycznej w dystrybucji w ciągu pełnego roku po zakończeniu projektu w stosunku do roku bazowego. </w:t>
            </w:r>
          </w:p>
          <w:p w14:paraId="65613AD8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 xml:space="preserve">W przypadku przedsiębiorstw produkcyjnych: różnica między rocznym zużyciem energii elektrycznej w roku bazowym w stosunku do rocznego zużycia energii elektrycznej po zakończeniu projektu, skorygowana </w:t>
            </w:r>
            <w:r>
              <w:rPr>
                <w:rFonts w:cs="Arial"/>
                <w:sz w:val="24"/>
                <w:szCs w:val="24"/>
              </w:rPr>
              <w:br/>
            </w:r>
            <w:r w:rsidRPr="00A635F2">
              <w:rPr>
                <w:rFonts w:cs="Arial"/>
                <w:sz w:val="24"/>
                <w:szCs w:val="24"/>
              </w:rPr>
              <w:t xml:space="preserve">w przypadku zmiany wielkości produkcji. </w:t>
            </w:r>
          </w:p>
          <w:p w14:paraId="5E1B6D26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W przypadku modernizacji energetycznej budynków: różnica między rocznym zużyciem energii elektrycznej w roku bazowym w stosunku do rocznego zużycia energii elektrycznej po zakończeniu projektu.</w:t>
            </w:r>
          </w:p>
        </w:tc>
      </w:tr>
      <w:tr w:rsidR="001F61B4" w:rsidRPr="004A2391" w14:paraId="4569768D" w14:textId="77777777" w:rsidTr="00CC562B">
        <w:tc>
          <w:tcPr>
            <w:tcW w:w="552" w:type="dxa"/>
            <w:tcBorders>
              <w:top w:val="single" w:sz="8" w:space="0" w:color="33CC33"/>
              <w:bottom w:val="single" w:sz="8" w:space="0" w:color="33CC33"/>
            </w:tcBorders>
            <w:vAlign w:val="center"/>
          </w:tcPr>
          <w:p w14:paraId="28F58F1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6F7E156D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Ilość zaoszczędzonej energii cieplnej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5308F4C7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GJ/rok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19A34BA4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289981C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2414C022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top w:val="single" w:sz="4" w:space="0" w:color="33CC33"/>
              <w:bottom w:val="single" w:sz="8" w:space="0" w:color="33CC33"/>
            </w:tcBorders>
            <w:vAlign w:val="center"/>
          </w:tcPr>
          <w:p w14:paraId="4B1B9019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Ilość zaoszczędzonej w wyniku realizacji projektu energii cieplnej w dystrybucji w ciągu pełnego roku po zakończeniu projektu.</w:t>
            </w:r>
          </w:p>
          <w:p w14:paraId="7B73EE50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 xml:space="preserve">W przypadku przedsiębiorstw produkcyjnych: różnica między rocznym zużyciem energii cieplnej w roku bazowym w stosunku do rocznego zużycia energii cieplnej po zakończeniu projektu, skorygowana w przypadku zmiany wielkości produkcji. </w:t>
            </w:r>
          </w:p>
          <w:p w14:paraId="298A6E19" w14:textId="77777777" w:rsidR="001F61B4" w:rsidRPr="00A635F2" w:rsidRDefault="001F61B4" w:rsidP="00CC562B">
            <w:pPr>
              <w:autoSpaceDE w:val="0"/>
              <w:autoSpaceDN w:val="0"/>
              <w:adjustRightInd w:val="0"/>
              <w:spacing w:before="80" w:after="80"/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W przypadku modernizacji energetycznej budynków: różnica między rocznym zużyciem energii cieplnej  w roku bazowym w stosunku do rocznego zużycia energii cieplnej po zakończeniu projektu.</w:t>
            </w:r>
          </w:p>
          <w:p w14:paraId="3EAE7273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 xml:space="preserve">Energia cieplna – energia w wodzie gorącej, parze lub </w:t>
            </w:r>
            <w:r>
              <w:rPr>
                <w:rFonts w:cs="Arial"/>
                <w:sz w:val="24"/>
                <w:szCs w:val="24"/>
              </w:rPr>
              <w:br/>
            </w:r>
            <w:r w:rsidRPr="00A635F2">
              <w:rPr>
                <w:rFonts w:cs="Arial"/>
                <w:sz w:val="24"/>
                <w:szCs w:val="24"/>
              </w:rPr>
              <w:t>w innych nośnikach.</w:t>
            </w:r>
          </w:p>
        </w:tc>
      </w:tr>
      <w:tr w:rsidR="001F61B4" w:rsidRPr="004A2391" w14:paraId="29968AE6" w14:textId="77777777" w:rsidTr="00CC562B">
        <w:tc>
          <w:tcPr>
            <w:tcW w:w="552" w:type="dxa"/>
            <w:tcBorders>
              <w:top w:val="single" w:sz="8" w:space="0" w:color="33CC33"/>
              <w:bottom w:val="single" w:sz="4" w:space="0" w:color="33CC33"/>
            </w:tcBorders>
            <w:vAlign w:val="center"/>
          </w:tcPr>
          <w:p w14:paraId="79F5D1B7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8" w:space="0" w:color="33CC33"/>
              <w:bottom w:val="single" w:sz="4" w:space="0" w:color="33CC33"/>
            </w:tcBorders>
            <w:vAlign w:val="center"/>
          </w:tcPr>
          <w:p w14:paraId="667B5928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 xml:space="preserve">Zmniejszenie zużycia energii końcowej w wyniku realizacji projektów 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8" w:space="0" w:color="33CC33"/>
            </w:tcBorders>
            <w:vAlign w:val="center"/>
          </w:tcPr>
          <w:p w14:paraId="25184127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GJ/rok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4" w:space="0" w:color="33CC33"/>
            </w:tcBorders>
            <w:vAlign w:val="center"/>
          </w:tcPr>
          <w:p w14:paraId="2E88450B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8" w:space="0" w:color="33CC33"/>
              <w:bottom w:val="single" w:sz="4" w:space="0" w:color="33CC33"/>
            </w:tcBorders>
            <w:vAlign w:val="center"/>
          </w:tcPr>
          <w:p w14:paraId="3CCD829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8" w:space="0" w:color="33CC33"/>
              <w:bottom w:val="single" w:sz="4" w:space="0" w:color="33CC33"/>
            </w:tcBorders>
            <w:vAlign w:val="center"/>
          </w:tcPr>
          <w:p w14:paraId="33180BF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top w:val="single" w:sz="8" w:space="0" w:color="33CC33"/>
              <w:bottom w:val="single" w:sz="4" w:space="0" w:color="33CC33"/>
            </w:tcBorders>
            <w:shd w:val="clear" w:color="auto" w:fill="auto"/>
            <w:vAlign w:val="center"/>
          </w:tcPr>
          <w:p w14:paraId="3C90ABAC" w14:textId="77777777" w:rsidR="001F61B4" w:rsidRPr="00A635F2" w:rsidRDefault="001F61B4" w:rsidP="00CC562B">
            <w:pPr>
              <w:spacing w:before="60" w:after="6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Przez bezpośrednie (końcowe) zużycie energii, wyrażone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>w GJ/rok, w procesie technologicznym (w tym wytwarzania ciepła na cele bytowe) należy rozumieć:</w:t>
            </w:r>
          </w:p>
          <w:p w14:paraId="1516B942" w14:textId="77777777" w:rsidR="001F61B4" w:rsidRPr="00A635F2" w:rsidRDefault="001F61B4" w:rsidP="00CC562B">
            <w:pPr>
              <w:pStyle w:val="Akapitzlist"/>
              <w:numPr>
                <w:ilvl w:val="0"/>
                <w:numId w:val="11"/>
              </w:numPr>
              <w:spacing w:before="60" w:after="60"/>
              <w:ind w:left="317" w:hanging="218"/>
              <w:contextualSpacing w:val="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zużycie poszczególnych nośników energii nie podlegających dalszemu przetwarzaniu na inne nośniki energii,</w:t>
            </w:r>
          </w:p>
          <w:p w14:paraId="23CDCF4D" w14:textId="77777777" w:rsidR="001F61B4" w:rsidRPr="00A635F2" w:rsidRDefault="001F61B4" w:rsidP="00CC562B">
            <w:pPr>
              <w:pStyle w:val="Akapitzlist"/>
              <w:numPr>
                <w:ilvl w:val="0"/>
                <w:numId w:val="11"/>
              </w:numPr>
              <w:spacing w:before="60" w:after="60"/>
              <w:ind w:left="317" w:hanging="218"/>
              <w:contextualSpacing w:val="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 xml:space="preserve">zużycie energii doprowadzonej do procesu technologicznego za pośrednictwem tzw. mediów </w:t>
            </w:r>
            <w:r>
              <w:rPr>
                <w:sz w:val="24"/>
                <w:szCs w:val="24"/>
              </w:rPr>
              <w:br/>
            </w:r>
            <w:r w:rsidRPr="00A635F2">
              <w:rPr>
                <w:sz w:val="24"/>
                <w:szCs w:val="24"/>
              </w:rPr>
              <w:t>(np. wody przemysłowej, sprężonego powietrza, tlenu, azotu).</w:t>
            </w:r>
          </w:p>
        </w:tc>
      </w:tr>
      <w:tr w:rsidR="001F61B4" w:rsidRPr="004A2391" w14:paraId="63E02393" w14:textId="77777777" w:rsidTr="00CC562B">
        <w:tc>
          <w:tcPr>
            <w:tcW w:w="552" w:type="dxa"/>
            <w:tcBorders>
              <w:top w:val="single" w:sz="4" w:space="0" w:color="33CC33"/>
            </w:tcBorders>
            <w:vAlign w:val="center"/>
          </w:tcPr>
          <w:p w14:paraId="0F5B6FCD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33CC33"/>
              <w:right w:val="single" w:sz="8" w:space="0" w:color="33CC33"/>
            </w:tcBorders>
            <w:vAlign w:val="center"/>
          </w:tcPr>
          <w:p w14:paraId="41DCC192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Produkcja energii elektrycznej z nowo wybudowanych instalacji wykorzystujących OZE</w:t>
            </w:r>
          </w:p>
        </w:tc>
        <w:tc>
          <w:tcPr>
            <w:tcW w:w="1276" w:type="dxa"/>
            <w:tcBorders>
              <w:top w:val="single" w:sz="8" w:space="0" w:color="33CC33"/>
              <w:left w:val="single" w:sz="8" w:space="0" w:color="33CC33"/>
              <w:bottom w:val="single" w:sz="12" w:space="0" w:color="33CC33"/>
              <w:right w:val="single" w:sz="8" w:space="0" w:color="33CC33"/>
            </w:tcBorders>
            <w:vAlign w:val="center"/>
          </w:tcPr>
          <w:p w14:paraId="4CFADD6C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MWhe/</w:t>
            </w:r>
            <w:r>
              <w:rPr>
                <w:rFonts w:cs="Arial"/>
                <w:sz w:val="24"/>
                <w:szCs w:val="24"/>
              </w:rPr>
              <w:br/>
            </w:r>
            <w:r w:rsidRPr="00A635F2">
              <w:rPr>
                <w:rFonts w:cs="Arial"/>
                <w:sz w:val="24"/>
                <w:szCs w:val="24"/>
              </w:rPr>
              <w:t>rok</w:t>
            </w:r>
          </w:p>
        </w:tc>
        <w:tc>
          <w:tcPr>
            <w:tcW w:w="1276" w:type="dxa"/>
            <w:tcBorders>
              <w:top w:val="single" w:sz="4" w:space="0" w:color="33CC33"/>
              <w:left w:val="single" w:sz="8" w:space="0" w:color="33CC33"/>
            </w:tcBorders>
            <w:vAlign w:val="center"/>
          </w:tcPr>
          <w:p w14:paraId="4F0D5AD7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tcBorders>
              <w:top w:val="single" w:sz="4" w:space="0" w:color="33CC33"/>
            </w:tcBorders>
            <w:vAlign w:val="center"/>
          </w:tcPr>
          <w:p w14:paraId="4E62C571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tcBorders>
              <w:top w:val="single" w:sz="4" w:space="0" w:color="33CC33"/>
            </w:tcBorders>
            <w:vAlign w:val="center"/>
          </w:tcPr>
          <w:p w14:paraId="3E3D6A00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tcBorders>
              <w:top w:val="single" w:sz="4" w:space="0" w:color="33CC33"/>
            </w:tcBorders>
            <w:shd w:val="clear" w:color="auto" w:fill="auto"/>
            <w:vAlign w:val="center"/>
          </w:tcPr>
          <w:p w14:paraId="551855B2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>Wskaźnik mierzy roczną wielkość produkcji energii elektrycznej z nowo wybudowanych instalacji odnawialnego źródła energii.</w:t>
            </w:r>
          </w:p>
          <w:p w14:paraId="219C6362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Energia </w:t>
            </w:r>
            <w:r w:rsidRPr="00A635F2">
              <w:rPr>
                <w:rFonts w:asciiTheme="minorHAnsi" w:hAnsiTheme="minorHAnsi"/>
              </w:rPr>
              <w:t xml:space="preserve">– energia przetworzona w dowolnej postaci (art. 3 pkt 1 ustawy z dnia 10 kwietnia 1997 r. Prawo energetyczne). </w:t>
            </w:r>
          </w:p>
          <w:p w14:paraId="079D78A7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Instalacja odnawialnego źródła energii </w:t>
            </w:r>
            <w:r w:rsidRPr="00A635F2">
              <w:rPr>
                <w:rFonts w:asciiTheme="minorHAnsi" w:hAnsiTheme="minorHAnsi"/>
              </w:rPr>
              <w:t xml:space="preserve">– instalacja stanowiąca wyodrębniony zespół: a) urządzeń służących do wytwarzania energii i wyprowadzania mocy, przyłączonych w jednym miejscu przyłączenia, w których energia elektryczna lub ciepło są wytwarzane z jednego rodzaju odnawialnych źródeł energii, a także magazyn energii elektrycznej przechowujący wytworzoną energię elektryczną, połączony z tym zespołem urządzeń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b) obiektów budowlanych i urządzeń stanowiących całość techniczno-użytkową służący do wytwarzania biogazu rolniczego, a także połączony z nimi magazyn biogazu rolniczego (art. 2 pkt 22 ustawy z dnia 20 lutego 2015 r.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o odnawialnych źródłach energii). </w:t>
            </w:r>
          </w:p>
          <w:p w14:paraId="3F2A4E2C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Odnawialne źródło energii </w:t>
            </w:r>
            <w:r w:rsidRPr="00A635F2">
              <w:rPr>
                <w:rFonts w:asciiTheme="minorHAnsi" w:hAnsiTheme="minorHAnsi"/>
              </w:rPr>
              <w:t xml:space="preserve">– odnawialne, niekopalne źródła energii obejmujące energię wiatru, energię promieniowania słonecznego, energię aerotermalną, energię geotermalną, energię hydrotermalną, hydroenergię, energię fal, prądów i pływów morskich, energię otrzymywaną z biomasy, biogazu, biogazu rolniczego oraz z biopłynów (art. 2 pkt 22 ustawy z dnia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20 lutego 2015 r. o odnawialnych źródłach energii). </w:t>
            </w:r>
          </w:p>
          <w:p w14:paraId="5505CDF7" w14:textId="77777777" w:rsidR="001F61B4" w:rsidRPr="00A635F2" w:rsidRDefault="001F61B4" w:rsidP="00CC562B">
            <w:pPr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iCs/>
                <w:sz w:val="24"/>
                <w:szCs w:val="24"/>
              </w:rPr>
              <w:t xml:space="preserve">Wytwarzanie </w:t>
            </w:r>
            <w:r w:rsidRPr="00A635F2">
              <w:rPr>
                <w:sz w:val="24"/>
                <w:szCs w:val="24"/>
              </w:rPr>
              <w:t>– produkcja paliw lub energii w procesie energetycznym (art. 3 pkt 45 ustawy z dnia 10 kwietnia 1997 r. Prawo energetyczne).</w:t>
            </w:r>
          </w:p>
          <w:p w14:paraId="5ABB70B8" w14:textId="77777777" w:rsidR="001F61B4" w:rsidRPr="00A635F2" w:rsidRDefault="001F61B4" w:rsidP="00CC562B">
            <w:pPr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color w:val="000000" w:themeColor="text1"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17DB6FD8" w14:textId="77777777" w:rsidTr="00CC562B">
        <w:tc>
          <w:tcPr>
            <w:tcW w:w="552" w:type="dxa"/>
            <w:vAlign w:val="center"/>
          </w:tcPr>
          <w:p w14:paraId="28C1AB5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17.</w:t>
            </w:r>
          </w:p>
        </w:tc>
        <w:tc>
          <w:tcPr>
            <w:tcW w:w="2977" w:type="dxa"/>
            <w:vAlign w:val="center"/>
          </w:tcPr>
          <w:p w14:paraId="28D75338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Produkcja energii elektrycznej z nowych mocy wytwórczych instalacji wykorzystujących OZE</w:t>
            </w:r>
          </w:p>
        </w:tc>
        <w:tc>
          <w:tcPr>
            <w:tcW w:w="1276" w:type="dxa"/>
            <w:tcBorders>
              <w:top w:val="single" w:sz="12" w:space="0" w:color="33CC33"/>
            </w:tcBorders>
            <w:vAlign w:val="center"/>
          </w:tcPr>
          <w:p w14:paraId="67A055AC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MWhe/</w:t>
            </w:r>
            <w:r>
              <w:rPr>
                <w:rFonts w:cs="Arial"/>
                <w:sz w:val="24"/>
                <w:szCs w:val="24"/>
              </w:rPr>
              <w:br/>
            </w:r>
            <w:r w:rsidRPr="00A635F2">
              <w:rPr>
                <w:rFonts w:cs="Arial"/>
                <w:sz w:val="24"/>
                <w:szCs w:val="24"/>
              </w:rPr>
              <w:t>rok</w:t>
            </w:r>
          </w:p>
        </w:tc>
        <w:tc>
          <w:tcPr>
            <w:tcW w:w="1276" w:type="dxa"/>
            <w:vAlign w:val="center"/>
          </w:tcPr>
          <w:p w14:paraId="0D038885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vAlign w:val="center"/>
          </w:tcPr>
          <w:p w14:paraId="5B99126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1A64138C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C4EADB1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Wskaźnik mierzy roczną wielkość produkcji energii elektrycznej z nowych mocy wytwórczych (istniejących instalacji) wykorzystujących odnawialne źródła energii. </w:t>
            </w:r>
          </w:p>
          <w:p w14:paraId="416A0BE2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Energia </w:t>
            </w:r>
            <w:r w:rsidRPr="00A635F2">
              <w:rPr>
                <w:rFonts w:asciiTheme="minorHAnsi" w:hAnsiTheme="minorHAnsi"/>
              </w:rPr>
              <w:t xml:space="preserve">– energia przetworzona w dowolnej postaci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(art. 3 pkt 1 ustawy z dnia 10 kwietnia 1997 r. Prawo energetyczne). </w:t>
            </w:r>
          </w:p>
          <w:p w14:paraId="1C56B9DE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Instalacja odnawialnego źródła energii </w:t>
            </w:r>
            <w:r w:rsidRPr="00A635F2">
              <w:rPr>
                <w:rFonts w:asciiTheme="minorHAnsi" w:hAnsiTheme="minorHAnsi"/>
              </w:rPr>
              <w:t xml:space="preserve">– instalacja stanowiąca wyodrębniony zespół: a) urządzeń służących do wytwarzania energii i wyprowadzania mocy, przyłączonych w jednym miejscu przyłączenia, w których energia elektryczna lub ciepło są wytwarzane z jednego rodzaju odnawialnych źródeł energii, a także magazyn energii elektrycznej przechowujący wytworzoną energię elektryczną, połączony z tym zespołem urządzeń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b) obiektów budowlanych i urządzeń stanowiących całość techniczno-użytkową służący do wytwarzania biogazu rolniczego, a także połączony z nimi magazyn biogazu rolniczego (art. 2 pkt 22 ustawy z dnia 20 lutego 2015 r.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o odnawialnych źródłach energii). </w:t>
            </w:r>
          </w:p>
          <w:p w14:paraId="4625282E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Odnawialne źródło energii </w:t>
            </w:r>
            <w:r w:rsidRPr="00A635F2">
              <w:rPr>
                <w:rFonts w:asciiTheme="minorHAnsi" w:hAnsiTheme="minorHAnsi"/>
              </w:rPr>
              <w:t xml:space="preserve">– odnawialne, niekopalne źródła energii obejmujące energię wiatru, energię promieniowania słonecznego, energię aerotermalną, energię geotermalną, energię hydrotermalną, hydroenergię, energię fal, prądów i pływów morskich, energię otrzymywaną z biomasy, biogazu, biogazu rolniczego oraz z biopłynów (art. 2 pkt 22 ustawy z dnia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20 lutego 2015 r. o odnawialnych źródłach energii). </w:t>
            </w:r>
          </w:p>
          <w:p w14:paraId="1A833ED6" w14:textId="77777777" w:rsidR="001F61B4" w:rsidRPr="00A635F2" w:rsidRDefault="001F61B4" w:rsidP="00CC562B">
            <w:pPr>
              <w:spacing w:before="60" w:after="60"/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iCs/>
                <w:sz w:val="24"/>
                <w:szCs w:val="24"/>
              </w:rPr>
              <w:t xml:space="preserve">Wytwarzanie </w:t>
            </w:r>
            <w:r w:rsidRPr="00A635F2">
              <w:rPr>
                <w:sz w:val="24"/>
                <w:szCs w:val="24"/>
              </w:rPr>
              <w:t>– produkcja paliw lub energii w procesie energetycznym (art. 3 pkt 45 ustawy z dnia 10 kwietnia 1997 r. Prawo energetyczne).</w:t>
            </w:r>
          </w:p>
          <w:p w14:paraId="380E4E37" w14:textId="77777777" w:rsidR="001F61B4" w:rsidRPr="00A635F2" w:rsidRDefault="001F61B4" w:rsidP="00CC562B">
            <w:pPr>
              <w:spacing w:before="60" w:after="60"/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color w:val="000000" w:themeColor="text1"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18613F24" w14:textId="77777777" w:rsidTr="00CC562B">
        <w:tc>
          <w:tcPr>
            <w:tcW w:w="552" w:type="dxa"/>
            <w:vAlign w:val="center"/>
          </w:tcPr>
          <w:p w14:paraId="585E7F78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18.</w:t>
            </w:r>
          </w:p>
        </w:tc>
        <w:tc>
          <w:tcPr>
            <w:tcW w:w="2977" w:type="dxa"/>
            <w:vAlign w:val="center"/>
          </w:tcPr>
          <w:p w14:paraId="3C4CFBCE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Produkcja energii cieplnej z nowo wybudowanych instalacji wykorzystujących OZE</w:t>
            </w:r>
          </w:p>
        </w:tc>
        <w:tc>
          <w:tcPr>
            <w:tcW w:w="1276" w:type="dxa"/>
            <w:vAlign w:val="center"/>
          </w:tcPr>
          <w:p w14:paraId="7064E62C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MWht/rok</w:t>
            </w:r>
          </w:p>
        </w:tc>
        <w:tc>
          <w:tcPr>
            <w:tcW w:w="1276" w:type="dxa"/>
            <w:vAlign w:val="center"/>
          </w:tcPr>
          <w:p w14:paraId="69DF2C1B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vAlign w:val="center"/>
          </w:tcPr>
          <w:p w14:paraId="31ABE70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2ACB65AB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080E56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Wskaźnik mierzy roczną wielkość produkcji energii cieplnej z nowo wybudowanych instalacji odnawialnego źródła energii.  </w:t>
            </w:r>
          </w:p>
          <w:p w14:paraId="481AE271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Ciepło </w:t>
            </w:r>
            <w:r w:rsidRPr="00A635F2">
              <w:rPr>
                <w:rFonts w:asciiTheme="minorHAnsi" w:hAnsiTheme="minorHAnsi"/>
              </w:rPr>
              <w:t xml:space="preserve">– energia cieplna w wodzie gorącej, parze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w innych nośnikach (art. 3 pkt 2 ustawy z dnia 10 kwietnia 1997 r. Prawo energetyczne). </w:t>
            </w:r>
          </w:p>
          <w:p w14:paraId="4A6DE3CA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Instalacja odnawialnego źródła energii </w:t>
            </w:r>
            <w:r w:rsidRPr="00A635F2">
              <w:rPr>
                <w:rFonts w:asciiTheme="minorHAnsi" w:hAnsiTheme="minorHAnsi"/>
              </w:rPr>
              <w:t xml:space="preserve">– instalacja stanowiąca wyodrębniony zespół: a) urządzeń służących do wytwarzania energii i wyprowadzania mocy, przyłączonych w jednym miejscu przyłączenia, w których energia elektryczna lub ciepło są wytwarzane z jednego rodzaju odnawialnych źródeł energii, a także magazyn energii elektrycznej przechowujący wytworzoną energię elektryczną, połączony z tym zespołem urządzeń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b) obiektów budowlanych i urządzeń stanowiących całość techniczno-użytkową służący do wytwarzania biogazu rolniczego, a także połączony z nimi magazyn biogazu rolniczego (art. 2 pkt 22 ustawy z dnia 20 lutego 2015 r.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o odnawialnych źródłach energii). </w:t>
            </w:r>
          </w:p>
          <w:p w14:paraId="74C894F2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Odnawialne źródło energii </w:t>
            </w:r>
            <w:r w:rsidRPr="00A635F2">
              <w:rPr>
                <w:rFonts w:asciiTheme="minorHAnsi" w:hAnsiTheme="minorHAnsi"/>
              </w:rPr>
              <w:t xml:space="preserve">– odnawialne, niekopalne źródła energii obejmujące energię wiatru, energię promieniowania słonecznego, energię aerotermalną, energię geotermalną, energię hydrotermalną, hydroenergię, energię fal, prądów i pływów morskich, energię otrzymywaną z biomasy, biogazu, biogazu rolniczego oraz z biopłynów (art. 2 pkt 22 ustawy z dnia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20 lutego 2015 r. o odnawialnych źródłach energii). </w:t>
            </w:r>
          </w:p>
          <w:p w14:paraId="4E06FC94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i/>
                <w:iCs/>
                <w:sz w:val="24"/>
                <w:szCs w:val="24"/>
              </w:rPr>
              <w:t xml:space="preserve">Wytwarzanie </w:t>
            </w:r>
            <w:r w:rsidRPr="00A635F2">
              <w:rPr>
                <w:sz w:val="24"/>
                <w:szCs w:val="24"/>
              </w:rPr>
              <w:t>– produkcja paliw lub energii w procesie energetycznym (art. 3 pkt 45 ustawy z dnia 10 kwietnia 1997 r. Prawo energetyczne).</w:t>
            </w:r>
          </w:p>
          <w:p w14:paraId="7D148C8F" w14:textId="77777777" w:rsidR="001F61B4" w:rsidRPr="00A635F2" w:rsidRDefault="001F61B4" w:rsidP="00CC562B">
            <w:pPr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color w:val="000000" w:themeColor="text1"/>
                <w:sz w:val="24"/>
                <w:szCs w:val="24"/>
              </w:rPr>
              <w:t>[Definicja opracowana przez IZ RPO WO 2014-2020]</w:t>
            </w:r>
          </w:p>
        </w:tc>
      </w:tr>
      <w:tr w:rsidR="001F61B4" w:rsidRPr="004A2391" w14:paraId="328E21CD" w14:textId="77777777" w:rsidTr="00CC562B">
        <w:tc>
          <w:tcPr>
            <w:tcW w:w="552" w:type="dxa"/>
            <w:vAlign w:val="center"/>
          </w:tcPr>
          <w:p w14:paraId="65BFFED9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  <w:vAlign w:val="center"/>
          </w:tcPr>
          <w:p w14:paraId="11A0C292" w14:textId="77777777" w:rsidR="001F61B4" w:rsidRPr="00A635F2" w:rsidRDefault="001F61B4" w:rsidP="00CC562B">
            <w:pPr>
              <w:rPr>
                <w:rFonts w:eastAsia="Times New Roman" w:cs="Arial"/>
                <w:i/>
                <w:sz w:val="24"/>
                <w:szCs w:val="24"/>
              </w:rPr>
            </w:pPr>
            <w:r w:rsidRPr="00A635F2">
              <w:rPr>
                <w:rFonts w:eastAsia="Times New Roman" w:cs="Arial"/>
                <w:i/>
                <w:sz w:val="24"/>
                <w:szCs w:val="24"/>
              </w:rPr>
              <w:t>Produkcja energii cieplnej z nowych mocy wytwórczych instalacji wykorzystujących OZE</w:t>
            </w:r>
          </w:p>
        </w:tc>
        <w:tc>
          <w:tcPr>
            <w:tcW w:w="1276" w:type="dxa"/>
            <w:vAlign w:val="center"/>
          </w:tcPr>
          <w:p w14:paraId="5F55188E" w14:textId="77777777" w:rsidR="001F61B4" w:rsidRPr="00A635F2" w:rsidRDefault="001F61B4" w:rsidP="00CC562B">
            <w:pPr>
              <w:rPr>
                <w:rFonts w:cs="Arial"/>
                <w:sz w:val="24"/>
                <w:szCs w:val="24"/>
              </w:rPr>
            </w:pPr>
            <w:r w:rsidRPr="00A635F2">
              <w:rPr>
                <w:rFonts w:cs="Arial"/>
                <w:sz w:val="24"/>
                <w:szCs w:val="24"/>
              </w:rPr>
              <w:t>MWht/rok</w:t>
            </w:r>
          </w:p>
        </w:tc>
        <w:tc>
          <w:tcPr>
            <w:tcW w:w="1276" w:type="dxa"/>
            <w:vAlign w:val="center"/>
          </w:tcPr>
          <w:p w14:paraId="5E9BDE4B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rezultat</w:t>
            </w:r>
          </w:p>
        </w:tc>
        <w:tc>
          <w:tcPr>
            <w:tcW w:w="1275" w:type="dxa"/>
            <w:vAlign w:val="center"/>
          </w:tcPr>
          <w:p w14:paraId="1CABD3DE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kluczowy</w:t>
            </w:r>
          </w:p>
        </w:tc>
        <w:tc>
          <w:tcPr>
            <w:tcW w:w="1276" w:type="dxa"/>
            <w:vAlign w:val="center"/>
          </w:tcPr>
          <w:p w14:paraId="06EB9F5A" w14:textId="77777777" w:rsidR="001F61B4" w:rsidRPr="00A635F2" w:rsidRDefault="001F61B4" w:rsidP="00CC562B">
            <w:pPr>
              <w:spacing w:before="80" w:after="80"/>
              <w:rPr>
                <w:sz w:val="24"/>
                <w:szCs w:val="24"/>
              </w:rPr>
            </w:pPr>
            <w:r w:rsidRPr="00A635F2">
              <w:rPr>
                <w:sz w:val="24"/>
                <w:szCs w:val="24"/>
              </w:rPr>
              <w:t>-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4CFFE9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</w:rPr>
              <w:t xml:space="preserve">Wskaźnik mierzy roczną wielkość produkcji energii cieplnej z nowych mocy wytwórczych (istniejących instalacji) wykorzystujących odnawialne źródła energii. </w:t>
            </w:r>
          </w:p>
          <w:p w14:paraId="5D025AAB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Ciepło </w:t>
            </w:r>
            <w:r w:rsidRPr="00A635F2">
              <w:rPr>
                <w:rFonts w:asciiTheme="minorHAnsi" w:hAnsiTheme="minorHAnsi"/>
              </w:rPr>
              <w:t xml:space="preserve">– energia cieplna w wodzie gorącej, parze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w innych nośnikach (art. 3 pkt 2 ustawy z dnia 10 kwietnia 1997 r. Prawo energetyczne). </w:t>
            </w:r>
          </w:p>
          <w:p w14:paraId="3E5D47D5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Instalacja odnawialnego źródła energii </w:t>
            </w:r>
            <w:r w:rsidRPr="00A635F2">
              <w:rPr>
                <w:rFonts w:asciiTheme="minorHAnsi" w:hAnsiTheme="minorHAnsi"/>
              </w:rPr>
              <w:t xml:space="preserve">– instalacja stanowiąca wyodrębniony zespół: a) urządzeń służących do wytwarzania energii i wyprowadzania mocy, przyłączonych w jednym miejscu przyłączenia, w których energia elektryczna lub ciepło są wytwarzane z jednego rodzaju odnawialnych źródeł energii, a także magazyn energii elektrycznej przechowujący wytworzoną energię elektryczną, połączony z tym zespołem urządzeń lub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b) obiektów budowlanych i urządzeń stanowiących całość techniczno-użytkową służący do wytwarzania biogazu rolniczego, a także połączony z nimi magazyn biogazu rolniczego (art. 2 pkt 22 ustawy z dnia 20 lutego 2015 r.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o odnawialnych źródłach energii). </w:t>
            </w:r>
          </w:p>
          <w:p w14:paraId="1B999DEF" w14:textId="77777777" w:rsidR="001F61B4" w:rsidRPr="00A635F2" w:rsidRDefault="001F61B4" w:rsidP="00CC562B">
            <w:pPr>
              <w:pStyle w:val="Default"/>
              <w:spacing w:before="60" w:after="60"/>
              <w:rPr>
                <w:rFonts w:asciiTheme="minorHAnsi" w:hAnsiTheme="minorHAnsi"/>
              </w:rPr>
            </w:pPr>
            <w:r w:rsidRPr="00A635F2">
              <w:rPr>
                <w:rFonts w:asciiTheme="minorHAnsi" w:hAnsiTheme="minorHAnsi"/>
                <w:i/>
                <w:iCs/>
              </w:rPr>
              <w:t xml:space="preserve">Odnawialne źródło energii </w:t>
            </w:r>
            <w:r w:rsidRPr="00A635F2">
              <w:rPr>
                <w:rFonts w:asciiTheme="minorHAnsi" w:hAnsiTheme="minorHAnsi"/>
              </w:rPr>
              <w:t xml:space="preserve">– odnawialne, niekopalne źródła energii obejmujące energię wiatru, energię promieniowania słonecznego, energię aerotermalną, energię geotermalną, energię hydrotermalną, hydroenergię, energię fal, prądów i pływów morskich, energię otrzymywaną z biomasy, biogazu, biogazu rolniczego oraz z biopłynów (art. 2 pkt 22 ustawy z dnia </w:t>
            </w:r>
            <w:r>
              <w:rPr>
                <w:rFonts w:asciiTheme="minorHAnsi" w:hAnsiTheme="minorHAnsi"/>
              </w:rPr>
              <w:br/>
            </w:r>
            <w:r w:rsidRPr="00A635F2">
              <w:rPr>
                <w:rFonts w:asciiTheme="minorHAnsi" w:hAnsiTheme="minorHAnsi"/>
              </w:rPr>
              <w:t xml:space="preserve">20 lutego 2015 r. o odnawialnych źródłach energii). </w:t>
            </w:r>
          </w:p>
          <w:p w14:paraId="6F4C8E59" w14:textId="77777777" w:rsidR="001F61B4" w:rsidRPr="00A635F2" w:rsidRDefault="001F61B4" w:rsidP="00CC562B">
            <w:pPr>
              <w:rPr>
                <w:sz w:val="24"/>
                <w:szCs w:val="24"/>
              </w:rPr>
            </w:pPr>
            <w:r w:rsidRPr="00A635F2">
              <w:rPr>
                <w:i/>
                <w:iCs/>
                <w:sz w:val="24"/>
                <w:szCs w:val="24"/>
              </w:rPr>
              <w:t xml:space="preserve">Wytwarzanie </w:t>
            </w:r>
            <w:r w:rsidRPr="00A635F2">
              <w:rPr>
                <w:sz w:val="24"/>
                <w:szCs w:val="24"/>
              </w:rPr>
              <w:t>– produkcja paliw lub energii w procesie energetycznym (art. 3 pkt 45 ustawy z dnia 10 kwietnia 1997 r. Prawo energetyczne).</w:t>
            </w:r>
          </w:p>
          <w:p w14:paraId="66FDD2D5" w14:textId="77777777" w:rsidR="001F61B4" w:rsidRPr="00A635F2" w:rsidRDefault="001F61B4" w:rsidP="00CC562B">
            <w:pPr>
              <w:rPr>
                <w:i/>
                <w:color w:val="C00000"/>
                <w:sz w:val="24"/>
                <w:szCs w:val="24"/>
              </w:rPr>
            </w:pPr>
            <w:r w:rsidRPr="00A635F2">
              <w:rPr>
                <w:i/>
                <w:sz w:val="24"/>
                <w:szCs w:val="24"/>
              </w:rPr>
              <w:t>[Definicja opracowana przez IZ RPO WO 2014-2020]</w:t>
            </w:r>
          </w:p>
        </w:tc>
      </w:tr>
    </w:tbl>
    <w:p w14:paraId="11B388F2" w14:textId="77777777" w:rsidR="001F61B4" w:rsidRDefault="001F61B4" w:rsidP="001F61B4">
      <w:pPr>
        <w:spacing w:after="0" w:line="240" w:lineRule="auto"/>
        <w:jc w:val="both"/>
        <w:rPr>
          <w:b/>
          <w:sz w:val="20"/>
        </w:rPr>
      </w:pPr>
    </w:p>
    <w:p w14:paraId="2F996CBA" w14:textId="77777777" w:rsidR="003E1D5A" w:rsidRDefault="001F61B4" w:rsidP="001F61B4">
      <w:pPr>
        <w:spacing w:after="60"/>
        <w:rPr>
          <w:i/>
          <w:sz w:val="24"/>
        </w:rPr>
      </w:pPr>
      <w:r w:rsidRPr="00503B37">
        <w:rPr>
          <w:b/>
          <w:sz w:val="24"/>
        </w:rPr>
        <w:t>UWAGA:</w:t>
      </w:r>
      <w:r w:rsidRPr="00503B37">
        <w:rPr>
          <w:szCs w:val="18"/>
        </w:rPr>
        <w:t xml:space="preserve"> Dla wskaźników </w:t>
      </w:r>
      <w:r w:rsidRPr="00503B37">
        <w:rPr>
          <w:i/>
          <w:szCs w:val="18"/>
        </w:rPr>
        <w:t>Common Indicators</w:t>
      </w:r>
      <w:r w:rsidRPr="00503B37">
        <w:rPr>
          <w:rStyle w:val="Odwoanieprzypisudolnego"/>
          <w:szCs w:val="18"/>
        </w:rPr>
        <w:footnoteReference w:id="2"/>
      </w:r>
      <w:r w:rsidRPr="00503B37">
        <w:rPr>
          <w:i/>
          <w:szCs w:val="18"/>
        </w:rPr>
        <w:t xml:space="preserve"> </w:t>
      </w:r>
      <w:r w:rsidRPr="00503B37">
        <w:rPr>
          <w:szCs w:val="18"/>
        </w:rPr>
        <w:t>przedstawione definicje są roboczym tłumaczeniem IZ RPO WO 2014-2020. Oryginalne definicje (w języku angielskim) znajd</w:t>
      </w:r>
      <w:r>
        <w:rPr>
          <w:szCs w:val="18"/>
        </w:rPr>
        <w:t xml:space="preserve">ują się </w:t>
      </w:r>
      <w:r w:rsidRPr="00503B37">
        <w:rPr>
          <w:szCs w:val="18"/>
        </w:rPr>
        <w:t xml:space="preserve">w dokumencie </w:t>
      </w:r>
      <w:r w:rsidRPr="00503B37">
        <w:rPr>
          <w:i/>
          <w:szCs w:val="18"/>
        </w:rPr>
        <w:t xml:space="preserve">The programming period 2014-2020. </w:t>
      </w:r>
      <w:r w:rsidRPr="00503B37">
        <w:rPr>
          <w:i/>
          <w:szCs w:val="18"/>
          <w:lang w:val="en-US"/>
        </w:rPr>
        <w:t xml:space="preserve">Guidance document on monitoring and evaluation. European Cohesion Fund. European Regional Development Fund. </w:t>
      </w:r>
      <w:r w:rsidRPr="00503B37">
        <w:rPr>
          <w:i/>
          <w:szCs w:val="18"/>
        </w:rPr>
        <w:t>Concepts and Recommendations. March 2014</w:t>
      </w:r>
      <w:r w:rsidRPr="00503B37">
        <w:rPr>
          <w:szCs w:val="18"/>
        </w:rPr>
        <w:t>,</w:t>
      </w:r>
      <w:r w:rsidRPr="00503B37">
        <w:rPr>
          <w:i/>
          <w:szCs w:val="18"/>
        </w:rPr>
        <w:t xml:space="preserve"> </w:t>
      </w:r>
      <w:r w:rsidRPr="00503B37">
        <w:rPr>
          <w:szCs w:val="18"/>
        </w:rPr>
        <w:t xml:space="preserve">dostępnym na stronie internetowej Komisji Europejskiej: </w:t>
      </w:r>
      <w:hyperlink r:id="rId9" w:anchor="1" w:history="1">
        <w:r w:rsidRPr="00503B37">
          <w:rPr>
            <w:rStyle w:val="Hipercze"/>
            <w:i/>
            <w:szCs w:val="18"/>
          </w:rPr>
          <w:t>http://ec.europa.eu/regional_policy/pl/policy/evaluations/guidance/#1</w:t>
        </w:r>
      </w:hyperlink>
    </w:p>
    <w:p w14:paraId="2BECF9FB" w14:textId="77777777" w:rsidR="003E1D5A" w:rsidRDefault="003E1D5A" w:rsidP="00CE7C94">
      <w:pPr>
        <w:spacing w:after="60"/>
        <w:rPr>
          <w:i/>
          <w:sz w:val="24"/>
        </w:rPr>
      </w:pPr>
    </w:p>
    <w:p w14:paraId="3D3EE6EE" w14:textId="77777777" w:rsidR="003E1D5A" w:rsidRDefault="003E1D5A" w:rsidP="00CE7C94">
      <w:pPr>
        <w:spacing w:after="60"/>
        <w:rPr>
          <w:i/>
          <w:sz w:val="24"/>
        </w:rPr>
      </w:pPr>
    </w:p>
    <w:p w14:paraId="312DFCA6" w14:textId="77777777" w:rsidR="003E1D5A" w:rsidRPr="00A635F2" w:rsidRDefault="003E1D5A" w:rsidP="00CE7C94">
      <w:pPr>
        <w:spacing w:after="60"/>
        <w:rPr>
          <w:i/>
          <w:sz w:val="24"/>
        </w:rPr>
      </w:pPr>
    </w:p>
    <w:p w14:paraId="4C422B05" w14:textId="77777777" w:rsidR="001D3621" w:rsidRPr="00503B37" w:rsidRDefault="001D3621" w:rsidP="00E151AB">
      <w:pPr>
        <w:spacing w:after="0" w:line="240" w:lineRule="auto"/>
        <w:jc w:val="both"/>
        <w:rPr>
          <w:szCs w:val="18"/>
        </w:rPr>
      </w:pPr>
    </w:p>
    <w:sectPr w:rsidR="001D3621" w:rsidRPr="00503B37" w:rsidSect="00E151AB">
      <w:footerReference w:type="default" r:id="rId10"/>
      <w:headerReference w:type="first" r:id="rId11"/>
      <w:pgSz w:w="16838" w:h="11906" w:orient="landscape"/>
      <w:pgMar w:top="1418" w:right="962" w:bottom="1276" w:left="1418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8E230" w14:textId="77777777" w:rsidR="0029567E" w:rsidRDefault="0029567E" w:rsidP="00A11280">
      <w:pPr>
        <w:spacing w:after="0" w:line="240" w:lineRule="auto"/>
      </w:pPr>
      <w:r>
        <w:separator/>
      </w:r>
    </w:p>
  </w:endnote>
  <w:endnote w:type="continuationSeparator" w:id="0">
    <w:p w14:paraId="5D681747" w14:textId="77777777" w:rsidR="0029567E" w:rsidRDefault="0029567E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286665848"/>
      <w:docPartObj>
        <w:docPartGallery w:val="Page Numbers (Bottom of Page)"/>
        <w:docPartUnique/>
      </w:docPartObj>
    </w:sdtPr>
    <w:sdtEndPr/>
    <w:sdtContent>
      <w:p w14:paraId="7BCA58DF" w14:textId="77777777" w:rsidR="00354DFA" w:rsidRPr="00D47A5A" w:rsidRDefault="00354DFA">
        <w:pPr>
          <w:pStyle w:val="Stopka"/>
          <w:jc w:val="center"/>
          <w:rPr>
            <w:sz w:val="20"/>
          </w:rPr>
        </w:pPr>
        <w:r w:rsidRPr="00D47A5A">
          <w:rPr>
            <w:sz w:val="20"/>
          </w:rPr>
          <w:fldChar w:fldCharType="begin"/>
        </w:r>
        <w:r w:rsidRPr="00D47A5A">
          <w:rPr>
            <w:sz w:val="20"/>
          </w:rPr>
          <w:instrText xml:space="preserve"> PAGE   \* MERGEFORMAT </w:instrText>
        </w:r>
        <w:r w:rsidRPr="00D47A5A">
          <w:rPr>
            <w:sz w:val="20"/>
          </w:rPr>
          <w:fldChar w:fldCharType="separate"/>
        </w:r>
        <w:r w:rsidR="00844F91">
          <w:rPr>
            <w:noProof/>
            <w:sz w:val="20"/>
          </w:rPr>
          <w:t>23</w:t>
        </w:r>
        <w:r w:rsidRPr="00D47A5A">
          <w:rPr>
            <w:sz w:val="20"/>
          </w:rPr>
          <w:fldChar w:fldCharType="end"/>
        </w:r>
      </w:p>
    </w:sdtContent>
  </w:sdt>
  <w:p w14:paraId="1CC05FEB" w14:textId="77777777" w:rsidR="00354DFA" w:rsidRDefault="00354D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3E79" w14:textId="77777777" w:rsidR="0029567E" w:rsidRDefault="0029567E" w:rsidP="00A11280">
      <w:pPr>
        <w:spacing w:after="0" w:line="240" w:lineRule="auto"/>
      </w:pPr>
      <w:r>
        <w:separator/>
      </w:r>
    </w:p>
  </w:footnote>
  <w:footnote w:type="continuationSeparator" w:id="0">
    <w:p w14:paraId="06EBEDE7" w14:textId="77777777" w:rsidR="0029567E" w:rsidRDefault="0029567E" w:rsidP="00A11280">
      <w:pPr>
        <w:spacing w:after="0" w:line="240" w:lineRule="auto"/>
      </w:pPr>
      <w:r>
        <w:continuationSeparator/>
      </w:r>
    </w:p>
  </w:footnote>
  <w:footnote w:id="1">
    <w:p w14:paraId="6669B199" w14:textId="77777777" w:rsidR="001F61B4" w:rsidRPr="002D13CE" w:rsidRDefault="001F61B4" w:rsidP="001F61B4">
      <w:pPr>
        <w:pStyle w:val="Tekstprzypisudolnego"/>
        <w:rPr>
          <w:sz w:val="24"/>
          <w:szCs w:val="24"/>
        </w:rPr>
      </w:pPr>
      <w:r w:rsidRPr="002D13CE">
        <w:rPr>
          <w:rStyle w:val="Odwoanieprzypisudolnego"/>
          <w:sz w:val="24"/>
          <w:szCs w:val="24"/>
        </w:rPr>
        <w:footnoteRef/>
      </w:r>
      <w:r w:rsidRPr="002D13CE">
        <w:rPr>
          <w:sz w:val="24"/>
          <w:szCs w:val="24"/>
        </w:rPr>
        <w:t xml:space="preserve"> Wskaźniki 5, 5a i 5b nie dotyczą działania 1.2 </w:t>
      </w:r>
      <w:r w:rsidRPr="002D13CE">
        <w:rPr>
          <w:i/>
          <w:sz w:val="24"/>
          <w:szCs w:val="24"/>
        </w:rPr>
        <w:t xml:space="preserve">Infrastruktura B + R </w:t>
      </w:r>
      <w:r w:rsidRPr="002D13CE">
        <w:rPr>
          <w:sz w:val="24"/>
          <w:szCs w:val="24"/>
        </w:rPr>
        <w:t xml:space="preserve">oraz działania 6.1 </w:t>
      </w:r>
      <w:r w:rsidRPr="002D13CE">
        <w:rPr>
          <w:i/>
          <w:sz w:val="24"/>
          <w:szCs w:val="24"/>
        </w:rPr>
        <w:t xml:space="preserve">Infrastruktura drogowa </w:t>
      </w:r>
      <w:r w:rsidRPr="002D13CE">
        <w:rPr>
          <w:sz w:val="24"/>
          <w:szCs w:val="24"/>
        </w:rPr>
        <w:t>RPO WO 2014-2020</w:t>
      </w:r>
    </w:p>
  </w:footnote>
  <w:footnote w:id="2">
    <w:p w14:paraId="7FCF2E58" w14:textId="77777777" w:rsidR="001F61B4" w:rsidRPr="00E2020C" w:rsidRDefault="001F61B4" w:rsidP="001F61B4">
      <w:pPr>
        <w:pStyle w:val="Tekstprzypisudolnego"/>
        <w:jc w:val="both"/>
        <w:rPr>
          <w:sz w:val="24"/>
          <w:szCs w:val="24"/>
        </w:rPr>
      </w:pPr>
      <w:r w:rsidRPr="00E2020C">
        <w:rPr>
          <w:rStyle w:val="Odwoanieprzypisudolnego"/>
          <w:sz w:val="24"/>
          <w:szCs w:val="24"/>
        </w:rPr>
        <w:footnoteRef/>
      </w:r>
      <w:r w:rsidRPr="00E2020C">
        <w:rPr>
          <w:sz w:val="24"/>
          <w:szCs w:val="24"/>
        </w:rPr>
        <w:t xml:space="preserve"> Są to wskaźniki określone w Załączniku I do </w:t>
      </w:r>
      <w:r w:rsidRPr="00E2020C">
        <w:rPr>
          <w:i/>
          <w:sz w:val="24"/>
          <w:szCs w:val="24"/>
        </w:rPr>
        <w:t xml:space="preserve">Rozporządzenia Parlamentu Europejskiego i Rady (UE) nr 1301/2013 z dnia 13 grudnia 2013 r. w sprawie Europejskiego Funduszu Rozwoju Regionalnego i przepisów szczególnych dotyczących celu „Inwestycje na rzecz wzrostu i zatrudnienia” oraz w sprawie uchylenia rozporządzenia (WE) nr 1080/2006.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3BABE" w14:textId="77777777" w:rsidR="00BD3CDD" w:rsidRDefault="00F95762" w:rsidP="00BD3CDD">
    <w:pPr>
      <w:spacing w:after="0" w:line="240" w:lineRule="auto"/>
      <w:ind w:right="-284"/>
      <w:jc w:val="right"/>
      <w:rPr>
        <w:rFonts w:cs="Calibri"/>
        <w:i/>
        <w:sz w:val="20"/>
        <w:szCs w:val="20"/>
      </w:rPr>
    </w:pPr>
    <w:r>
      <w:rPr>
        <w:b/>
        <w:i/>
        <w:sz w:val="20"/>
      </w:rPr>
      <w:t xml:space="preserve"> </w:t>
    </w:r>
    <w:r w:rsidR="00BD3CDD">
      <w:rPr>
        <w:b/>
        <w:i/>
        <w:sz w:val="20"/>
      </w:rPr>
      <w:t xml:space="preserve">Załącznik nr 8  </w:t>
    </w:r>
    <w:r w:rsidR="00BD3CDD">
      <w:rPr>
        <w:i/>
        <w:sz w:val="20"/>
      </w:rPr>
      <w:t>do Regulaminu konkursu</w:t>
    </w:r>
  </w:p>
  <w:p w14:paraId="6AEFC4A4" w14:textId="77777777" w:rsidR="00BD3CDD" w:rsidRDefault="00BD3CDD" w:rsidP="00BD3CDD">
    <w:pPr>
      <w:spacing w:after="0" w:line="240" w:lineRule="auto"/>
      <w:ind w:right="-313"/>
      <w:jc w:val="right"/>
      <w:rPr>
        <w:i/>
        <w:sz w:val="20"/>
        <w:szCs w:val="20"/>
      </w:rPr>
    </w:pPr>
    <w:r>
      <w:rPr>
        <w:i/>
        <w:sz w:val="20"/>
      </w:rPr>
      <w:t>Poddziałanie 3.2.1 Efektywność energ</w:t>
    </w:r>
    <w:r w:rsidR="00F95762">
      <w:rPr>
        <w:i/>
        <w:sz w:val="20"/>
      </w:rPr>
      <w:t>etyczna w budynkach publicznych</w:t>
    </w:r>
  </w:p>
  <w:p w14:paraId="0B57BB92" w14:textId="77777777" w:rsidR="00F95762" w:rsidRPr="0006704E" w:rsidRDefault="00F95762" w:rsidP="00F95762">
    <w:pPr>
      <w:spacing w:after="0" w:line="240" w:lineRule="auto"/>
      <w:ind w:right="-284"/>
      <w:jc w:val="right"/>
      <w:rPr>
        <w:i/>
        <w:sz w:val="18"/>
        <w:szCs w:val="20"/>
      </w:rPr>
    </w:pPr>
    <w:r>
      <w:rPr>
        <w:i/>
        <w:sz w:val="18"/>
        <w:szCs w:val="20"/>
      </w:rPr>
      <w:t xml:space="preserve">         dla Subregionu Północnego</w:t>
    </w:r>
    <w:r w:rsidRPr="00F65B33">
      <w:rPr>
        <w:i/>
        <w:sz w:val="18"/>
        <w:szCs w:val="20"/>
      </w:rPr>
      <w:t xml:space="preserve"> </w:t>
    </w:r>
    <w:r>
      <w:rPr>
        <w:i/>
        <w:sz w:val="18"/>
        <w:szCs w:val="20"/>
      </w:rPr>
      <w:t>RPO WO 2014-2020</w:t>
    </w:r>
  </w:p>
  <w:p w14:paraId="13395175" w14:textId="6859CFA8" w:rsidR="00BD3CDD" w:rsidRPr="00C9633D" w:rsidRDefault="00F95762" w:rsidP="00C9633D">
    <w:pPr>
      <w:spacing w:after="0" w:line="240" w:lineRule="auto"/>
      <w:ind w:right="-313"/>
      <w:jc w:val="right"/>
      <w:rPr>
        <w:i/>
        <w:sz w:val="20"/>
        <w:szCs w:val="20"/>
      </w:rPr>
    </w:pPr>
    <w:r>
      <w:rPr>
        <w:i/>
        <w:sz w:val="20"/>
      </w:rPr>
      <w:t>Wersja nr 1, lipiec 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3400"/>
    <w:multiLevelType w:val="hybridMultilevel"/>
    <w:tmpl w:val="251E3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5F02"/>
    <w:multiLevelType w:val="hybridMultilevel"/>
    <w:tmpl w:val="3F40CF4C"/>
    <w:lvl w:ilvl="0" w:tplc="8F343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5D93"/>
    <w:multiLevelType w:val="hybridMultilevel"/>
    <w:tmpl w:val="3BDA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7924"/>
    <w:multiLevelType w:val="hybridMultilevel"/>
    <w:tmpl w:val="8850CCB6"/>
    <w:lvl w:ilvl="0" w:tplc="D6C83EB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13B9"/>
    <w:multiLevelType w:val="hybridMultilevel"/>
    <w:tmpl w:val="544A21C4"/>
    <w:lvl w:ilvl="0" w:tplc="6A64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F3C"/>
    <w:multiLevelType w:val="hybridMultilevel"/>
    <w:tmpl w:val="202EE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1222"/>
    <w:multiLevelType w:val="hybridMultilevel"/>
    <w:tmpl w:val="C1E2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3357"/>
    <w:multiLevelType w:val="hybridMultilevel"/>
    <w:tmpl w:val="C0FAE4B6"/>
    <w:lvl w:ilvl="0" w:tplc="D3E81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765"/>
    <w:multiLevelType w:val="hybridMultilevel"/>
    <w:tmpl w:val="CB02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2B65"/>
    <w:multiLevelType w:val="hybridMultilevel"/>
    <w:tmpl w:val="E6A83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F80"/>
    <w:multiLevelType w:val="hybridMultilevel"/>
    <w:tmpl w:val="CB2CD416"/>
    <w:lvl w:ilvl="0" w:tplc="BD88C1D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F764E"/>
    <w:multiLevelType w:val="hybridMultilevel"/>
    <w:tmpl w:val="5D96A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910BA"/>
    <w:multiLevelType w:val="hybridMultilevel"/>
    <w:tmpl w:val="E50C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55FE5"/>
    <w:multiLevelType w:val="hybridMultilevel"/>
    <w:tmpl w:val="4A90F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952"/>
    <w:multiLevelType w:val="hybridMultilevel"/>
    <w:tmpl w:val="6AB0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16DC0"/>
    <w:multiLevelType w:val="hybridMultilevel"/>
    <w:tmpl w:val="7DAC8F4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9515398"/>
    <w:multiLevelType w:val="hybridMultilevel"/>
    <w:tmpl w:val="6AB0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F62"/>
    <w:multiLevelType w:val="hybridMultilevel"/>
    <w:tmpl w:val="2AF2E0A4"/>
    <w:lvl w:ilvl="0" w:tplc="7A36CC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95BFA"/>
    <w:multiLevelType w:val="hybridMultilevel"/>
    <w:tmpl w:val="811C8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34991"/>
    <w:multiLevelType w:val="hybridMultilevel"/>
    <w:tmpl w:val="DF52E54C"/>
    <w:lvl w:ilvl="0" w:tplc="2DEAC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57E86"/>
    <w:multiLevelType w:val="hybridMultilevel"/>
    <w:tmpl w:val="7C1C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446DF"/>
    <w:multiLevelType w:val="hybridMultilevel"/>
    <w:tmpl w:val="2290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95CDE"/>
    <w:multiLevelType w:val="hybridMultilevel"/>
    <w:tmpl w:val="0C00DE92"/>
    <w:lvl w:ilvl="0" w:tplc="8F343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1093"/>
    <w:multiLevelType w:val="hybridMultilevel"/>
    <w:tmpl w:val="DFCE6316"/>
    <w:lvl w:ilvl="0" w:tplc="ABEC2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6FC8"/>
    <w:multiLevelType w:val="hybridMultilevel"/>
    <w:tmpl w:val="06B46B00"/>
    <w:lvl w:ilvl="0" w:tplc="7FD81E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D495D"/>
    <w:multiLevelType w:val="hybridMultilevel"/>
    <w:tmpl w:val="71D6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7"/>
  </w:num>
  <w:num w:numId="4">
    <w:abstractNumId w:val="24"/>
  </w:num>
  <w:num w:numId="5">
    <w:abstractNumId w:val="23"/>
  </w:num>
  <w:num w:numId="6">
    <w:abstractNumId w:val="21"/>
  </w:num>
  <w:num w:numId="7">
    <w:abstractNumId w:val="18"/>
  </w:num>
  <w:num w:numId="8">
    <w:abstractNumId w:val="10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0"/>
  </w:num>
  <w:num w:numId="16">
    <w:abstractNumId w:val="15"/>
  </w:num>
  <w:num w:numId="17">
    <w:abstractNumId w:val="6"/>
  </w:num>
  <w:num w:numId="18">
    <w:abstractNumId w:val="11"/>
  </w:num>
  <w:num w:numId="19">
    <w:abstractNumId w:val="2"/>
  </w:num>
  <w:num w:numId="20">
    <w:abstractNumId w:val="9"/>
  </w:num>
  <w:num w:numId="21">
    <w:abstractNumId w:val="20"/>
  </w:num>
  <w:num w:numId="22">
    <w:abstractNumId w:val="13"/>
  </w:num>
  <w:num w:numId="23">
    <w:abstractNumId w:val="1"/>
  </w:num>
  <w:num w:numId="24">
    <w:abstractNumId w:val="14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1"/>
    <w:rsid w:val="00002989"/>
    <w:rsid w:val="000033D5"/>
    <w:rsid w:val="00003A52"/>
    <w:rsid w:val="00005649"/>
    <w:rsid w:val="00006354"/>
    <w:rsid w:val="00007B56"/>
    <w:rsid w:val="00011494"/>
    <w:rsid w:val="00011B8E"/>
    <w:rsid w:val="000121E3"/>
    <w:rsid w:val="000138D0"/>
    <w:rsid w:val="00015583"/>
    <w:rsid w:val="00015DEA"/>
    <w:rsid w:val="000168FD"/>
    <w:rsid w:val="0001705E"/>
    <w:rsid w:val="0002289B"/>
    <w:rsid w:val="00031554"/>
    <w:rsid w:val="000319A0"/>
    <w:rsid w:val="0003254D"/>
    <w:rsid w:val="00033A13"/>
    <w:rsid w:val="00033DB6"/>
    <w:rsid w:val="00035BDD"/>
    <w:rsid w:val="00035EA1"/>
    <w:rsid w:val="000361F6"/>
    <w:rsid w:val="00041C35"/>
    <w:rsid w:val="000513EE"/>
    <w:rsid w:val="0005308B"/>
    <w:rsid w:val="00055EE7"/>
    <w:rsid w:val="00056BBD"/>
    <w:rsid w:val="00057063"/>
    <w:rsid w:val="00057CCC"/>
    <w:rsid w:val="00062C8B"/>
    <w:rsid w:val="00063C1C"/>
    <w:rsid w:val="00063E65"/>
    <w:rsid w:val="000653E0"/>
    <w:rsid w:val="00070958"/>
    <w:rsid w:val="00083072"/>
    <w:rsid w:val="00083B3C"/>
    <w:rsid w:val="00086315"/>
    <w:rsid w:val="000908A9"/>
    <w:rsid w:val="00092958"/>
    <w:rsid w:val="000A0476"/>
    <w:rsid w:val="000A15B3"/>
    <w:rsid w:val="000A34FA"/>
    <w:rsid w:val="000A4AD5"/>
    <w:rsid w:val="000A5A30"/>
    <w:rsid w:val="000A5C5F"/>
    <w:rsid w:val="000B2A7F"/>
    <w:rsid w:val="000B6D33"/>
    <w:rsid w:val="000C10F8"/>
    <w:rsid w:val="000C3CA1"/>
    <w:rsid w:val="000C624D"/>
    <w:rsid w:val="000C7B3F"/>
    <w:rsid w:val="000D0CAC"/>
    <w:rsid w:val="000D1802"/>
    <w:rsid w:val="000D4701"/>
    <w:rsid w:val="000D53AC"/>
    <w:rsid w:val="000D589C"/>
    <w:rsid w:val="000E1053"/>
    <w:rsid w:val="000E32BE"/>
    <w:rsid w:val="000E521A"/>
    <w:rsid w:val="000E5944"/>
    <w:rsid w:val="000E67E8"/>
    <w:rsid w:val="000E7D3B"/>
    <w:rsid w:val="000F6829"/>
    <w:rsid w:val="000F7226"/>
    <w:rsid w:val="00104C40"/>
    <w:rsid w:val="00107890"/>
    <w:rsid w:val="00112769"/>
    <w:rsid w:val="001137A4"/>
    <w:rsid w:val="00113F1F"/>
    <w:rsid w:val="001140C9"/>
    <w:rsid w:val="00114285"/>
    <w:rsid w:val="00114A0B"/>
    <w:rsid w:val="00116F45"/>
    <w:rsid w:val="001208AF"/>
    <w:rsid w:val="001304E2"/>
    <w:rsid w:val="00136E1A"/>
    <w:rsid w:val="00137AD2"/>
    <w:rsid w:val="00140962"/>
    <w:rsid w:val="00140E83"/>
    <w:rsid w:val="00142E61"/>
    <w:rsid w:val="00143417"/>
    <w:rsid w:val="00144712"/>
    <w:rsid w:val="001455D7"/>
    <w:rsid w:val="00151AFA"/>
    <w:rsid w:val="00152204"/>
    <w:rsid w:val="001534AE"/>
    <w:rsid w:val="0015374E"/>
    <w:rsid w:val="00153BE9"/>
    <w:rsid w:val="00157848"/>
    <w:rsid w:val="00157AE4"/>
    <w:rsid w:val="00157ED6"/>
    <w:rsid w:val="001657A9"/>
    <w:rsid w:val="0016785D"/>
    <w:rsid w:val="0017178D"/>
    <w:rsid w:val="00173EA5"/>
    <w:rsid w:val="00174162"/>
    <w:rsid w:val="0018193C"/>
    <w:rsid w:val="0018259B"/>
    <w:rsid w:val="00195DF3"/>
    <w:rsid w:val="00195E0A"/>
    <w:rsid w:val="001A2230"/>
    <w:rsid w:val="001A32D2"/>
    <w:rsid w:val="001A7097"/>
    <w:rsid w:val="001C0B0B"/>
    <w:rsid w:val="001D264C"/>
    <w:rsid w:val="001D2995"/>
    <w:rsid w:val="001D2DFD"/>
    <w:rsid w:val="001D3621"/>
    <w:rsid w:val="001D577F"/>
    <w:rsid w:val="001D5EF7"/>
    <w:rsid w:val="001E3C79"/>
    <w:rsid w:val="001E4C2E"/>
    <w:rsid w:val="001F61B4"/>
    <w:rsid w:val="002000C8"/>
    <w:rsid w:val="00203C38"/>
    <w:rsid w:val="0020483D"/>
    <w:rsid w:val="00205B59"/>
    <w:rsid w:val="00205CB0"/>
    <w:rsid w:val="00207688"/>
    <w:rsid w:val="00207D6F"/>
    <w:rsid w:val="00215234"/>
    <w:rsid w:val="002165B4"/>
    <w:rsid w:val="002165FB"/>
    <w:rsid w:val="00216A64"/>
    <w:rsid w:val="002174D7"/>
    <w:rsid w:val="00223C52"/>
    <w:rsid w:val="00223F9A"/>
    <w:rsid w:val="00225398"/>
    <w:rsid w:val="0022603F"/>
    <w:rsid w:val="00227418"/>
    <w:rsid w:val="0022788D"/>
    <w:rsid w:val="00231CD3"/>
    <w:rsid w:val="00235E84"/>
    <w:rsid w:val="00237CA0"/>
    <w:rsid w:val="00241BB5"/>
    <w:rsid w:val="002444C3"/>
    <w:rsid w:val="0024586C"/>
    <w:rsid w:val="00246DE0"/>
    <w:rsid w:val="00250FC1"/>
    <w:rsid w:val="0025416E"/>
    <w:rsid w:val="00255D75"/>
    <w:rsid w:val="0025693C"/>
    <w:rsid w:val="002619FC"/>
    <w:rsid w:val="00261C22"/>
    <w:rsid w:val="00270DF7"/>
    <w:rsid w:val="00271825"/>
    <w:rsid w:val="00272A56"/>
    <w:rsid w:val="00273954"/>
    <w:rsid w:val="00274732"/>
    <w:rsid w:val="00274A5D"/>
    <w:rsid w:val="00281EF9"/>
    <w:rsid w:val="00286A51"/>
    <w:rsid w:val="00286FEE"/>
    <w:rsid w:val="00291F0A"/>
    <w:rsid w:val="0029214E"/>
    <w:rsid w:val="0029232B"/>
    <w:rsid w:val="00292A71"/>
    <w:rsid w:val="00293876"/>
    <w:rsid w:val="0029567E"/>
    <w:rsid w:val="002A05B4"/>
    <w:rsid w:val="002A05D6"/>
    <w:rsid w:val="002A2D17"/>
    <w:rsid w:val="002A3708"/>
    <w:rsid w:val="002A4294"/>
    <w:rsid w:val="002A5161"/>
    <w:rsid w:val="002A5F7F"/>
    <w:rsid w:val="002B6EAB"/>
    <w:rsid w:val="002B74DE"/>
    <w:rsid w:val="002C02F8"/>
    <w:rsid w:val="002C166D"/>
    <w:rsid w:val="002D13CE"/>
    <w:rsid w:val="002D1FFD"/>
    <w:rsid w:val="002E195D"/>
    <w:rsid w:val="002E41A2"/>
    <w:rsid w:val="002E44DF"/>
    <w:rsid w:val="002E46F4"/>
    <w:rsid w:val="002F24F9"/>
    <w:rsid w:val="002F3149"/>
    <w:rsid w:val="002F33BC"/>
    <w:rsid w:val="00304C75"/>
    <w:rsid w:val="003073B4"/>
    <w:rsid w:val="00307EDB"/>
    <w:rsid w:val="003139D0"/>
    <w:rsid w:val="00320459"/>
    <w:rsid w:val="003317C9"/>
    <w:rsid w:val="0033221C"/>
    <w:rsid w:val="00335B0D"/>
    <w:rsid w:val="00341144"/>
    <w:rsid w:val="003414F1"/>
    <w:rsid w:val="00342EC8"/>
    <w:rsid w:val="00350F73"/>
    <w:rsid w:val="0035163A"/>
    <w:rsid w:val="00354DFA"/>
    <w:rsid w:val="00355D2E"/>
    <w:rsid w:val="00357688"/>
    <w:rsid w:val="0036037A"/>
    <w:rsid w:val="003612BE"/>
    <w:rsid w:val="00365665"/>
    <w:rsid w:val="00367BF2"/>
    <w:rsid w:val="00370247"/>
    <w:rsid w:val="00370E0C"/>
    <w:rsid w:val="00377C57"/>
    <w:rsid w:val="003814B8"/>
    <w:rsid w:val="00386AE6"/>
    <w:rsid w:val="00392470"/>
    <w:rsid w:val="00392E28"/>
    <w:rsid w:val="00394920"/>
    <w:rsid w:val="00396A00"/>
    <w:rsid w:val="003A0EBC"/>
    <w:rsid w:val="003A1F2D"/>
    <w:rsid w:val="003B30A8"/>
    <w:rsid w:val="003B3940"/>
    <w:rsid w:val="003B4F9A"/>
    <w:rsid w:val="003C02D6"/>
    <w:rsid w:val="003C3F38"/>
    <w:rsid w:val="003C6DBA"/>
    <w:rsid w:val="003D2FB7"/>
    <w:rsid w:val="003D3C8E"/>
    <w:rsid w:val="003D4DB5"/>
    <w:rsid w:val="003E1D5A"/>
    <w:rsid w:val="003E24A3"/>
    <w:rsid w:val="003E6FA5"/>
    <w:rsid w:val="003F1C14"/>
    <w:rsid w:val="003F6F05"/>
    <w:rsid w:val="003F72FA"/>
    <w:rsid w:val="0040005D"/>
    <w:rsid w:val="004013E2"/>
    <w:rsid w:val="00401E7A"/>
    <w:rsid w:val="0041762F"/>
    <w:rsid w:val="00423636"/>
    <w:rsid w:val="00423AD3"/>
    <w:rsid w:val="0042589E"/>
    <w:rsid w:val="00433964"/>
    <w:rsid w:val="00436C1C"/>
    <w:rsid w:val="004456DF"/>
    <w:rsid w:val="0044584A"/>
    <w:rsid w:val="00447214"/>
    <w:rsid w:val="00447566"/>
    <w:rsid w:val="004515CA"/>
    <w:rsid w:val="004578AB"/>
    <w:rsid w:val="00460BDF"/>
    <w:rsid w:val="00461960"/>
    <w:rsid w:val="004620F2"/>
    <w:rsid w:val="004659A1"/>
    <w:rsid w:val="00465E01"/>
    <w:rsid w:val="00471C14"/>
    <w:rsid w:val="00472925"/>
    <w:rsid w:val="004778B0"/>
    <w:rsid w:val="00477BEF"/>
    <w:rsid w:val="004804E3"/>
    <w:rsid w:val="0048092C"/>
    <w:rsid w:val="00482E2D"/>
    <w:rsid w:val="00485CA1"/>
    <w:rsid w:val="0048606E"/>
    <w:rsid w:val="00490DAA"/>
    <w:rsid w:val="004932C9"/>
    <w:rsid w:val="00495F8C"/>
    <w:rsid w:val="0049696C"/>
    <w:rsid w:val="00497185"/>
    <w:rsid w:val="004A0D76"/>
    <w:rsid w:val="004A2391"/>
    <w:rsid w:val="004A6707"/>
    <w:rsid w:val="004B158F"/>
    <w:rsid w:val="004B3AB1"/>
    <w:rsid w:val="004B6AE1"/>
    <w:rsid w:val="004B7BA6"/>
    <w:rsid w:val="004C3662"/>
    <w:rsid w:val="004D3FEA"/>
    <w:rsid w:val="004D48D9"/>
    <w:rsid w:val="004E1993"/>
    <w:rsid w:val="004E311C"/>
    <w:rsid w:val="004E5215"/>
    <w:rsid w:val="004E53E9"/>
    <w:rsid w:val="004E5F90"/>
    <w:rsid w:val="004F4063"/>
    <w:rsid w:val="004F6E63"/>
    <w:rsid w:val="004F6F1C"/>
    <w:rsid w:val="004F7079"/>
    <w:rsid w:val="004F79CB"/>
    <w:rsid w:val="00502D55"/>
    <w:rsid w:val="00503B37"/>
    <w:rsid w:val="005046F5"/>
    <w:rsid w:val="005111F8"/>
    <w:rsid w:val="00512467"/>
    <w:rsid w:val="00514EDC"/>
    <w:rsid w:val="00517B7D"/>
    <w:rsid w:val="00520916"/>
    <w:rsid w:val="005213CE"/>
    <w:rsid w:val="00530513"/>
    <w:rsid w:val="00540C82"/>
    <w:rsid w:val="00541616"/>
    <w:rsid w:val="005425C2"/>
    <w:rsid w:val="005436B1"/>
    <w:rsid w:val="00543EC3"/>
    <w:rsid w:val="0054723E"/>
    <w:rsid w:val="00552E0D"/>
    <w:rsid w:val="0056038C"/>
    <w:rsid w:val="00562F75"/>
    <w:rsid w:val="00566264"/>
    <w:rsid w:val="00566E22"/>
    <w:rsid w:val="0057438E"/>
    <w:rsid w:val="00575609"/>
    <w:rsid w:val="00576345"/>
    <w:rsid w:val="00582F36"/>
    <w:rsid w:val="00584FD2"/>
    <w:rsid w:val="005870AE"/>
    <w:rsid w:val="00587391"/>
    <w:rsid w:val="005900E5"/>
    <w:rsid w:val="0059335E"/>
    <w:rsid w:val="00594165"/>
    <w:rsid w:val="00596D0D"/>
    <w:rsid w:val="005A14CC"/>
    <w:rsid w:val="005A482D"/>
    <w:rsid w:val="005A6868"/>
    <w:rsid w:val="005B053A"/>
    <w:rsid w:val="005B10D2"/>
    <w:rsid w:val="005B1FDC"/>
    <w:rsid w:val="005B23E6"/>
    <w:rsid w:val="005C2170"/>
    <w:rsid w:val="005C418D"/>
    <w:rsid w:val="005D05E1"/>
    <w:rsid w:val="005D30DE"/>
    <w:rsid w:val="005D7AA5"/>
    <w:rsid w:val="005E2761"/>
    <w:rsid w:val="005E27C3"/>
    <w:rsid w:val="005E30B8"/>
    <w:rsid w:val="005E3578"/>
    <w:rsid w:val="005E7406"/>
    <w:rsid w:val="005F112B"/>
    <w:rsid w:val="005F1948"/>
    <w:rsid w:val="005F64F6"/>
    <w:rsid w:val="005F6616"/>
    <w:rsid w:val="00601958"/>
    <w:rsid w:val="00601A79"/>
    <w:rsid w:val="00601E76"/>
    <w:rsid w:val="00611F30"/>
    <w:rsid w:val="00612750"/>
    <w:rsid w:val="00617E85"/>
    <w:rsid w:val="00625468"/>
    <w:rsid w:val="00627DDB"/>
    <w:rsid w:val="0063106F"/>
    <w:rsid w:val="0063254B"/>
    <w:rsid w:val="00634266"/>
    <w:rsid w:val="00635E43"/>
    <w:rsid w:val="00640991"/>
    <w:rsid w:val="0064192E"/>
    <w:rsid w:val="00641F8D"/>
    <w:rsid w:val="00646646"/>
    <w:rsid w:val="0065404E"/>
    <w:rsid w:val="0065674B"/>
    <w:rsid w:val="00657EC9"/>
    <w:rsid w:val="006621DF"/>
    <w:rsid w:val="00662786"/>
    <w:rsid w:val="00662B00"/>
    <w:rsid w:val="00670B55"/>
    <w:rsid w:val="0067220D"/>
    <w:rsid w:val="006733B1"/>
    <w:rsid w:val="0067563E"/>
    <w:rsid w:val="00677E9F"/>
    <w:rsid w:val="00682236"/>
    <w:rsid w:val="0068373D"/>
    <w:rsid w:val="00685D96"/>
    <w:rsid w:val="00687E5A"/>
    <w:rsid w:val="00691091"/>
    <w:rsid w:val="00691C14"/>
    <w:rsid w:val="006A1730"/>
    <w:rsid w:val="006A3A60"/>
    <w:rsid w:val="006A44E5"/>
    <w:rsid w:val="006A6510"/>
    <w:rsid w:val="006A7698"/>
    <w:rsid w:val="006A7E5A"/>
    <w:rsid w:val="006B0AD6"/>
    <w:rsid w:val="006B0EDE"/>
    <w:rsid w:val="006B13AA"/>
    <w:rsid w:val="006B2936"/>
    <w:rsid w:val="006B6D0A"/>
    <w:rsid w:val="006B6E11"/>
    <w:rsid w:val="006B6E44"/>
    <w:rsid w:val="006C1039"/>
    <w:rsid w:val="006C178D"/>
    <w:rsid w:val="006C452F"/>
    <w:rsid w:val="006C54F1"/>
    <w:rsid w:val="006C7F25"/>
    <w:rsid w:val="006D162A"/>
    <w:rsid w:val="006D307B"/>
    <w:rsid w:val="006D6C70"/>
    <w:rsid w:val="006F1B2C"/>
    <w:rsid w:val="006F42E6"/>
    <w:rsid w:val="006F57DD"/>
    <w:rsid w:val="006F5963"/>
    <w:rsid w:val="00700637"/>
    <w:rsid w:val="00702EF1"/>
    <w:rsid w:val="007048A7"/>
    <w:rsid w:val="007055BC"/>
    <w:rsid w:val="00706A63"/>
    <w:rsid w:val="00707207"/>
    <w:rsid w:val="00707B16"/>
    <w:rsid w:val="007109A7"/>
    <w:rsid w:val="00711603"/>
    <w:rsid w:val="00712637"/>
    <w:rsid w:val="007132A9"/>
    <w:rsid w:val="00713693"/>
    <w:rsid w:val="0072197A"/>
    <w:rsid w:val="00722E29"/>
    <w:rsid w:val="00723497"/>
    <w:rsid w:val="00725343"/>
    <w:rsid w:val="007315C9"/>
    <w:rsid w:val="007317B9"/>
    <w:rsid w:val="00733355"/>
    <w:rsid w:val="00735B8E"/>
    <w:rsid w:val="0074087F"/>
    <w:rsid w:val="007411F6"/>
    <w:rsid w:val="00742DC9"/>
    <w:rsid w:val="00743327"/>
    <w:rsid w:val="007435C8"/>
    <w:rsid w:val="00747DCF"/>
    <w:rsid w:val="0075259A"/>
    <w:rsid w:val="0075357F"/>
    <w:rsid w:val="00753583"/>
    <w:rsid w:val="00761C40"/>
    <w:rsid w:val="00761E9C"/>
    <w:rsid w:val="007622B2"/>
    <w:rsid w:val="0076425E"/>
    <w:rsid w:val="00773F23"/>
    <w:rsid w:val="0077585D"/>
    <w:rsid w:val="00775F46"/>
    <w:rsid w:val="00776B74"/>
    <w:rsid w:val="00776FBF"/>
    <w:rsid w:val="00777501"/>
    <w:rsid w:val="0078220F"/>
    <w:rsid w:val="0078315A"/>
    <w:rsid w:val="00783598"/>
    <w:rsid w:val="0079238A"/>
    <w:rsid w:val="00792C28"/>
    <w:rsid w:val="007966C1"/>
    <w:rsid w:val="007A0CC2"/>
    <w:rsid w:val="007A3259"/>
    <w:rsid w:val="007C1739"/>
    <w:rsid w:val="007D2154"/>
    <w:rsid w:val="007D2C0A"/>
    <w:rsid w:val="007D4131"/>
    <w:rsid w:val="007D4C96"/>
    <w:rsid w:val="007D57BB"/>
    <w:rsid w:val="007D6614"/>
    <w:rsid w:val="007D70C6"/>
    <w:rsid w:val="007E0180"/>
    <w:rsid w:val="007E22E7"/>
    <w:rsid w:val="007E258D"/>
    <w:rsid w:val="007E36C2"/>
    <w:rsid w:val="007E57EC"/>
    <w:rsid w:val="007F44C2"/>
    <w:rsid w:val="007F7D1D"/>
    <w:rsid w:val="00800FA4"/>
    <w:rsid w:val="0080194C"/>
    <w:rsid w:val="00803732"/>
    <w:rsid w:val="008054D4"/>
    <w:rsid w:val="00810701"/>
    <w:rsid w:val="00813E26"/>
    <w:rsid w:val="00823069"/>
    <w:rsid w:val="008245BD"/>
    <w:rsid w:val="0082495A"/>
    <w:rsid w:val="00830EB9"/>
    <w:rsid w:val="00831BFC"/>
    <w:rsid w:val="00842F3A"/>
    <w:rsid w:val="00844F91"/>
    <w:rsid w:val="008455F7"/>
    <w:rsid w:val="00846033"/>
    <w:rsid w:val="008465CF"/>
    <w:rsid w:val="008478D9"/>
    <w:rsid w:val="00856D21"/>
    <w:rsid w:val="00856DFC"/>
    <w:rsid w:val="00857429"/>
    <w:rsid w:val="0086008B"/>
    <w:rsid w:val="008601B4"/>
    <w:rsid w:val="00860C57"/>
    <w:rsid w:val="00861EFF"/>
    <w:rsid w:val="00864144"/>
    <w:rsid w:val="00876AB5"/>
    <w:rsid w:val="00881365"/>
    <w:rsid w:val="00881689"/>
    <w:rsid w:val="00883C42"/>
    <w:rsid w:val="00886741"/>
    <w:rsid w:val="00892C10"/>
    <w:rsid w:val="00892C4D"/>
    <w:rsid w:val="008950B0"/>
    <w:rsid w:val="008971CC"/>
    <w:rsid w:val="00897C75"/>
    <w:rsid w:val="008A025F"/>
    <w:rsid w:val="008A243D"/>
    <w:rsid w:val="008A2D2C"/>
    <w:rsid w:val="008B1998"/>
    <w:rsid w:val="008B24BB"/>
    <w:rsid w:val="008B46A5"/>
    <w:rsid w:val="008B5374"/>
    <w:rsid w:val="008B712F"/>
    <w:rsid w:val="008B7F87"/>
    <w:rsid w:val="008C3081"/>
    <w:rsid w:val="008D3539"/>
    <w:rsid w:val="008D3658"/>
    <w:rsid w:val="008D6830"/>
    <w:rsid w:val="008D7B42"/>
    <w:rsid w:val="008E155A"/>
    <w:rsid w:val="008E2352"/>
    <w:rsid w:val="008E4863"/>
    <w:rsid w:val="008F5666"/>
    <w:rsid w:val="0091369F"/>
    <w:rsid w:val="00914AB9"/>
    <w:rsid w:val="009225BC"/>
    <w:rsid w:val="00926866"/>
    <w:rsid w:val="00927A77"/>
    <w:rsid w:val="00931CC6"/>
    <w:rsid w:val="00933DF1"/>
    <w:rsid w:val="009344F5"/>
    <w:rsid w:val="00935463"/>
    <w:rsid w:val="00936AE6"/>
    <w:rsid w:val="00943756"/>
    <w:rsid w:val="009513F8"/>
    <w:rsid w:val="0095216E"/>
    <w:rsid w:val="009536C3"/>
    <w:rsid w:val="00955A24"/>
    <w:rsid w:val="009566FF"/>
    <w:rsid w:val="00956722"/>
    <w:rsid w:val="00956B26"/>
    <w:rsid w:val="00964523"/>
    <w:rsid w:val="009731A6"/>
    <w:rsid w:val="0097558C"/>
    <w:rsid w:val="009757CF"/>
    <w:rsid w:val="00975C0F"/>
    <w:rsid w:val="00975D45"/>
    <w:rsid w:val="00977EB6"/>
    <w:rsid w:val="00980388"/>
    <w:rsid w:val="009820C9"/>
    <w:rsid w:val="00983378"/>
    <w:rsid w:val="00983E81"/>
    <w:rsid w:val="00985C49"/>
    <w:rsid w:val="00987B6C"/>
    <w:rsid w:val="009902EE"/>
    <w:rsid w:val="00992F7F"/>
    <w:rsid w:val="00994397"/>
    <w:rsid w:val="00994568"/>
    <w:rsid w:val="00994A01"/>
    <w:rsid w:val="00994ABE"/>
    <w:rsid w:val="009A000A"/>
    <w:rsid w:val="009A10EC"/>
    <w:rsid w:val="009A4E00"/>
    <w:rsid w:val="009A4E3E"/>
    <w:rsid w:val="009B1058"/>
    <w:rsid w:val="009B2519"/>
    <w:rsid w:val="009B42E2"/>
    <w:rsid w:val="009B43AE"/>
    <w:rsid w:val="009C02A6"/>
    <w:rsid w:val="009C0422"/>
    <w:rsid w:val="009C1D1E"/>
    <w:rsid w:val="009C6017"/>
    <w:rsid w:val="009C7267"/>
    <w:rsid w:val="009D07E2"/>
    <w:rsid w:val="009D2DA4"/>
    <w:rsid w:val="009D4AA7"/>
    <w:rsid w:val="009D5E42"/>
    <w:rsid w:val="009E1121"/>
    <w:rsid w:val="009E1414"/>
    <w:rsid w:val="009E3C4A"/>
    <w:rsid w:val="009E3E20"/>
    <w:rsid w:val="009E429B"/>
    <w:rsid w:val="009E43B9"/>
    <w:rsid w:val="009F0E49"/>
    <w:rsid w:val="009F2FB4"/>
    <w:rsid w:val="009F465D"/>
    <w:rsid w:val="00A0026A"/>
    <w:rsid w:val="00A0238A"/>
    <w:rsid w:val="00A0361E"/>
    <w:rsid w:val="00A063E4"/>
    <w:rsid w:val="00A11280"/>
    <w:rsid w:val="00A146A3"/>
    <w:rsid w:val="00A1537D"/>
    <w:rsid w:val="00A166D4"/>
    <w:rsid w:val="00A17961"/>
    <w:rsid w:val="00A21B3F"/>
    <w:rsid w:val="00A21E6D"/>
    <w:rsid w:val="00A22820"/>
    <w:rsid w:val="00A2340B"/>
    <w:rsid w:val="00A2382C"/>
    <w:rsid w:val="00A25B3E"/>
    <w:rsid w:val="00A305EB"/>
    <w:rsid w:val="00A30643"/>
    <w:rsid w:val="00A30932"/>
    <w:rsid w:val="00A326AC"/>
    <w:rsid w:val="00A335D1"/>
    <w:rsid w:val="00A36F99"/>
    <w:rsid w:val="00A37C82"/>
    <w:rsid w:val="00A41F51"/>
    <w:rsid w:val="00A425B6"/>
    <w:rsid w:val="00A42BB9"/>
    <w:rsid w:val="00A44759"/>
    <w:rsid w:val="00A46E50"/>
    <w:rsid w:val="00A5429F"/>
    <w:rsid w:val="00A5539C"/>
    <w:rsid w:val="00A55607"/>
    <w:rsid w:val="00A566FE"/>
    <w:rsid w:val="00A56B1F"/>
    <w:rsid w:val="00A56BFA"/>
    <w:rsid w:val="00A610C3"/>
    <w:rsid w:val="00A635F2"/>
    <w:rsid w:val="00A63FC4"/>
    <w:rsid w:val="00A64DF5"/>
    <w:rsid w:val="00A67684"/>
    <w:rsid w:val="00A67B81"/>
    <w:rsid w:val="00A717A6"/>
    <w:rsid w:val="00A71CF0"/>
    <w:rsid w:val="00A729B2"/>
    <w:rsid w:val="00A73517"/>
    <w:rsid w:val="00A73F94"/>
    <w:rsid w:val="00A74410"/>
    <w:rsid w:val="00A74978"/>
    <w:rsid w:val="00A77BAB"/>
    <w:rsid w:val="00A91E48"/>
    <w:rsid w:val="00A92156"/>
    <w:rsid w:val="00A93409"/>
    <w:rsid w:val="00A93EDF"/>
    <w:rsid w:val="00AA02ED"/>
    <w:rsid w:val="00AA16EA"/>
    <w:rsid w:val="00AA17E8"/>
    <w:rsid w:val="00AA2DA2"/>
    <w:rsid w:val="00AA5ABD"/>
    <w:rsid w:val="00AA6D21"/>
    <w:rsid w:val="00AA7891"/>
    <w:rsid w:val="00AA7AA1"/>
    <w:rsid w:val="00AB1813"/>
    <w:rsid w:val="00AB5598"/>
    <w:rsid w:val="00AC40E9"/>
    <w:rsid w:val="00AC42C2"/>
    <w:rsid w:val="00AC4417"/>
    <w:rsid w:val="00AC7D5D"/>
    <w:rsid w:val="00AD36BA"/>
    <w:rsid w:val="00AD561C"/>
    <w:rsid w:val="00AD7BF3"/>
    <w:rsid w:val="00AE20BA"/>
    <w:rsid w:val="00AE29BF"/>
    <w:rsid w:val="00AE492F"/>
    <w:rsid w:val="00AE6A13"/>
    <w:rsid w:val="00AF6E20"/>
    <w:rsid w:val="00AF7918"/>
    <w:rsid w:val="00B02F25"/>
    <w:rsid w:val="00B0456B"/>
    <w:rsid w:val="00B07132"/>
    <w:rsid w:val="00B07428"/>
    <w:rsid w:val="00B10C8A"/>
    <w:rsid w:val="00B11FE6"/>
    <w:rsid w:val="00B14D1A"/>
    <w:rsid w:val="00B23042"/>
    <w:rsid w:val="00B24153"/>
    <w:rsid w:val="00B24B36"/>
    <w:rsid w:val="00B2752C"/>
    <w:rsid w:val="00B300BB"/>
    <w:rsid w:val="00B30223"/>
    <w:rsid w:val="00B30275"/>
    <w:rsid w:val="00B346C9"/>
    <w:rsid w:val="00B400E3"/>
    <w:rsid w:val="00B42BF9"/>
    <w:rsid w:val="00B43D17"/>
    <w:rsid w:val="00B47991"/>
    <w:rsid w:val="00B50A44"/>
    <w:rsid w:val="00B5189D"/>
    <w:rsid w:val="00B5464B"/>
    <w:rsid w:val="00B54AF4"/>
    <w:rsid w:val="00B56563"/>
    <w:rsid w:val="00B627EE"/>
    <w:rsid w:val="00B67239"/>
    <w:rsid w:val="00B70521"/>
    <w:rsid w:val="00B7401B"/>
    <w:rsid w:val="00B76266"/>
    <w:rsid w:val="00B8092F"/>
    <w:rsid w:val="00B816C0"/>
    <w:rsid w:val="00B86856"/>
    <w:rsid w:val="00B901DE"/>
    <w:rsid w:val="00B9288D"/>
    <w:rsid w:val="00B95CC5"/>
    <w:rsid w:val="00BA057E"/>
    <w:rsid w:val="00BA3F96"/>
    <w:rsid w:val="00BB359B"/>
    <w:rsid w:val="00BB3B5A"/>
    <w:rsid w:val="00BB4C00"/>
    <w:rsid w:val="00BC14B8"/>
    <w:rsid w:val="00BC52C6"/>
    <w:rsid w:val="00BC6511"/>
    <w:rsid w:val="00BC7EE3"/>
    <w:rsid w:val="00BD1809"/>
    <w:rsid w:val="00BD3741"/>
    <w:rsid w:val="00BD3CDD"/>
    <w:rsid w:val="00BD623F"/>
    <w:rsid w:val="00BE1108"/>
    <w:rsid w:val="00BE34E0"/>
    <w:rsid w:val="00BE78D2"/>
    <w:rsid w:val="00BF0CA3"/>
    <w:rsid w:val="00BF1958"/>
    <w:rsid w:val="00BF3654"/>
    <w:rsid w:val="00BF5BE4"/>
    <w:rsid w:val="00C013F9"/>
    <w:rsid w:val="00C04951"/>
    <w:rsid w:val="00C05E3B"/>
    <w:rsid w:val="00C116C0"/>
    <w:rsid w:val="00C13E93"/>
    <w:rsid w:val="00C169AD"/>
    <w:rsid w:val="00C229BF"/>
    <w:rsid w:val="00C2384F"/>
    <w:rsid w:val="00C23DD6"/>
    <w:rsid w:val="00C3041C"/>
    <w:rsid w:val="00C3376D"/>
    <w:rsid w:val="00C34749"/>
    <w:rsid w:val="00C41080"/>
    <w:rsid w:val="00C417EC"/>
    <w:rsid w:val="00C43015"/>
    <w:rsid w:val="00C44151"/>
    <w:rsid w:val="00C46439"/>
    <w:rsid w:val="00C501E4"/>
    <w:rsid w:val="00C50F59"/>
    <w:rsid w:val="00C51F3F"/>
    <w:rsid w:val="00C53D87"/>
    <w:rsid w:val="00C63E43"/>
    <w:rsid w:val="00C64505"/>
    <w:rsid w:val="00C65C99"/>
    <w:rsid w:val="00C666B5"/>
    <w:rsid w:val="00C67D59"/>
    <w:rsid w:val="00C71130"/>
    <w:rsid w:val="00C71AEF"/>
    <w:rsid w:val="00C77EF3"/>
    <w:rsid w:val="00C83731"/>
    <w:rsid w:val="00C83F50"/>
    <w:rsid w:val="00C8445E"/>
    <w:rsid w:val="00C851B1"/>
    <w:rsid w:val="00C92AB6"/>
    <w:rsid w:val="00C95296"/>
    <w:rsid w:val="00C961C7"/>
    <w:rsid w:val="00C9633D"/>
    <w:rsid w:val="00CA0118"/>
    <w:rsid w:val="00CA1A8B"/>
    <w:rsid w:val="00CA46CD"/>
    <w:rsid w:val="00CA4F1D"/>
    <w:rsid w:val="00CA717F"/>
    <w:rsid w:val="00CB07A2"/>
    <w:rsid w:val="00CB4183"/>
    <w:rsid w:val="00CB63F2"/>
    <w:rsid w:val="00CB7CC5"/>
    <w:rsid w:val="00CC3D02"/>
    <w:rsid w:val="00CD20BC"/>
    <w:rsid w:val="00CD24D6"/>
    <w:rsid w:val="00CD338D"/>
    <w:rsid w:val="00CD4756"/>
    <w:rsid w:val="00CD784C"/>
    <w:rsid w:val="00CE045F"/>
    <w:rsid w:val="00CE0CF8"/>
    <w:rsid w:val="00CE24BD"/>
    <w:rsid w:val="00CE4515"/>
    <w:rsid w:val="00CE7C90"/>
    <w:rsid w:val="00CE7C94"/>
    <w:rsid w:val="00CF1305"/>
    <w:rsid w:val="00CF3A1F"/>
    <w:rsid w:val="00CF63B0"/>
    <w:rsid w:val="00D01C11"/>
    <w:rsid w:val="00D022C4"/>
    <w:rsid w:val="00D06A27"/>
    <w:rsid w:val="00D07AF4"/>
    <w:rsid w:val="00D10227"/>
    <w:rsid w:val="00D109D2"/>
    <w:rsid w:val="00D15791"/>
    <w:rsid w:val="00D21207"/>
    <w:rsid w:val="00D26BE8"/>
    <w:rsid w:val="00D27432"/>
    <w:rsid w:val="00D304F9"/>
    <w:rsid w:val="00D307DB"/>
    <w:rsid w:val="00D30972"/>
    <w:rsid w:val="00D34A8D"/>
    <w:rsid w:val="00D36A60"/>
    <w:rsid w:val="00D4097D"/>
    <w:rsid w:val="00D42BEF"/>
    <w:rsid w:val="00D456E9"/>
    <w:rsid w:val="00D46577"/>
    <w:rsid w:val="00D46775"/>
    <w:rsid w:val="00D47691"/>
    <w:rsid w:val="00D47A5A"/>
    <w:rsid w:val="00D57462"/>
    <w:rsid w:val="00D57F43"/>
    <w:rsid w:val="00D60A01"/>
    <w:rsid w:val="00D62B0D"/>
    <w:rsid w:val="00D70A31"/>
    <w:rsid w:val="00D71325"/>
    <w:rsid w:val="00D7288C"/>
    <w:rsid w:val="00D73278"/>
    <w:rsid w:val="00D74914"/>
    <w:rsid w:val="00D80AAE"/>
    <w:rsid w:val="00D80C14"/>
    <w:rsid w:val="00D83E2E"/>
    <w:rsid w:val="00D84269"/>
    <w:rsid w:val="00D84B6C"/>
    <w:rsid w:val="00D91C0E"/>
    <w:rsid w:val="00D96AEF"/>
    <w:rsid w:val="00D96C0B"/>
    <w:rsid w:val="00D96CA8"/>
    <w:rsid w:val="00DA1CBC"/>
    <w:rsid w:val="00DA1FFA"/>
    <w:rsid w:val="00DA64DA"/>
    <w:rsid w:val="00DB38B3"/>
    <w:rsid w:val="00DB5184"/>
    <w:rsid w:val="00DB5AA4"/>
    <w:rsid w:val="00DB5E30"/>
    <w:rsid w:val="00DC7858"/>
    <w:rsid w:val="00DD29D8"/>
    <w:rsid w:val="00DD77C6"/>
    <w:rsid w:val="00DD7F68"/>
    <w:rsid w:val="00DE039B"/>
    <w:rsid w:val="00DE29A8"/>
    <w:rsid w:val="00DE744D"/>
    <w:rsid w:val="00DE7C8E"/>
    <w:rsid w:val="00DF2D9B"/>
    <w:rsid w:val="00DF3CDE"/>
    <w:rsid w:val="00DF4679"/>
    <w:rsid w:val="00DF5A0A"/>
    <w:rsid w:val="00E00A28"/>
    <w:rsid w:val="00E018AE"/>
    <w:rsid w:val="00E12D31"/>
    <w:rsid w:val="00E14233"/>
    <w:rsid w:val="00E151AB"/>
    <w:rsid w:val="00E152F7"/>
    <w:rsid w:val="00E1605C"/>
    <w:rsid w:val="00E2020C"/>
    <w:rsid w:val="00E21CC8"/>
    <w:rsid w:val="00E21F4B"/>
    <w:rsid w:val="00E2310F"/>
    <w:rsid w:val="00E24B44"/>
    <w:rsid w:val="00E267B7"/>
    <w:rsid w:val="00E26B68"/>
    <w:rsid w:val="00E27129"/>
    <w:rsid w:val="00E30318"/>
    <w:rsid w:val="00E31654"/>
    <w:rsid w:val="00E32317"/>
    <w:rsid w:val="00E32DE0"/>
    <w:rsid w:val="00E34FD6"/>
    <w:rsid w:val="00E41444"/>
    <w:rsid w:val="00E43283"/>
    <w:rsid w:val="00E43E7A"/>
    <w:rsid w:val="00E47908"/>
    <w:rsid w:val="00E503EA"/>
    <w:rsid w:val="00E50DE7"/>
    <w:rsid w:val="00E51454"/>
    <w:rsid w:val="00E572EF"/>
    <w:rsid w:val="00E61FAB"/>
    <w:rsid w:val="00E63D0A"/>
    <w:rsid w:val="00E652A8"/>
    <w:rsid w:val="00E713B3"/>
    <w:rsid w:val="00E735DF"/>
    <w:rsid w:val="00E735FF"/>
    <w:rsid w:val="00E7550B"/>
    <w:rsid w:val="00E76D66"/>
    <w:rsid w:val="00E80A01"/>
    <w:rsid w:val="00E80B69"/>
    <w:rsid w:val="00E858A9"/>
    <w:rsid w:val="00E86F1A"/>
    <w:rsid w:val="00E907E9"/>
    <w:rsid w:val="00E91CF9"/>
    <w:rsid w:val="00E937B1"/>
    <w:rsid w:val="00E96E2E"/>
    <w:rsid w:val="00E9729C"/>
    <w:rsid w:val="00E97FDF"/>
    <w:rsid w:val="00EC02B5"/>
    <w:rsid w:val="00EC6446"/>
    <w:rsid w:val="00EC77B0"/>
    <w:rsid w:val="00ED1091"/>
    <w:rsid w:val="00ED2D0B"/>
    <w:rsid w:val="00ED303E"/>
    <w:rsid w:val="00EE3D56"/>
    <w:rsid w:val="00EF2909"/>
    <w:rsid w:val="00EF3F8F"/>
    <w:rsid w:val="00EF46B8"/>
    <w:rsid w:val="00F00ADF"/>
    <w:rsid w:val="00F122C5"/>
    <w:rsid w:val="00F149AD"/>
    <w:rsid w:val="00F14A63"/>
    <w:rsid w:val="00F174E4"/>
    <w:rsid w:val="00F26B43"/>
    <w:rsid w:val="00F304F8"/>
    <w:rsid w:val="00F308AB"/>
    <w:rsid w:val="00F340A2"/>
    <w:rsid w:val="00F353FE"/>
    <w:rsid w:val="00F41DFA"/>
    <w:rsid w:val="00F424E6"/>
    <w:rsid w:val="00F4348E"/>
    <w:rsid w:val="00F45E49"/>
    <w:rsid w:val="00F5104E"/>
    <w:rsid w:val="00F51C2E"/>
    <w:rsid w:val="00F633AE"/>
    <w:rsid w:val="00F64BD9"/>
    <w:rsid w:val="00F66EF8"/>
    <w:rsid w:val="00F6744A"/>
    <w:rsid w:val="00F71A63"/>
    <w:rsid w:val="00F71F5D"/>
    <w:rsid w:val="00F73722"/>
    <w:rsid w:val="00F76C8B"/>
    <w:rsid w:val="00F82B6A"/>
    <w:rsid w:val="00F830CC"/>
    <w:rsid w:val="00F841E4"/>
    <w:rsid w:val="00F8515A"/>
    <w:rsid w:val="00F85758"/>
    <w:rsid w:val="00F90331"/>
    <w:rsid w:val="00F95762"/>
    <w:rsid w:val="00FA1A10"/>
    <w:rsid w:val="00FA4398"/>
    <w:rsid w:val="00FB3A48"/>
    <w:rsid w:val="00FB3CFD"/>
    <w:rsid w:val="00FB43CA"/>
    <w:rsid w:val="00FC5E2D"/>
    <w:rsid w:val="00FD3825"/>
    <w:rsid w:val="00FD3D46"/>
    <w:rsid w:val="00FD4489"/>
    <w:rsid w:val="00FD534C"/>
    <w:rsid w:val="00FD5BA3"/>
    <w:rsid w:val="00FE40F7"/>
    <w:rsid w:val="00FE5B82"/>
    <w:rsid w:val="00FE5CFF"/>
    <w:rsid w:val="00FE6610"/>
    <w:rsid w:val="00FE6B66"/>
    <w:rsid w:val="00FF7006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5567DD"/>
  <w15:docId w15:val="{E41277B3-A5C3-4362-997D-6660EAB9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A0C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215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A1F2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6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65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A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A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4A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F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F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F1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749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89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0E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regional_policy/pl/policy/evaluations/guidan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A79B-0795-4394-9B71-5BDA62DA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4648</Words>
  <Characters>27890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BARCZ</dc:creator>
  <cp:lastModifiedBy>Monika Labisz</cp:lastModifiedBy>
  <cp:revision>8</cp:revision>
  <cp:lastPrinted>2019-05-08T06:20:00Z</cp:lastPrinted>
  <dcterms:created xsi:type="dcterms:W3CDTF">2019-07-12T07:16:00Z</dcterms:created>
  <dcterms:modified xsi:type="dcterms:W3CDTF">2019-07-31T06:00:00Z</dcterms:modified>
</cp:coreProperties>
</file>