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C5" w:rsidRPr="004A2391" w:rsidRDefault="00C42A3A" w:rsidP="00DB3425">
      <w:pPr>
        <w:jc w:val="center"/>
        <w:rPr>
          <w:b/>
        </w:rPr>
      </w:pPr>
      <w:r>
        <w:rPr>
          <w:noProof/>
        </w:rPr>
        <w:drawing>
          <wp:inline distT="0" distB="0" distL="0" distR="0" wp14:anchorId="754A7ADE" wp14:editId="45588458">
            <wp:extent cx="6010275" cy="5921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275" cy="592131"/>
                    </a:xfrm>
                    <a:prstGeom prst="rect">
                      <a:avLst/>
                    </a:prstGeom>
                    <a:noFill/>
                    <a:ln>
                      <a:noFill/>
                    </a:ln>
                  </pic:spPr>
                </pic:pic>
              </a:graphicData>
            </a:graphic>
          </wp:inline>
        </w:drawing>
      </w:r>
    </w:p>
    <w:p w:rsidR="00F122C5" w:rsidRDefault="00F122C5">
      <w:pPr>
        <w:rPr>
          <w:b/>
        </w:rPr>
      </w:pPr>
    </w:p>
    <w:p w:rsidR="00DB3425" w:rsidRPr="004A2391" w:rsidRDefault="00DB3425">
      <w:pPr>
        <w:rPr>
          <w:b/>
        </w:rPr>
      </w:pPr>
    </w:p>
    <w:p w:rsidR="00C42A3A" w:rsidRDefault="00C42A3A" w:rsidP="00C42A3A">
      <w:pPr>
        <w:spacing w:after="0"/>
        <w:ind w:firstLine="6"/>
        <w:jc w:val="center"/>
        <w:rPr>
          <w:b/>
          <w:sz w:val="44"/>
          <w:szCs w:val="44"/>
        </w:rPr>
      </w:pPr>
      <w:r>
        <w:rPr>
          <w:b/>
          <w:sz w:val="44"/>
          <w:szCs w:val="44"/>
        </w:rPr>
        <w:t xml:space="preserve">ZAŁĄCZNIK NR </w:t>
      </w:r>
      <w:r>
        <w:rPr>
          <w:b/>
          <w:sz w:val="44"/>
          <w:szCs w:val="44"/>
        </w:rPr>
        <w:t>8</w:t>
      </w:r>
    </w:p>
    <w:p w:rsidR="00C42A3A" w:rsidRDefault="00C42A3A" w:rsidP="00C42A3A">
      <w:pPr>
        <w:spacing w:after="0"/>
        <w:ind w:firstLine="6"/>
        <w:jc w:val="center"/>
        <w:rPr>
          <w:b/>
          <w:sz w:val="44"/>
          <w:szCs w:val="44"/>
        </w:rPr>
      </w:pPr>
      <w:r>
        <w:rPr>
          <w:b/>
          <w:sz w:val="44"/>
          <w:szCs w:val="44"/>
        </w:rPr>
        <w:t>LISTA WSKAŹNIKÓW NA POZIOMIE PROJEKTU</w:t>
      </w:r>
    </w:p>
    <w:p w:rsidR="00C42A3A" w:rsidRPr="00144DFC" w:rsidRDefault="00C42A3A" w:rsidP="00C42A3A">
      <w:pPr>
        <w:spacing w:after="0"/>
        <w:ind w:firstLine="6"/>
        <w:jc w:val="center"/>
        <w:rPr>
          <w:b/>
          <w:sz w:val="36"/>
          <w:szCs w:val="36"/>
        </w:rPr>
      </w:pPr>
      <w:r w:rsidRPr="005E3C2F">
        <w:rPr>
          <w:b/>
          <w:sz w:val="44"/>
          <w:szCs w:val="44"/>
        </w:rPr>
        <w:br/>
      </w:r>
      <w:r w:rsidRPr="00144DFC">
        <w:rPr>
          <w:b/>
          <w:sz w:val="36"/>
          <w:szCs w:val="36"/>
        </w:rPr>
        <w:t>OŚ PRIORYTETOWA V</w:t>
      </w:r>
      <w:r>
        <w:rPr>
          <w:b/>
          <w:sz w:val="36"/>
          <w:szCs w:val="36"/>
        </w:rPr>
        <w:t xml:space="preserve"> </w:t>
      </w:r>
      <w:r w:rsidRPr="00144DFC">
        <w:rPr>
          <w:b/>
          <w:sz w:val="36"/>
          <w:szCs w:val="36"/>
        </w:rPr>
        <w:t>Ochrona środowiska, dziedzictwa kulturowego i naturalnego</w:t>
      </w:r>
    </w:p>
    <w:p w:rsidR="00C42A3A" w:rsidRPr="00144DFC" w:rsidRDefault="00C42A3A" w:rsidP="00C42A3A">
      <w:pPr>
        <w:spacing w:after="0"/>
        <w:ind w:firstLine="6"/>
        <w:jc w:val="center"/>
        <w:rPr>
          <w:b/>
          <w:sz w:val="36"/>
          <w:szCs w:val="36"/>
        </w:rPr>
      </w:pPr>
      <w:r w:rsidRPr="00144DFC">
        <w:rPr>
          <w:b/>
          <w:sz w:val="36"/>
          <w:szCs w:val="36"/>
        </w:rPr>
        <w:t>DZIAŁANIE 5.1 Ochrona różnorodności biologicznej</w:t>
      </w:r>
      <w:r w:rsidRPr="00144DFC">
        <w:rPr>
          <w:b/>
          <w:sz w:val="36"/>
          <w:szCs w:val="36"/>
        </w:rPr>
        <w:br/>
        <w:t xml:space="preserve"> </w:t>
      </w:r>
    </w:p>
    <w:p w:rsidR="00C42A3A" w:rsidRPr="00290EEC" w:rsidRDefault="00C42A3A" w:rsidP="00C42A3A">
      <w:pPr>
        <w:keepNext/>
        <w:spacing w:after="0"/>
        <w:rPr>
          <w:b/>
          <w:sz w:val="44"/>
          <w:szCs w:val="56"/>
        </w:rPr>
      </w:pPr>
      <w:r>
        <w:rPr>
          <w:b/>
          <w:sz w:val="44"/>
          <w:szCs w:val="56"/>
        </w:rPr>
        <w:t xml:space="preserve"> </w:t>
      </w:r>
    </w:p>
    <w:p w:rsidR="00C42A3A" w:rsidRDefault="00C42A3A" w:rsidP="00C42A3A">
      <w:pPr>
        <w:spacing w:before="120" w:after="120" w:line="360" w:lineRule="auto"/>
        <w:ind w:firstLine="6"/>
        <w:jc w:val="center"/>
        <w:rPr>
          <w:b/>
          <w:sz w:val="28"/>
          <w:szCs w:val="28"/>
        </w:rPr>
      </w:pPr>
    </w:p>
    <w:p w:rsidR="00C42A3A" w:rsidRDefault="00C42A3A" w:rsidP="00C42A3A">
      <w:pPr>
        <w:spacing w:before="120" w:after="120" w:line="360" w:lineRule="auto"/>
        <w:ind w:firstLine="6"/>
        <w:jc w:val="center"/>
        <w:rPr>
          <w:b/>
          <w:sz w:val="28"/>
          <w:szCs w:val="28"/>
        </w:rPr>
      </w:pPr>
    </w:p>
    <w:p w:rsidR="00C42A3A" w:rsidRDefault="00C42A3A" w:rsidP="00C42A3A">
      <w:pPr>
        <w:spacing w:before="120" w:after="120" w:line="360" w:lineRule="auto"/>
        <w:ind w:firstLine="6"/>
        <w:jc w:val="center"/>
        <w:rPr>
          <w:b/>
          <w:sz w:val="28"/>
          <w:szCs w:val="28"/>
        </w:rPr>
      </w:pPr>
    </w:p>
    <w:p w:rsidR="00C42A3A" w:rsidRPr="001620FA" w:rsidRDefault="00C42A3A" w:rsidP="00C42A3A">
      <w:pPr>
        <w:spacing w:before="120" w:after="120" w:line="360" w:lineRule="auto"/>
        <w:ind w:firstLine="6"/>
        <w:jc w:val="center"/>
        <w:rPr>
          <w:b/>
          <w:sz w:val="28"/>
          <w:szCs w:val="28"/>
        </w:rPr>
      </w:pPr>
      <w:r w:rsidRPr="001620FA">
        <w:rPr>
          <w:b/>
          <w:sz w:val="28"/>
          <w:szCs w:val="28"/>
        </w:rPr>
        <w:t>Wersja nr 1</w:t>
      </w:r>
    </w:p>
    <w:p w:rsidR="00C42A3A" w:rsidRPr="001620FA" w:rsidRDefault="00C42A3A" w:rsidP="00C42A3A">
      <w:pPr>
        <w:spacing w:before="120" w:after="120"/>
        <w:jc w:val="center"/>
        <w:rPr>
          <w:b/>
          <w:sz w:val="28"/>
          <w:szCs w:val="28"/>
        </w:rPr>
      </w:pPr>
      <w:r>
        <w:rPr>
          <w:rFonts w:cs="Arial"/>
          <w:b/>
          <w:sz w:val="28"/>
          <w:szCs w:val="28"/>
        </w:rPr>
        <w:t>Opole, wrzesień</w:t>
      </w:r>
      <w:r w:rsidRPr="001620FA">
        <w:rPr>
          <w:rFonts w:cs="Arial"/>
          <w:b/>
          <w:sz w:val="28"/>
          <w:szCs w:val="28"/>
        </w:rPr>
        <w:t xml:space="preserve"> 2018 r.</w:t>
      </w:r>
    </w:p>
    <w:p w:rsidR="00D74914" w:rsidRDefault="00D74914" w:rsidP="00BC266E">
      <w:pPr>
        <w:tabs>
          <w:tab w:val="center" w:pos="7229"/>
          <w:tab w:val="left" w:pos="8910"/>
        </w:tabs>
        <w:rPr>
          <w:rFonts w:ascii="Calibri" w:eastAsia="Times New Roman" w:hAnsi="Calibri" w:cs="Times New Roman"/>
          <w:b/>
          <w:i/>
          <w:color w:val="000099"/>
          <w:sz w:val="44"/>
          <w:szCs w:val="28"/>
        </w:rPr>
      </w:pPr>
    </w:p>
    <w:tbl>
      <w:tblPr>
        <w:tblStyle w:val="Tabela-Siatka"/>
        <w:tblW w:w="6137" w:type="dxa"/>
        <w:tblInd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2693"/>
      </w:tblGrid>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r w:rsidR="00E967DE" w:rsidTr="00F8341B">
        <w:trPr>
          <w:trHeight w:hRule="exact" w:val="680"/>
        </w:trPr>
        <w:tc>
          <w:tcPr>
            <w:tcW w:w="3444" w:type="dxa"/>
          </w:tcPr>
          <w:p w:rsidR="00E967DE" w:rsidRDefault="00E967DE" w:rsidP="00F8341B">
            <w:pPr>
              <w:rPr>
                <w:b/>
              </w:rPr>
            </w:pPr>
          </w:p>
        </w:tc>
        <w:tc>
          <w:tcPr>
            <w:tcW w:w="2693" w:type="dxa"/>
          </w:tcPr>
          <w:p w:rsidR="00E967DE" w:rsidRDefault="00E967DE" w:rsidP="00F8341B">
            <w:pPr>
              <w:rPr>
                <w:b/>
              </w:rPr>
            </w:pPr>
          </w:p>
        </w:tc>
      </w:tr>
    </w:tbl>
    <w:p w:rsidR="00D74914" w:rsidRDefault="00D74914">
      <w:pPr>
        <w:rPr>
          <w:b/>
        </w:rPr>
      </w:pPr>
    </w:p>
    <w:p w:rsidR="002846A4" w:rsidRDefault="002846A4">
      <w:pPr>
        <w:rPr>
          <w:b/>
        </w:rPr>
      </w:pPr>
    </w:p>
    <w:p w:rsidR="002846A4" w:rsidRDefault="002846A4">
      <w:pPr>
        <w:rPr>
          <w:b/>
        </w:rPr>
      </w:pPr>
    </w:p>
    <w:p w:rsidR="002846A4" w:rsidRDefault="002846A4">
      <w:pPr>
        <w:rPr>
          <w:b/>
        </w:rPr>
      </w:pPr>
    </w:p>
    <w:p w:rsidR="002846A4" w:rsidRDefault="002846A4">
      <w:pPr>
        <w:rPr>
          <w:b/>
        </w:rPr>
      </w:pPr>
    </w:p>
    <w:p w:rsidR="00D74914" w:rsidRDefault="00D74914">
      <w:pPr>
        <w:rPr>
          <w:b/>
        </w:rPr>
      </w:pPr>
    </w:p>
    <w:p w:rsidR="003C0676" w:rsidRDefault="003C0676">
      <w:pPr>
        <w:rPr>
          <w:b/>
        </w:rPr>
      </w:pPr>
    </w:p>
    <w:p w:rsidR="003C0676" w:rsidRPr="004A2391" w:rsidRDefault="003C0676">
      <w:pPr>
        <w:rPr>
          <w:b/>
        </w:rPr>
      </w:pPr>
    </w:p>
    <w:p w:rsidR="00F122C5" w:rsidRPr="00C42A3A" w:rsidRDefault="00F122C5" w:rsidP="00F122C5">
      <w:pPr>
        <w:spacing w:after="0"/>
        <w:rPr>
          <w:b/>
          <w:sz w:val="18"/>
          <w:u w:val="single"/>
        </w:rPr>
      </w:pPr>
      <w:r w:rsidRPr="00C42A3A">
        <w:rPr>
          <w:b/>
          <w:sz w:val="18"/>
          <w:u w:val="single"/>
        </w:rPr>
        <w:t>Opracowanie:</w:t>
      </w:r>
    </w:p>
    <w:p w:rsidR="00F122C5" w:rsidRPr="00C42A3A" w:rsidRDefault="00F122C5" w:rsidP="000E521A">
      <w:pPr>
        <w:tabs>
          <w:tab w:val="center" w:pos="7001"/>
        </w:tabs>
        <w:spacing w:after="0"/>
        <w:rPr>
          <w:sz w:val="18"/>
        </w:rPr>
      </w:pPr>
      <w:r w:rsidRPr="00C42A3A">
        <w:rPr>
          <w:sz w:val="18"/>
        </w:rPr>
        <w:t>Departament Koordynacji Programów Operacyjnych</w:t>
      </w:r>
      <w:r w:rsidR="000E521A" w:rsidRPr="00C42A3A">
        <w:rPr>
          <w:sz w:val="18"/>
        </w:rPr>
        <w:tab/>
      </w:r>
    </w:p>
    <w:p w:rsidR="00F122C5" w:rsidRPr="00C42A3A" w:rsidRDefault="00F122C5" w:rsidP="00F122C5">
      <w:pPr>
        <w:spacing w:after="0"/>
        <w:rPr>
          <w:sz w:val="18"/>
        </w:rPr>
      </w:pPr>
      <w:r w:rsidRPr="00C42A3A">
        <w:rPr>
          <w:sz w:val="18"/>
        </w:rPr>
        <w:t>Urząd Marszałkowski Województwa Opolskiego</w:t>
      </w:r>
    </w:p>
    <w:p w:rsidR="00F122C5" w:rsidRPr="004A2391" w:rsidRDefault="00AA17E8" w:rsidP="00F122C5">
      <w:pPr>
        <w:spacing w:after="0"/>
        <w:rPr>
          <w:b/>
        </w:rPr>
      </w:pPr>
      <w:r w:rsidRPr="00C42A3A">
        <w:rPr>
          <w:sz w:val="18"/>
        </w:rPr>
        <w:t xml:space="preserve">Opole, </w:t>
      </w:r>
      <w:r w:rsidR="00C42A3A" w:rsidRPr="00C42A3A">
        <w:rPr>
          <w:sz w:val="18"/>
        </w:rPr>
        <w:t xml:space="preserve">wrzesień </w:t>
      </w:r>
      <w:r w:rsidR="00DB3425" w:rsidRPr="00C42A3A">
        <w:rPr>
          <w:sz w:val="18"/>
        </w:rPr>
        <w:t xml:space="preserve">2018 </w:t>
      </w:r>
      <w:r w:rsidR="00F122C5" w:rsidRPr="00C42A3A">
        <w:rPr>
          <w:sz w:val="18"/>
        </w:rPr>
        <w:t>r.</w:t>
      </w:r>
      <w:r w:rsidR="00F122C5" w:rsidRPr="004A2391">
        <w:rPr>
          <w:b/>
        </w:rPr>
        <w:br w:type="page"/>
      </w:r>
    </w:p>
    <w:p w:rsidR="00512467" w:rsidRPr="00DB3425" w:rsidRDefault="006D162A" w:rsidP="00CE7C94">
      <w:pPr>
        <w:spacing w:after="60"/>
        <w:rPr>
          <w:i/>
          <w:sz w:val="24"/>
        </w:rPr>
      </w:pPr>
      <w:r w:rsidRPr="00DB3425">
        <w:rPr>
          <w:b/>
          <w:sz w:val="24"/>
        </w:rPr>
        <w:lastRenderedPageBreak/>
        <w:t>Tabela 1</w:t>
      </w:r>
      <w:r w:rsidR="00CE7C94" w:rsidRPr="00DB3425">
        <w:rPr>
          <w:b/>
          <w:sz w:val="24"/>
        </w:rPr>
        <w:t xml:space="preserve"> </w:t>
      </w:r>
      <w:r w:rsidR="00055EE7" w:rsidRPr="00DB3425">
        <w:rPr>
          <w:i/>
          <w:sz w:val="24"/>
        </w:rPr>
        <w:t>Zestawieni</w:t>
      </w:r>
      <w:r w:rsidR="00F5104E" w:rsidRPr="00DB3425">
        <w:rPr>
          <w:i/>
          <w:sz w:val="24"/>
        </w:rPr>
        <w:t>e</w:t>
      </w:r>
      <w:r w:rsidR="00055EE7" w:rsidRPr="00DB3425">
        <w:rPr>
          <w:i/>
          <w:sz w:val="24"/>
        </w:rPr>
        <w:t xml:space="preserve"> wskaźników </w:t>
      </w:r>
      <w:r w:rsidR="007435C8" w:rsidRPr="00DB3425">
        <w:rPr>
          <w:i/>
          <w:sz w:val="24"/>
        </w:rPr>
        <w:t xml:space="preserve">EFRR </w:t>
      </w:r>
      <w:r w:rsidR="00055EE7" w:rsidRPr="00DB3425">
        <w:rPr>
          <w:i/>
          <w:sz w:val="24"/>
        </w:rPr>
        <w:t xml:space="preserve">na poziomie projektu </w:t>
      </w:r>
      <w:r w:rsidR="00881689" w:rsidRPr="00DB3425">
        <w:rPr>
          <w:i/>
          <w:sz w:val="24"/>
        </w:rPr>
        <w:t>RPO WO 2014-2020</w:t>
      </w:r>
    </w:p>
    <w:tbl>
      <w:tblPr>
        <w:tblStyle w:val="Tabela-Siatka"/>
        <w:tblW w:w="14601" w:type="dxa"/>
        <w:tblBorders>
          <w:top w:val="single" w:sz="4" w:space="0" w:color="33CC33"/>
          <w:left w:val="single" w:sz="4" w:space="0" w:color="33CC33"/>
          <w:bottom w:val="single" w:sz="4" w:space="0" w:color="33CC33"/>
          <w:right w:val="single" w:sz="4" w:space="0" w:color="33CC33"/>
          <w:insideH w:val="single" w:sz="6" w:space="0" w:color="33CC33"/>
          <w:insideV w:val="single" w:sz="6" w:space="0" w:color="33CC33"/>
        </w:tblBorders>
        <w:tblLayout w:type="fixed"/>
        <w:tblLook w:val="04A0" w:firstRow="1" w:lastRow="0" w:firstColumn="1" w:lastColumn="0" w:noHBand="0" w:noVBand="1"/>
      </w:tblPr>
      <w:tblGrid>
        <w:gridCol w:w="568"/>
        <w:gridCol w:w="2688"/>
        <w:gridCol w:w="1275"/>
        <w:gridCol w:w="1276"/>
        <w:gridCol w:w="1423"/>
        <w:gridCol w:w="1129"/>
        <w:gridCol w:w="6242"/>
      </w:tblGrid>
      <w:tr w:rsidR="009E0343" w:rsidRPr="00DB3425" w:rsidTr="00D34446">
        <w:trPr>
          <w:trHeight w:hRule="exact" w:val="839"/>
          <w:tblHeader/>
        </w:trPr>
        <w:tc>
          <w:tcPr>
            <w:tcW w:w="568" w:type="dxa"/>
            <w:shd w:val="clear" w:color="auto" w:fill="F2F2F2"/>
            <w:vAlign w:val="center"/>
          </w:tcPr>
          <w:p w:rsidR="00A36F99" w:rsidRPr="00DB3425" w:rsidRDefault="00A36F99" w:rsidP="009E0343">
            <w:pPr>
              <w:spacing w:before="80" w:after="80"/>
              <w:rPr>
                <w:b/>
                <w:color w:val="000099"/>
                <w:sz w:val="24"/>
                <w:szCs w:val="24"/>
              </w:rPr>
            </w:pPr>
            <w:r w:rsidRPr="00DB3425">
              <w:rPr>
                <w:b/>
                <w:color w:val="000099"/>
                <w:sz w:val="24"/>
                <w:szCs w:val="24"/>
              </w:rPr>
              <w:t>Lp.</w:t>
            </w:r>
          </w:p>
        </w:tc>
        <w:tc>
          <w:tcPr>
            <w:tcW w:w="2688" w:type="dxa"/>
            <w:shd w:val="clear" w:color="auto" w:fill="F2F2F2"/>
            <w:vAlign w:val="center"/>
          </w:tcPr>
          <w:p w:rsidR="00A36F99" w:rsidRPr="00DB3425" w:rsidRDefault="00A36F99" w:rsidP="009E0343">
            <w:pPr>
              <w:spacing w:before="80" w:after="80"/>
              <w:rPr>
                <w:b/>
                <w:color w:val="000099"/>
                <w:sz w:val="24"/>
                <w:szCs w:val="24"/>
              </w:rPr>
            </w:pPr>
            <w:r w:rsidRPr="00DB3425">
              <w:rPr>
                <w:b/>
                <w:color w:val="000099"/>
                <w:sz w:val="24"/>
                <w:szCs w:val="24"/>
              </w:rPr>
              <w:t>Nazwa wskaźnika</w:t>
            </w:r>
          </w:p>
        </w:tc>
        <w:tc>
          <w:tcPr>
            <w:tcW w:w="1275" w:type="dxa"/>
            <w:shd w:val="clear" w:color="auto" w:fill="F2F2F2"/>
            <w:vAlign w:val="center"/>
          </w:tcPr>
          <w:p w:rsidR="00A36F99" w:rsidRPr="00DB3425" w:rsidRDefault="00A36F99" w:rsidP="009E0343">
            <w:pPr>
              <w:spacing w:before="80" w:after="80"/>
              <w:rPr>
                <w:b/>
                <w:color w:val="000099"/>
                <w:sz w:val="24"/>
                <w:szCs w:val="24"/>
              </w:rPr>
            </w:pPr>
            <w:r w:rsidRPr="00DB3425">
              <w:rPr>
                <w:b/>
                <w:color w:val="000099"/>
                <w:sz w:val="24"/>
                <w:szCs w:val="24"/>
              </w:rPr>
              <w:t>Jednostka miary</w:t>
            </w:r>
          </w:p>
        </w:tc>
        <w:tc>
          <w:tcPr>
            <w:tcW w:w="1276" w:type="dxa"/>
            <w:shd w:val="clear" w:color="auto" w:fill="F2F2F2"/>
            <w:vAlign w:val="center"/>
          </w:tcPr>
          <w:p w:rsidR="00A36F99" w:rsidRPr="00DB3425" w:rsidRDefault="00A36F99" w:rsidP="009E0343">
            <w:pPr>
              <w:spacing w:before="80" w:after="80"/>
              <w:rPr>
                <w:b/>
                <w:color w:val="000099"/>
                <w:sz w:val="24"/>
                <w:szCs w:val="24"/>
              </w:rPr>
            </w:pPr>
            <w:r w:rsidRPr="00DB3425">
              <w:rPr>
                <w:b/>
                <w:color w:val="000099"/>
                <w:sz w:val="24"/>
                <w:szCs w:val="24"/>
              </w:rPr>
              <w:t>Rodzaj wskaźnika</w:t>
            </w:r>
          </w:p>
        </w:tc>
        <w:tc>
          <w:tcPr>
            <w:tcW w:w="1423" w:type="dxa"/>
            <w:shd w:val="clear" w:color="auto" w:fill="F2F2F2"/>
            <w:vAlign w:val="center"/>
          </w:tcPr>
          <w:p w:rsidR="00A36F99" w:rsidRPr="00DB3425" w:rsidRDefault="00A36F99" w:rsidP="009E0343">
            <w:pPr>
              <w:spacing w:before="80" w:after="80"/>
              <w:rPr>
                <w:b/>
                <w:color w:val="000099"/>
                <w:sz w:val="24"/>
                <w:szCs w:val="24"/>
              </w:rPr>
            </w:pPr>
            <w:r w:rsidRPr="00DB3425">
              <w:rPr>
                <w:b/>
                <w:color w:val="000099"/>
                <w:sz w:val="24"/>
                <w:szCs w:val="24"/>
              </w:rPr>
              <w:t>Typ wskaźnika</w:t>
            </w:r>
          </w:p>
        </w:tc>
        <w:tc>
          <w:tcPr>
            <w:tcW w:w="1129" w:type="dxa"/>
            <w:shd w:val="clear" w:color="auto" w:fill="F2F2F2"/>
            <w:vAlign w:val="center"/>
          </w:tcPr>
          <w:p w:rsidR="00A36F99" w:rsidRPr="00DB3425" w:rsidRDefault="00A36F99" w:rsidP="009E0343">
            <w:pPr>
              <w:spacing w:before="80" w:after="80"/>
              <w:rPr>
                <w:b/>
                <w:color w:val="000099"/>
                <w:sz w:val="24"/>
                <w:szCs w:val="24"/>
              </w:rPr>
            </w:pPr>
            <w:r w:rsidRPr="00DB3425">
              <w:rPr>
                <w:b/>
                <w:color w:val="000099"/>
                <w:sz w:val="24"/>
                <w:szCs w:val="24"/>
              </w:rPr>
              <w:t>Inne uwagi</w:t>
            </w:r>
          </w:p>
        </w:tc>
        <w:tc>
          <w:tcPr>
            <w:tcW w:w="6242" w:type="dxa"/>
            <w:shd w:val="clear" w:color="auto" w:fill="F2F2F2"/>
            <w:vAlign w:val="center"/>
          </w:tcPr>
          <w:p w:rsidR="00A36F99" w:rsidRPr="00DB3425" w:rsidRDefault="00A36F99" w:rsidP="009E0343">
            <w:pPr>
              <w:spacing w:before="80" w:after="80"/>
              <w:rPr>
                <w:b/>
                <w:color w:val="000099"/>
                <w:sz w:val="24"/>
                <w:szCs w:val="24"/>
              </w:rPr>
            </w:pPr>
            <w:r w:rsidRPr="00DB3425">
              <w:rPr>
                <w:b/>
                <w:color w:val="000099"/>
                <w:sz w:val="24"/>
                <w:szCs w:val="24"/>
              </w:rPr>
              <w:t>Definicja</w:t>
            </w:r>
          </w:p>
        </w:tc>
      </w:tr>
      <w:tr w:rsidR="00A36F99" w:rsidRPr="00DB3425" w:rsidTr="009E0343">
        <w:trPr>
          <w:trHeight w:val="364"/>
        </w:trPr>
        <w:tc>
          <w:tcPr>
            <w:tcW w:w="14601" w:type="dxa"/>
            <w:gridSpan w:val="7"/>
            <w:shd w:val="clear" w:color="auto" w:fill="FFFFFF" w:themeFill="background1"/>
            <w:vAlign w:val="center"/>
          </w:tcPr>
          <w:p w:rsidR="00A36F99" w:rsidRPr="00DB3425" w:rsidRDefault="00A36F99" w:rsidP="009E0343">
            <w:pPr>
              <w:spacing w:before="80" w:after="80"/>
              <w:rPr>
                <w:b/>
                <w:color w:val="000099"/>
                <w:sz w:val="24"/>
                <w:szCs w:val="24"/>
              </w:rPr>
            </w:pPr>
            <w:r w:rsidRPr="00DB3425">
              <w:rPr>
                <w:b/>
                <w:color w:val="000099"/>
                <w:sz w:val="24"/>
                <w:szCs w:val="24"/>
              </w:rPr>
              <w:t>Wskaźniki horyzontalne</w:t>
            </w:r>
          </w:p>
        </w:tc>
      </w:tr>
      <w:tr w:rsidR="009E0343" w:rsidRPr="00DB3425" w:rsidTr="00D34446">
        <w:trPr>
          <w:trHeight w:val="168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1.</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szt.</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produkt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p w:rsidR="00DB3425" w:rsidRPr="00DB3425" w:rsidRDefault="00DB3425" w:rsidP="009E0343">
            <w:pPr>
              <w:rPr>
                <w:sz w:val="24"/>
                <w:szCs w:val="24"/>
              </w:rPr>
            </w:pPr>
          </w:p>
        </w:tc>
        <w:tc>
          <w:tcPr>
            <w:tcW w:w="6242" w:type="dxa"/>
            <w:shd w:val="clear" w:color="auto" w:fill="FFFFFF" w:themeFill="background1"/>
            <w:vAlign w:val="center"/>
          </w:tcPr>
          <w:p w:rsidR="00DB3425" w:rsidRPr="003E5513" w:rsidRDefault="00DB3425" w:rsidP="009E0343">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i poruszanie się po nich osobom </w:t>
            </w:r>
            <w:r>
              <w:rPr>
                <w:rFonts w:ascii="Calibri" w:eastAsia="Times New Roman" w:hAnsi="Calibri" w:cs="Times New Roman"/>
                <w:sz w:val="24"/>
                <w:szCs w:val="20"/>
                <w:lang w:eastAsia="en-US"/>
              </w:rPr>
              <w:t xml:space="preserve">z </w:t>
            </w:r>
            <w:r w:rsidRPr="003E5513">
              <w:rPr>
                <w:rFonts w:ascii="Calibri" w:eastAsia="Times New Roman" w:hAnsi="Calibri" w:cs="Times New Roman"/>
                <w:sz w:val="24"/>
                <w:szCs w:val="20"/>
                <w:lang w:eastAsia="en-US"/>
              </w:rPr>
              <w:t>niepełnosprawnościami ruchowymi czy sensorycznymi.</w:t>
            </w:r>
          </w:p>
          <w:p w:rsidR="00DB3425" w:rsidRPr="003E5513" w:rsidRDefault="00DB3425" w:rsidP="009E0343">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rsidR="00DB3425" w:rsidRPr="003E5513" w:rsidRDefault="00DB3425" w:rsidP="009E0343">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rsidR="00DB3425" w:rsidRPr="003E5513" w:rsidRDefault="00DB3425" w:rsidP="009E0343">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rsidR="00DB3425" w:rsidRPr="003E5513" w:rsidRDefault="00DB3425" w:rsidP="009E0343">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rsidR="00DB3425" w:rsidRPr="003E5513" w:rsidRDefault="00DB3425" w:rsidP="009E0343">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i dedykowanych (zgodnie z kategoryzacją projektów z </w:t>
            </w:r>
            <w:r w:rsidRPr="003E5513">
              <w:rPr>
                <w:rFonts w:ascii="Calibri" w:eastAsia="Times New Roman" w:hAnsi="Calibri" w:cs="Times New Roman"/>
                <w:i/>
                <w:sz w:val="24"/>
                <w:szCs w:val="20"/>
                <w:lang w:eastAsia="en-US"/>
              </w:rPr>
              <w:t>Wytycznych w zakresie realizacji zasady równości szans i niedyskryminacji, w tym dostępności dla osób 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9E0343" w:rsidRPr="00DB3425" w:rsidTr="00D34446">
        <w:trPr>
          <w:trHeight w:val="466"/>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2.</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Liczba osób objętych szkoleniami / doradztwem w zakresie kompetencji cyfrowych</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osoby</w:t>
            </w:r>
          </w:p>
        </w:tc>
        <w:tc>
          <w:tcPr>
            <w:tcW w:w="1276"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produkt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val="restart"/>
            <w:shd w:val="clear" w:color="auto" w:fill="FFFFFF" w:themeFill="background1"/>
            <w:vAlign w:val="center"/>
          </w:tcPr>
          <w:p w:rsidR="00DB3425" w:rsidRPr="003E5513" w:rsidRDefault="00DB3425" w:rsidP="009E0343">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komputera, różnych rodzajów oprogramowania, </w:t>
            </w:r>
            <w:proofErr w:type="spellStart"/>
            <w:r w:rsidRPr="003E5513">
              <w:rPr>
                <w:rFonts w:ascii="Calibri" w:eastAsia="Times New Roman" w:hAnsi="Calibri" w:cs="Times New Roman"/>
                <w:sz w:val="24"/>
                <w:szCs w:val="20"/>
                <w:lang w:eastAsia="en-US"/>
              </w:rPr>
              <w:t>internetu</w:t>
            </w:r>
            <w:proofErr w:type="spellEnd"/>
            <w:r w:rsidRPr="003E5513">
              <w:rPr>
                <w:rFonts w:ascii="Calibri" w:eastAsia="Times New Roman" w:hAnsi="Calibri" w:cs="Times New Roman"/>
                <w:sz w:val="24"/>
                <w:szCs w:val="20"/>
                <w:lang w:eastAsia="en-US"/>
              </w:rPr>
              <w:t xml:space="preserve"> oraz kompetencji ściśle informatycznych (np. programowanie, zarządzanie bazami danych, administracja sieciami, administracja witrynami internetowymi).</w:t>
            </w:r>
          </w:p>
          <w:p w:rsidR="00DB3425" w:rsidRPr="003E5513" w:rsidRDefault="00DB3425" w:rsidP="009E0343">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DB3425" w:rsidRPr="003E5513" w:rsidRDefault="00DB3425" w:rsidP="009E0343">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rsidR="00DB3425" w:rsidRPr="003E5513" w:rsidRDefault="00DB3425" w:rsidP="009E0343">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9E0343" w:rsidRPr="00DB3425" w:rsidTr="00D34446">
        <w:trPr>
          <w:trHeight w:val="466"/>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2a.</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kobiety</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osoby</w:t>
            </w:r>
          </w:p>
        </w:tc>
        <w:tc>
          <w:tcPr>
            <w:tcW w:w="1276"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produkt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tabs>
                <w:tab w:val="left" w:pos="3402"/>
                <w:tab w:val="left" w:pos="5103"/>
              </w:tabs>
              <w:spacing w:before="60" w:after="60"/>
              <w:ind w:left="-8"/>
              <w:rPr>
                <w:rFonts w:ascii="Calibri" w:eastAsia="Times New Roman" w:hAnsi="Calibri" w:cs="Times New Roman"/>
                <w:sz w:val="24"/>
                <w:szCs w:val="24"/>
                <w:lang w:eastAsia="en-US"/>
              </w:rPr>
            </w:pPr>
          </w:p>
        </w:tc>
      </w:tr>
      <w:tr w:rsidR="009E0343" w:rsidRPr="00DB3425" w:rsidTr="00D34446">
        <w:trPr>
          <w:trHeight w:val="466"/>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2b.</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mężczyźni</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osoby</w:t>
            </w:r>
          </w:p>
        </w:tc>
        <w:tc>
          <w:tcPr>
            <w:tcW w:w="1276"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produkt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tabs>
                <w:tab w:val="left" w:pos="3402"/>
                <w:tab w:val="left" w:pos="5103"/>
              </w:tabs>
              <w:spacing w:before="60" w:after="60"/>
              <w:ind w:left="-8"/>
              <w:rPr>
                <w:rFonts w:ascii="Calibri" w:eastAsia="Times New Roman" w:hAnsi="Calibri" w:cs="Times New Roman"/>
                <w:sz w:val="24"/>
                <w:szCs w:val="24"/>
                <w:lang w:eastAsia="en-US"/>
              </w:rPr>
            </w:pPr>
          </w:p>
        </w:tc>
      </w:tr>
      <w:tr w:rsidR="009E0343" w:rsidRPr="00DB3425" w:rsidTr="00D34446">
        <w:trPr>
          <w:trHeight w:val="466"/>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3.</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szt.</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produkt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shd w:val="clear" w:color="auto" w:fill="FFFFFF" w:themeFill="background1"/>
            <w:vAlign w:val="center"/>
          </w:tcPr>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sidR="009E0343">
              <w:rPr>
                <w:rFonts w:ascii="Calibri" w:eastAsia="Times New Roman" w:hAnsi="Calibri" w:cs="Times New Roman"/>
                <w:sz w:val="24"/>
                <w:szCs w:val="20"/>
                <w:lang w:eastAsia="en-US"/>
              </w:rPr>
              <w:t xml:space="preserve"> </w:t>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sidRPr="003E5513">
              <w:rPr>
                <w:rFonts w:ascii="Calibri" w:eastAsia="Times New Roman" w:hAnsi="Calibri" w:cs="Times New Roman"/>
                <w:sz w:val="24"/>
                <w:szCs w:val="20"/>
                <w:lang w:eastAsia="en-US"/>
              </w:rPr>
              <w:t xml:space="preserve">z niepełnosprawnościami możliwości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wszelkich praw człowieka i podstawowych wolności oraz ich wykonywania na zasadzie równości z innymi osobami.</w:t>
            </w:r>
          </w:p>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009E0343">
              <w:rPr>
                <w:rFonts w:ascii="Calibri" w:eastAsia="Times New Roman" w:hAnsi="Calibri" w:cs="Times New Roman"/>
                <w:sz w:val="24"/>
                <w:szCs w:val="20"/>
                <w:lang w:eastAsia="en-US"/>
              </w:rPr>
              <w:t>w </w:t>
            </w:r>
            <w:r w:rsidRPr="003E5513">
              <w:rPr>
                <w:rFonts w:ascii="Calibri" w:eastAsia="Times New Roman" w:hAnsi="Calibri" w:cs="Times New Roman"/>
                <w:sz w:val="24"/>
                <w:szCs w:val="20"/>
                <w:lang w:eastAsia="en-US"/>
              </w:rPr>
              <w:t>alfabecie Braille'a), osoby asystujące, odpowiednie dostosowanie wyżywienia.</w:t>
            </w:r>
          </w:p>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sidR="009E0343">
              <w:rPr>
                <w:rFonts w:ascii="Calibri" w:eastAsia="Times New Roman" w:hAnsi="Calibri" w:cs="Times New Roman"/>
                <w:sz w:val="24"/>
                <w:szCs w:val="20"/>
                <w:lang w:eastAsia="en-US"/>
              </w:rPr>
              <w:t>z </w:t>
            </w:r>
            <w:r w:rsidRPr="003E5513">
              <w:rPr>
                <w:rFonts w:ascii="Calibri" w:eastAsia="Times New Roman" w:hAnsi="Calibri" w:cs="Times New Roman"/>
                <w:sz w:val="24"/>
                <w:szCs w:val="20"/>
                <w:lang w:eastAsia="en-US"/>
              </w:rPr>
              <w:t xml:space="preserve">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rsidR="00DB3425" w:rsidRPr="003E5513" w:rsidRDefault="00DB3425" w:rsidP="009E0343">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rsidR="00DB3425" w:rsidRDefault="00DB3425" w:rsidP="009E0343">
            <w:pPr>
              <w:tabs>
                <w:tab w:val="left" w:pos="3402"/>
                <w:tab w:val="left" w:pos="5103"/>
              </w:tabs>
              <w:spacing w:before="60" w:after="60"/>
              <w:ind w:left="-8"/>
              <w:rPr>
                <w:rFonts w:eastAsiaTheme="minorHAnsi"/>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p w:rsidR="009E0343" w:rsidRPr="003E5513" w:rsidRDefault="009E0343" w:rsidP="009E0343">
            <w:pPr>
              <w:tabs>
                <w:tab w:val="left" w:pos="3402"/>
                <w:tab w:val="left" w:pos="5103"/>
              </w:tabs>
              <w:spacing w:before="60" w:after="60"/>
              <w:ind w:left="-8"/>
              <w:rPr>
                <w:rFonts w:ascii="Calibri" w:eastAsia="Times New Roman" w:hAnsi="Calibri" w:cs="Times New Roman"/>
                <w:sz w:val="24"/>
                <w:szCs w:val="20"/>
                <w:lang w:eastAsia="en-US"/>
              </w:rPr>
            </w:pPr>
          </w:p>
        </w:tc>
      </w:tr>
      <w:tr w:rsidR="009E0343" w:rsidRPr="00DB3425" w:rsidTr="00D34446">
        <w:trPr>
          <w:trHeight w:val="855"/>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4.</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Liczba podmiotów wykorzystujących technologie informacyjno-komunikacyjne</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szt.</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produkt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shd w:val="clear" w:color="auto" w:fill="FFFFFF" w:themeFill="background1"/>
            <w:vAlign w:val="center"/>
          </w:tcPr>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rsidR="00DB3425" w:rsidRPr="003E5513" w:rsidRDefault="00DB3425" w:rsidP="009E0343">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projekt jest realizowany przez partnerstwo podmiotów, 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9E0343" w:rsidRPr="00DB3425" w:rsidTr="00D34446">
        <w:trPr>
          <w:trHeight w:val="1966"/>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5.</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242" w:type="dxa"/>
            <w:vMerge w:val="restart"/>
            <w:shd w:val="clear" w:color="auto" w:fill="FFFFFF" w:themeFill="background1"/>
            <w:vAlign w:val="center"/>
          </w:tcPr>
          <w:p w:rsidR="00DB3425" w:rsidRPr="003E5513" w:rsidRDefault="00DB3425" w:rsidP="009E0343">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w:t>
            </w:r>
            <w:r w:rsidR="009E0343">
              <w:rPr>
                <w:rFonts w:cs="Times New Roman"/>
                <w:sz w:val="24"/>
                <w:szCs w:val="20"/>
              </w:rPr>
              <w:t>iejsc pracy w </w:t>
            </w:r>
            <w:r w:rsidRPr="003E5513">
              <w:rPr>
                <w:rFonts w:cs="Times New Roman"/>
                <w:sz w:val="24"/>
                <w:szCs w:val="20"/>
              </w:rPr>
              <w:t>przedsiębiorstw</w:t>
            </w:r>
            <w:r w:rsidR="009E0343">
              <w:rPr>
                <w:rFonts w:cs="Times New Roman"/>
                <w:sz w:val="24"/>
                <w:szCs w:val="20"/>
              </w:rPr>
              <w:t>ie. Jeśli łączne zatrudnienie w </w:t>
            </w:r>
            <w:r w:rsidRPr="003E5513">
              <w:rPr>
                <w:rFonts w:cs="Times New Roman"/>
                <w:sz w:val="24"/>
                <w:szCs w:val="20"/>
              </w:rPr>
              <w:t>przedsiębiorstwie nie zwiększa się, wartość jest równa zero - to wskaźnik jest traktowany jako wyregulowanie, a nie zwiększenie. Zagwarantowane itp. miejsca pracy nie są wliczone.</w:t>
            </w:r>
          </w:p>
          <w:p w:rsidR="00DB3425" w:rsidRPr="003E5513" w:rsidRDefault="00DB3425" w:rsidP="009E0343">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DB3425" w:rsidRPr="003E5513" w:rsidRDefault="00DB3425" w:rsidP="009E0343">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DB3425" w:rsidRPr="003E5513" w:rsidRDefault="00DB3425" w:rsidP="009E0343">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DB3425" w:rsidRPr="003E5513" w:rsidRDefault="00DB3425" w:rsidP="009E0343">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w:t>
            </w:r>
            <w:r w:rsidR="00F61A9E">
              <w:rPr>
                <w:rFonts w:cs="Times New Roman"/>
                <w:sz w:val="24"/>
                <w:szCs w:val="20"/>
              </w:rPr>
              <w:br/>
            </w:r>
            <w:r w:rsidRPr="003E5513">
              <w:rPr>
                <w:rFonts w:cs="Times New Roman"/>
                <w:sz w:val="24"/>
                <w:szCs w:val="20"/>
              </w:rPr>
              <w:t>i po jego zakończeniu; Instytucje Zarządzające mają swobodę w określaniu dokładnego czasu. Preferowane jest stosowanie średniego zatrudnienia w oparciu o dane z 6 miesięcy lub z roku, dla danych dotyczących zatrudnienia w określonych terminach.</w:t>
            </w:r>
          </w:p>
          <w:p w:rsidR="00DB3425" w:rsidRPr="003E5513" w:rsidRDefault="00DB3425" w:rsidP="009E0343">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DB3425" w:rsidRPr="003E5513" w:rsidRDefault="00DB3425" w:rsidP="009E0343">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9E0343" w:rsidRPr="00DB3425" w:rsidTr="00D34446">
        <w:trPr>
          <w:trHeight w:val="2763"/>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5a.</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242" w:type="dxa"/>
            <w:vMerge/>
            <w:shd w:val="clear" w:color="auto" w:fill="FFFFFF" w:themeFill="background1"/>
            <w:vAlign w:val="center"/>
          </w:tcPr>
          <w:p w:rsidR="00DB3425" w:rsidRPr="00DB3425" w:rsidRDefault="00DB3425" w:rsidP="009E0343">
            <w:pPr>
              <w:tabs>
                <w:tab w:val="left" w:pos="3402"/>
                <w:tab w:val="left" w:pos="5103"/>
              </w:tabs>
              <w:ind w:left="-8"/>
              <w:contextualSpacing/>
              <w:rPr>
                <w:rFonts w:ascii="Calibri" w:eastAsia="Times New Roman" w:hAnsi="Calibri" w:cs="Times New Roman"/>
                <w:sz w:val="24"/>
                <w:szCs w:val="24"/>
                <w:lang w:eastAsia="en-US"/>
              </w:rPr>
            </w:pPr>
          </w:p>
        </w:tc>
      </w:tr>
      <w:tr w:rsidR="009E0343" w:rsidRPr="00DB3425" w:rsidTr="00D34446">
        <w:trPr>
          <w:trHeight w:val="823"/>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5b.</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242" w:type="dxa"/>
            <w:vMerge/>
            <w:shd w:val="clear" w:color="auto" w:fill="FFFFFF" w:themeFill="background1"/>
            <w:vAlign w:val="center"/>
          </w:tcPr>
          <w:p w:rsidR="00DB3425" w:rsidRPr="00DB3425" w:rsidRDefault="00DB3425" w:rsidP="009E0343">
            <w:pPr>
              <w:spacing w:before="80" w:after="80"/>
              <w:rPr>
                <w:i/>
                <w:color w:val="C00000"/>
                <w:sz w:val="24"/>
                <w:szCs w:val="24"/>
              </w:rPr>
            </w:pPr>
          </w:p>
        </w:tc>
      </w:tr>
      <w:tr w:rsidR="009E0343" w:rsidRPr="00DB3425" w:rsidTr="00D34446">
        <w:trPr>
          <w:trHeight w:val="456"/>
        </w:trPr>
        <w:tc>
          <w:tcPr>
            <w:tcW w:w="568" w:type="dxa"/>
            <w:shd w:val="clear" w:color="auto" w:fill="FFFFFF" w:themeFill="background1"/>
            <w:vAlign w:val="center"/>
          </w:tcPr>
          <w:p w:rsidR="00DB3425" w:rsidRPr="00DB3425" w:rsidRDefault="00DB3425" w:rsidP="009E0343">
            <w:pPr>
              <w:spacing w:before="80" w:after="80"/>
              <w:rPr>
                <w:sz w:val="24"/>
                <w:szCs w:val="24"/>
                <w:highlight w:val="red"/>
              </w:rPr>
            </w:pPr>
            <w:r w:rsidRPr="00DB3425">
              <w:rPr>
                <w:sz w:val="24"/>
                <w:szCs w:val="24"/>
              </w:rPr>
              <w:t>6.</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Wzrost zatrudnienia we wspieranych podmiotach (innych niż przedsiębiorstwa)</w:t>
            </w:r>
          </w:p>
        </w:tc>
        <w:tc>
          <w:tcPr>
            <w:tcW w:w="1275"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val="restart"/>
            <w:shd w:val="clear" w:color="auto" w:fill="FFFFFF" w:themeFill="background1"/>
            <w:vAlign w:val="center"/>
          </w:tcPr>
          <w:p w:rsidR="00DB3425" w:rsidRPr="003E5513" w:rsidRDefault="00DB3425" w:rsidP="009E0343">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9E0343" w:rsidRPr="00DB3425" w:rsidTr="00D34446">
        <w:trPr>
          <w:trHeight w:val="56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6a.</w:t>
            </w:r>
          </w:p>
        </w:tc>
        <w:tc>
          <w:tcPr>
            <w:tcW w:w="2688" w:type="dxa"/>
            <w:shd w:val="clear" w:color="auto" w:fill="FFFFFF" w:themeFill="background1"/>
            <w:vAlign w:val="center"/>
          </w:tcPr>
          <w:p w:rsidR="00DB3425" w:rsidRPr="00DB3425" w:rsidRDefault="00DB3425" w:rsidP="009E0343">
            <w:pPr>
              <w:rPr>
                <w:i/>
                <w:sz w:val="24"/>
                <w:szCs w:val="24"/>
              </w:rPr>
            </w:pPr>
            <w:r w:rsidRPr="00DB3425">
              <w:rPr>
                <w:i/>
                <w:sz w:val="24"/>
                <w:szCs w:val="24"/>
              </w:rPr>
              <w:t>Wzrost zatrudnienia we wspieranych podmiotach (innych niż przedsiębiorstwa)</w:t>
            </w:r>
          </w:p>
          <w:p w:rsidR="00DB3425" w:rsidRPr="00DB3425" w:rsidRDefault="00DB3425" w:rsidP="009E0343">
            <w:pPr>
              <w:spacing w:before="40"/>
              <w:rPr>
                <w:i/>
                <w:sz w:val="24"/>
                <w:szCs w:val="24"/>
              </w:rPr>
            </w:pPr>
            <w:r w:rsidRPr="00DB3425">
              <w:rPr>
                <w:i/>
                <w:sz w:val="24"/>
                <w:szCs w:val="24"/>
              </w:rPr>
              <w:t>- kobiety</w:t>
            </w:r>
          </w:p>
        </w:tc>
        <w:tc>
          <w:tcPr>
            <w:tcW w:w="1275"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spacing w:before="80" w:after="80"/>
              <w:rPr>
                <w:i/>
                <w:color w:val="C00000"/>
                <w:sz w:val="24"/>
                <w:szCs w:val="24"/>
              </w:rPr>
            </w:pPr>
          </w:p>
        </w:tc>
      </w:tr>
      <w:tr w:rsidR="009E0343" w:rsidRPr="00DB3425" w:rsidTr="00D34446">
        <w:trPr>
          <w:trHeight w:val="56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6b.</w:t>
            </w:r>
          </w:p>
        </w:tc>
        <w:tc>
          <w:tcPr>
            <w:tcW w:w="2688" w:type="dxa"/>
            <w:shd w:val="clear" w:color="auto" w:fill="FFFFFF" w:themeFill="background1"/>
            <w:vAlign w:val="center"/>
          </w:tcPr>
          <w:p w:rsidR="00DB3425" w:rsidRPr="00DB3425" w:rsidRDefault="00DB3425" w:rsidP="009E0343">
            <w:pPr>
              <w:rPr>
                <w:i/>
                <w:sz w:val="24"/>
                <w:szCs w:val="24"/>
              </w:rPr>
            </w:pPr>
            <w:r w:rsidRPr="00DB3425">
              <w:rPr>
                <w:i/>
                <w:sz w:val="24"/>
                <w:szCs w:val="24"/>
              </w:rPr>
              <w:t>Wzrost zatrudnienia we wspieranych podmiotach (innych niż przedsiębiorstwa)</w:t>
            </w:r>
          </w:p>
          <w:p w:rsidR="00DB3425" w:rsidRPr="00DB3425" w:rsidRDefault="00DB3425" w:rsidP="009E0343">
            <w:pPr>
              <w:spacing w:before="40"/>
              <w:rPr>
                <w:i/>
                <w:sz w:val="24"/>
                <w:szCs w:val="24"/>
              </w:rPr>
            </w:pPr>
            <w:r w:rsidRPr="00DB3425">
              <w:rPr>
                <w:i/>
                <w:sz w:val="24"/>
                <w:szCs w:val="24"/>
              </w:rPr>
              <w:t>- mężczyźni</w:t>
            </w:r>
          </w:p>
        </w:tc>
        <w:tc>
          <w:tcPr>
            <w:tcW w:w="1275"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tabs>
                <w:tab w:val="center" w:pos="4536"/>
                <w:tab w:val="right" w:pos="9072"/>
              </w:tabs>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spacing w:before="80" w:after="80"/>
              <w:rPr>
                <w:i/>
                <w:color w:val="C00000"/>
                <w:sz w:val="24"/>
                <w:szCs w:val="24"/>
              </w:rPr>
            </w:pPr>
          </w:p>
        </w:tc>
      </w:tr>
      <w:tr w:rsidR="009E0343" w:rsidRPr="00DB3425" w:rsidTr="00D34446">
        <w:trPr>
          <w:trHeight w:val="56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7.</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Liczba utrzymanych miejsc pracy</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val="restart"/>
            <w:shd w:val="clear" w:color="auto" w:fill="FFFFFF" w:themeFill="background1"/>
            <w:vAlign w:val="center"/>
          </w:tcPr>
          <w:p w:rsidR="00DB3425" w:rsidRPr="003E5513" w:rsidRDefault="00DB3425" w:rsidP="009E0343">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DB3425" w:rsidRPr="003E5513" w:rsidRDefault="00DB3425" w:rsidP="009E0343">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DB3425" w:rsidRPr="003E5513" w:rsidRDefault="00DB3425" w:rsidP="009E0343">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DB3425" w:rsidRPr="003E5513" w:rsidRDefault="00DB3425" w:rsidP="009E0343">
            <w:pPr>
              <w:spacing w:before="60" w:after="60"/>
              <w:rPr>
                <w:sz w:val="24"/>
                <w:szCs w:val="20"/>
              </w:rPr>
            </w:pPr>
            <w:r w:rsidRPr="003E5513">
              <w:rPr>
                <w:sz w:val="24"/>
                <w:szCs w:val="20"/>
              </w:rPr>
              <w:t>W celu weryfikacji, czy utrzymano wymaganą liczbę nowych miejsc pracy, należy porównać poziom wyjściowy zatrudnienia (na moment złożenia wniosku aplikacyjnego), z poziomem zatrudnienia w okresie utrzymania nowych miejsc pracy.</w:t>
            </w:r>
          </w:p>
          <w:p w:rsidR="00DB3425" w:rsidRPr="003E5513" w:rsidRDefault="00DB3425" w:rsidP="009E0343">
            <w:pPr>
              <w:spacing w:before="60" w:after="60"/>
              <w:rPr>
                <w:i/>
                <w:color w:val="C00000"/>
                <w:sz w:val="24"/>
                <w:szCs w:val="20"/>
              </w:rPr>
            </w:pPr>
            <w:r w:rsidRPr="003E5513">
              <w:rPr>
                <w:i/>
                <w:sz w:val="24"/>
                <w:szCs w:val="20"/>
              </w:rPr>
              <w:t>[Definicja opracowana przez IZ RPO WO 2014-2020]</w:t>
            </w:r>
          </w:p>
        </w:tc>
      </w:tr>
      <w:tr w:rsidR="009E0343" w:rsidRPr="00DB3425" w:rsidTr="00D34446">
        <w:trPr>
          <w:trHeight w:val="56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7a.</w:t>
            </w:r>
          </w:p>
        </w:tc>
        <w:tc>
          <w:tcPr>
            <w:tcW w:w="2688" w:type="dxa"/>
            <w:shd w:val="clear" w:color="auto" w:fill="FFFFFF" w:themeFill="background1"/>
            <w:vAlign w:val="center"/>
          </w:tcPr>
          <w:p w:rsidR="00DB3425" w:rsidRPr="00DB3425" w:rsidRDefault="00DB3425" w:rsidP="009E0343">
            <w:pPr>
              <w:rPr>
                <w:i/>
                <w:sz w:val="24"/>
                <w:szCs w:val="24"/>
              </w:rPr>
            </w:pPr>
            <w:r w:rsidRPr="00DB3425">
              <w:rPr>
                <w:i/>
                <w:sz w:val="24"/>
                <w:szCs w:val="24"/>
              </w:rPr>
              <w:t>Liczba utrzymanych miejsc pracy</w:t>
            </w:r>
          </w:p>
          <w:p w:rsidR="00DB3425" w:rsidRPr="00DB3425" w:rsidRDefault="00DB3425" w:rsidP="009E0343">
            <w:pPr>
              <w:spacing w:before="40"/>
              <w:rPr>
                <w:i/>
                <w:sz w:val="24"/>
                <w:szCs w:val="24"/>
              </w:rPr>
            </w:pPr>
            <w:r w:rsidRPr="00DB3425">
              <w:rPr>
                <w:i/>
                <w:sz w:val="24"/>
                <w:szCs w:val="24"/>
              </w:rPr>
              <w:t>- kobiety</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spacing w:before="80" w:after="80"/>
              <w:rPr>
                <w:i/>
                <w:color w:val="C00000"/>
                <w:sz w:val="24"/>
                <w:szCs w:val="24"/>
              </w:rPr>
            </w:pPr>
          </w:p>
        </w:tc>
      </w:tr>
      <w:tr w:rsidR="009E0343" w:rsidRPr="00DB3425" w:rsidTr="00D34446">
        <w:trPr>
          <w:trHeight w:val="56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7b.</w:t>
            </w:r>
          </w:p>
        </w:tc>
        <w:tc>
          <w:tcPr>
            <w:tcW w:w="2688" w:type="dxa"/>
            <w:shd w:val="clear" w:color="auto" w:fill="FFFFFF" w:themeFill="background1"/>
            <w:vAlign w:val="center"/>
          </w:tcPr>
          <w:p w:rsidR="00DB3425" w:rsidRPr="00DB3425" w:rsidRDefault="00DB3425" w:rsidP="009E0343">
            <w:pPr>
              <w:rPr>
                <w:i/>
                <w:sz w:val="24"/>
                <w:szCs w:val="24"/>
              </w:rPr>
            </w:pPr>
            <w:r w:rsidRPr="00DB3425">
              <w:rPr>
                <w:i/>
                <w:sz w:val="24"/>
                <w:szCs w:val="24"/>
              </w:rPr>
              <w:t>Liczba utrzymanych miejsc pracy</w:t>
            </w:r>
          </w:p>
          <w:p w:rsidR="00DB3425" w:rsidRPr="00DB3425" w:rsidRDefault="00DB3425" w:rsidP="009E0343">
            <w:pPr>
              <w:spacing w:before="40"/>
              <w:rPr>
                <w:i/>
                <w:sz w:val="24"/>
                <w:szCs w:val="24"/>
              </w:rPr>
            </w:pPr>
            <w:r w:rsidRPr="00DB3425">
              <w:rPr>
                <w:i/>
                <w:sz w:val="24"/>
                <w:szCs w:val="24"/>
              </w:rPr>
              <w:t>- mężczyźni</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spacing w:before="80" w:after="80"/>
              <w:rPr>
                <w:i/>
                <w:color w:val="C00000"/>
                <w:sz w:val="24"/>
                <w:szCs w:val="24"/>
              </w:rPr>
            </w:pPr>
          </w:p>
        </w:tc>
      </w:tr>
      <w:tr w:rsidR="009E0343" w:rsidRPr="00DB3425" w:rsidTr="00D34446">
        <w:trPr>
          <w:trHeight w:val="56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8.</w:t>
            </w:r>
          </w:p>
        </w:tc>
        <w:tc>
          <w:tcPr>
            <w:tcW w:w="2688" w:type="dxa"/>
            <w:shd w:val="clear" w:color="auto" w:fill="FFFFFF" w:themeFill="background1"/>
            <w:vAlign w:val="center"/>
          </w:tcPr>
          <w:p w:rsidR="00DB3425" w:rsidRPr="00DB3425" w:rsidRDefault="00DB3425" w:rsidP="009E0343">
            <w:pPr>
              <w:spacing w:before="80" w:after="80"/>
              <w:rPr>
                <w:i/>
                <w:sz w:val="24"/>
                <w:szCs w:val="24"/>
              </w:rPr>
            </w:pPr>
            <w:r w:rsidRPr="00DB3425">
              <w:rPr>
                <w:i/>
                <w:sz w:val="24"/>
                <w:szCs w:val="24"/>
              </w:rPr>
              <w:t>Liczba nowo utworzonych miejsc pracy - pozostałe formy</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val="restart"/>
            <w:shd w:val="clear" w:color="auto" w:fill="FFFFFF" w:themeFill="background1"/>
            <w:vAlign w:val="center"/>
          </w:tcPr>
          <w:p w:rsidR="00DB3425" w:rsidRPr="003E5513" w:rsidRDefault="00DB3425" w:rsidP="009E0343">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rsidR="00DB3425" w:rsidRPr="003E5513" w:rsidRDefault="00DB3425" w:rsidP="009E0343">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przepracowanego przez poszczególnych pracowników w ciągu roku sprawozdawczego w stosunku do pełnego czasu pracy obowiązującego w danej instytucji.</w:t>
            </w:r>
          </w:p>
          <w:p w:rsidR="00DB3425" w:rsidRPr="003E5513" w:rsidRDefault="00DB3425" w:rsidP="009E0343">
            <w:pPr>
              <w:spacing w:before="80" w:after="80"/>
              <w:rPr>
                <w:sz w:val="24"/>
                <w:szCs w:val="20"/>
              </w:rPr>
            </w:pPr>
            <w:r w:rsidRPr="003E5513">
              <w:rPr>
                <w:sz w:val="24"/>
                <w:szCs w:val="20"/>
              </w:rPr>
              <w:t xml:space="preserve">W przypadku osób wykonujących daną działalność na podstawie umowy zlecenia, umowy o dzieło lub samozatrudnienia – do wyliczenia EPC podajemy: pełny, faktyczny czas pracy w roku sprawozdawczym </w:t>
            </w:r>
            <w:r>
              <w:rPr>
                <w:sz w:val="24"/>
                <w:szCs w:val="20"/>
              </w:rPr>
              <w:br/>
            </w:r>
            <w:r w:rsidRPr="003E5513">
              <w:rPr>
                <w:sz w:val="24"/>
                <w:szCs w:val="20"/>
              </w:rPr>
              <w:t>„ze wszystkich umów”, podany, jako odpowiedni ułamek rocznego czasu pracy.</w:t>
            </w:r>
          </w:p>
          <w:p w:rsidR="00DB3425" w:rsidRPr="003E5513" w:rsidRDefault="00DB3425" w:rsidP="009E0343">
            <w:pPr>
              <w:spacing w:before="80" w:after="80"/>
              <w:rPr>
                <w:i/>
                <w:color w:val="C00000"/>
                <w:sz w:val="24"/>
                <w:szCs w:val="20"/>
              </w:rPr>
            </w:pPr>
            <w:r w:rsidRPr="003E5513">
              <w:rPr>
                <w:i/>
                <w:sz w:val="24"/>
                <w:szCs w:val="20"/>
              </w:rPr>
              <w:t>[Definicja opracowana przez IZ RPO WO 2014-2020]</w:t>
            </w:r>
          </w:p>
        </w:tc>
      </w:tr>
      <w:tr w:rsidR="009E0343" w:rsidRPr="00DB3425" w:rsidTr="00D34446">
        <w:trPr>
          <w:trHeight w:val="562"/>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8a.</w:t>
            </w:r>
          </w:p>
        </w:tc>
        <w:tc>
          <w:tcPr>
            <w:tcW w:w="2688" w:type="dxa"/>
            <w:shd w:val="clear" w:color="auto" w:fill="FFFFFF" w:themeFill="background1"/>
            <w:vAlign w:val="center"/>
          </w:tcPr>
          <w:p w:rsidR="00DB3425" w:rsidRPr="00DB3425" w:rsidRDefault="00DB3425" w:rsidP="009E0343">
            <w:pPr>
              <w:rPr>
                <w:i/>
                <w:sz w:val="24"/>
                <w:szCs w:val="24"/>
              </w:rPr>
            </w:pPr>
            <w:r w:rsidRPr="00DB3425">
              <w:rPr>
                <w:i/>
                <w:sz w:val="24"/>
                <w:szCs w:val="24"/>
              </w:rPr>
              <w:t>Liczba nowo utworzonych miejsc pracy - pozostałe formy</w:t>
            </w:r>
          </w:p>
          <w:p w:rsidR="00DB3425" w:rsidRPr="00DB3425" w:rsidRDefault="00DB3425" w:rsidP="009E0343">
            <w:pPr>
              <w:spacing w:before="40"/>
              <w:rPr>
                <w:i/>
                <w:sz w:val="24"/>
                <w:szCs w:val="24"/>
              </w:rPr>
            </w:pPr>
            <w:r w:rsidRPr="00DB3425">
              <w:rPr>
                <w:i/>
                <w:sz w:val="24"/>
                <w:szCs w:val="24"/>
              </w:rPr>
              <w:t>- kobiety</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spacing w:before="80" w:after="80"/>
              <w:rPr>
                <w:i/>
                <w:color w:val="C00000"/>
                <w:sz w:val="24"/>
                <w:szCs w:val="24"/>
              </w:rPr>
            </w:pPr>
          </w:p>
        </w:tc>
      </w:tr>
      <w:tr w:rsidR="009E0343" w:rsidRPr="00DB3425" w:rsidTr="00D34446">
        <w:trPr>
          <w:trHeight w:val="4340"/>
        </w:trPr>
        <w:tc>
          <w:tcPr>
            <w:tcW w:w="568"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8b.</w:t>
            </w:r>
          </w:p>
        </w:tc>
        <w:tc>
          <w:tcPr>
            <w:tcW w:w="2688" w:type="dxa"/>
            <w:shd w:val="clear" w:color="auto" w:fill="FFFFFF" w:themeFill="background1"/>
            <w:vAlign w:val="center"/>
          </w:tcPr>
          <w:p w:rsidR="00DB3425" w:rsidRPr="00DB3425" w:rsidRDefault="00DB3425" w:rsidP="009E0343">
            <w:pPr>
              <w:rPr>
                <w:i/>
                <w:sz w:val="24"/>
                <w:szCs w:val="24"/>
              </w:rPr>
            </w:pPr>
            <w:r w:rsidRPr="00DB3425">
              <w:rPr>
                <w:i/>
                <w:sz w:val="24"/>
                <w:szCs w:val="24"/>
              </w:rPr>
              <w:t>Liczba nowo utworzonych miejsc pracy - pozostałe formy</w:t>
            </w:r>
          </w:p>
          <w:p w:rsidR="00DB3425" w:rsidRPr="00DB3425" w:rsidRDefault="00DB3425" w:rsidP="009E0343">
            <w:pPr>
              <w:spacing w:before="40"/>
              <w:rPr>
                <w:i/>
                <w:sz w:val="24"/>
                <w:szCs w:val="24"/>
              </w:rPr>
            </w:pPr>
            <w:r w:rsidRPr="00DB3425">
              <w:rPr>
                <w:i/>
                <w:sz w:val="24"/>
                <w:szCs w:val="24"/>
              </w:rPr>
              <w:t>- mężczyźni</w:t>
            </w:r>
          </w:p>
        </w:tc>
        <w:tc>
          <w:tcPr>
            <w:tcW w:w="1275"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EPC</w:t>
            </w:r>
          </w:p>
        </w:tc>
        <w:tc>
          <w:tcPr>
            <w:tcW w:w="1276"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rezultat</w:t>
            </w:r>
          </w:p>
        </w:tc>
        <w:tc>
          <w:tcPr>
            <w:tcW w:w="1423"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kluczowy</w:t>
            </w:r>
          </w:p>
        </w:tc>
        <w:tc>
          <w:tcPr>
            <w:tcW w:w="1129" w:type="dxa"/>
            <w:shd w:val="clear" w:color="auto" w:fill="FFFFFF" w:themeFill="background1"/>
            <w:vAlign w:val="center"/>
          </w:tcPr>
          <w:p w:rsidR="00DB3425" w:rsidRPr="00DB3425" w:rsidRDefault="00DB3425" w:rsidP="009E0343">
            <w:pPr>
              <w:spacing w:before="80" w:after="80"/>
              <w:rPr>
                <w:sz w:val="24"/>
                <w:szCs w:val="24"/>
              </w:rPr>
            </w:pPr>
            <w:r w:rsidRPr="00DB3425">
              <w:rPr>
                <w:sz w:val="24"/>
                <w:szCs w:val="24"/>
              </w:rPr>
              <w:t>-</w:t>
            </w:r>
          </w:p>
        </w:tc>
        <w:tc>
          <w:tcPr>
            <w:tcW w:w="6242" w:type="dxa"/>
            <w:vMerge/>
            <w:shd w:val="clear" w:color="auto" w:fill="FFFFFF" w:themeFill="background1"/>
            <w:vAlign w:val="center"/>
          </w:tcPr>
          <w:p w:rsidR="00DB3425" w:rsidRPr="00DB3425" w:rsidRDefault="00DB3425" w:rsidP="009E0343">
            <w:pPr>
              <w:spacing w:before="80" w:after="80"/>
              <w:rPr>
                <w:i/>
                <w:color w:val="C00000"/>
                <w:sz w:val="24"/>
                <w:szCs w:val="24"/>
              </w:rPr>
            </w:pPr>
          </w:p>
        </w:tc>
      </w:tr>
      <w:tr w:rsidR="00DB3425" w:rsidRPr="00DB3425" w:rsidTr="009E0343">
        <w:trPr>
          <w:trHeight w:hRule="exact" w:val="567"/>
        </w:trPr>
        <w:tc>
          <w:tcPr>
            <w:tcW w:w="14601" w:type="dxa"/>
            <w:gridSpan w:val="7"/>
            <w:shd w:val="clear" w:color="auto" w:fill="D9D9D9"/>
            <w:vAlign w:val="center"/>
          </w:tcPr>
          <w:p w:rsidR="00DB3425" w:rsidRPr="00DB3425" w:rsidRDefault="00DB3425" w:rsidP="009E0343">
            <w:pPr>
              <w:spacing w:before="80" w:after="80"/>
              <w:rPr>
                <w:i/>
                <w:color w:val="000099"/>
                <w:sz w:val="24"/>
                <w:szCs w:val="24"/>
              </w:rPr>
            </w:pPr>
            <w:r w:rsidRPr="00DB3425">
              <w:rPr>
                <w:i/>
                <w:color w:val="000099"/>
                <w:sz w:val="24"/>
                <w:szCs w:val="24"/>
              </w:rPr>
              <w:t xml:space="preserve">Oś priorytetowa V </w:t>
            </w:r>
            <w:r w:rsidRPr="00DB3425">
              <w:rPr>
                <w:rFonts w:cs="Arial"/>
                <w:b/>
                <w:i/>
                <w:color w:val="000099"/>
                <w:sz w:val="24"/>
                <w:szCs w:val="24"/>
              </w:rPr>
              <w:t>Ochrona środowiska, dziedzictwa kulturowego i naturalnego</w:t>
            </w:r>
          </w:p>
        </w:tc>
      </w:tr>
      <w:tr w:rsidR="00DB3425" w:rsidRPr="00DB3425" w:rsidTr="009E0343">
        <w:trPr>
          <w:trHeight w:hRule="exact" w:val="503"/>
        </w:trPr>
        <w:tc>
          <w:tcPr>
            <w:tcW w:w="14601" w:type="dxa"/>
            <w:gridSpan w:val="7"/>
            <w:shd w:val="clear" w:color="auto" w:fill="EAF1DD"/>
            <w:vAlign w:val="center"/>
          </w:tcPr>
          <w:p w:rsidR="00DB3425" w:rsidRPr="00DB3425" w:rsidRDefault="00DB3425" w:rsidP="009E0343">
            <w:pPr>
              <w:spacing w:before="80" w:after="80"/>
              <w:rPr>
                <w:i/>
                <w:color w:val="000099"/>
                <w:sz w:val="24"/>
                <w:szCs w:val="24"/>
              </w:rPr>
            </w:pPr>
            <w:r w:rsidRPr="00DB3425">
              <w:rPr>
                <w:i/>
                <w:color w:val="000099"/>
                <w:sz w:val="24"/>
                <w:szCs w:val="24"/>
              </w:rPr>
              <w:t xml:space="preserve">Działanie 5.1  </w:t>
            </w:r>
            <w:r w:rsidRPr="00DB3425">
              <w:rPr>
                <w:rFonts w:cs="Arial"/>
                <w:b/>
                <w:i/>
                <w:color w:val="000099"/>
                <w:sz w:val="24"/>
                <w:szCs w:val="24"/>
              </w:rPr>
              <w:t>Ochrona różnorodności biologicznej</w:t>
            </w:r>
          </w:p>
        </w:tc>
      </w:tr>
      <w:tr w:rsidR="009E0343" w:rsidRPr="00DB3425" w:rsidTr="00D34446">
        <w:trPr>
          <w:trHeight w:val="106"/>
        </w:trPr>
        <w:tc>
          <w:tcPr>
            <w:tcW w:w="568" w:type="dxa"/>
            <w:vAlign w:val="center"/>
          </w:tcPr>
          <w:p w:rsidR="00DB3425" w:rsidRPr="00DB3425" w:rsidRDefault="00DB3425" w:rsidP="009E0343">
            <w:pPr>
              <w:spacing w:before="60" w:after="60"/>
              <w:rPr>
                <w:sz w:val="24"/>
                <w:szCs w:val="24"/>
              </w:rPr>
            </w:pPr>
            <w:r w:rsidRPr="00DB3425">
              <w:rPr>
                <w:sz w:val="24"/>
                <w:szCs w:val="24"/>
              </w:rPr>
              <w:t>1.</w:t>
            </w:r>
          </w:p>
        </w:tc>
        <w:tc>
          <w:tcPr>
            <w:tcW w:w="2688" w:type="dxa"/>
            <w:vAlign w:val="center"/>
          </w:tcPr>
          <w:p w:rsidR="00DB3425" w:rsidRPr="00DB3425" w:rsidRDefault="00DB3425" w:rsidP="009E0343">
            <w:pPr>
              <w:spacing w:before="60" w:after="60"/>
              <w:rPr>
                <w:rFonts w:ascii="Arial" w:eastAsia="Times New Roman" w:hAnsi="Arial" w:cs="Arial"/>
                <w:sz w:val="24"/>
                <w:szCs w:val="24"/>
              </w:rPr>
            </w:pPr>
            <w:r w:rsidRPr="00DB3425">
              <w:rPr>
                <w:rFonts w:eastAsia="Calibri" w:cs="Arial"/>
                <w:i/>
                <w:sz w:val="24"/>
                <w:szCs w:val="24"/>
              </w:rPr>
              <w:t>Liczba siedlisk/zbiorowisk roślinnych objętych projektem</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60" w:after="60"/>
              <w:rPr>
                <w:sz w:val="24"/>
                <w:szCs w:val="24"/>
              </w:rPr>
            </w:pPr>
            <w:r w:rsidRPr="00DB3425">
              <w:rPr>
                <w:sz w:val="24"/>
                <w:szCs w:val="24"/>
              </w:rPr>
              <w:t>produkt</w:t>
            </w:r>
          </w:p>
        </w:tc>
        <w:tc>
          <w:tcPr>
            <w:tcW w:w="1423" w:type="dxa"/>
            <w:vAlign w:val="center"/>
          </w:tcPr>
          <w:p w:rsidR="00DB3425" w:rsidRPr="00DB3425" w:rsidRDefault="00DB3425" w:rsidP="009E0343">
            <w:pPr>
              <w:spacing w:before="60" w:after="60"/>
              <w:rPr>
                <w:sz w:val="24"/>
                <w:szCs w:val="24"/>
              </w:rPr>
            </w:pPr>
            <w:r w:rsidRPr="00DB3425">
              <w:rPr>
                <w:sz w:val="24"/>
                <w:szCs w:val="24"/>
              </w:rPr>
              <w:t>kluczowy</w:t>
            </w:r>
          </w:p>
        </w:tc>
        <w:tc>
          <w:tcPr>
            <w:tcW w:w="1129" w:type="dxa"/>
            <w:vAlign w:val="center"/>
          </w:tcPr>
          <w:p w:rsidR="00DB3425" w:rsidRPr="00DB3425" w:rsidRDefault="00DB3425" w:rsidP="009E0343">
            <w:pPr>
              <w:spacing w:before="60" w:after="6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 xml:space="preserve">Liczba odrestaurowanych lub utworzonych obszarów, mających na celu poprawę stanu ochrony zagrożonych gatunków. Operacje mogą być przeprowadzane zarówno w, jak i poza obszarami Natura 2000, zdolnych do poprawy stanu ochrony gatunków, siedlisk celowych lub ekosystemów </w:t>
            </w:r>
            <w:r w:rsidR="00F61A9E">
              <w:rPr>
                <w:sz w:val="24"/>
                <w:szCs w:val="24"/>
              </w:rPr>
              <w:t xml:space="preserve">dla różnorodności biologicznej </w:t>
            </w:r>
            <w:r w:rsidRPr="00DB3425">
              <w:rPr>
                <w:sz w:val="24"/>
                <w:szCs w:val="24"/>
              </w:rPr>
              <w:t xml:space="preserve">i administracyjną ekosystemu-usług. </w:t>
            </w:r>
          </w:p>
          <w:p w:rsidR="00DB3425" w:rsidRPr="00DB3425" w:rsidRDefault="00DB3425" w:rsidP="009E0343">
            <w:pPr>
              <w:spacing w:before="60" w:after="60"/>
              <w:rPr>
                <w:sz w:val="24"/>
                <w:szCs w:val="24"/>
              </w:rPr>
            </w:pPr>
            <w:r w:rsidRPr="00DB3425">
              <w:rPr>
                <w:sz w:val="24"/>
                <w:szCs w:val="24"/>
              </w:rPr>
              <w:t>Obszary, które otrzymały wsparcie wielokrotnie powinny być liczone tylko raz.</w:t>
            </w:r>
          </w:p>
          <w:p w:rsidR="00DB3425" w:rsidRPr="00DB3425" w:rsidRDefault="00DB3425" w:rsidP="009E0343">
            <w:pPr>
              <w:spacing w:before="60" w:after="60"/>
              <w:rPr>
                <w:sz w:val="24"/>
                <w:szCs w:val="24"/>
              </w:rPr>
            </w:pPr>
            <w:r w:rsidRPr="00DB3425">
              <w:rPr>
                <w:sz w:val="24"/>
                <w:szCs w:val="24"/>
              </w:rPr>
              <w:t>Zakres wsparcia zgodny z UP i zapisami linii demarkacyjnej dla PI 6d.</w:t>
            </w:r>
          </w:p>
        </w:tc>
      </w:tr>
      <w:tr w:rsidR="009E0343" w:rsidRPr="00DB3425" w:rsidTr="00D34446">
        <w:trPr>
          <w:trHeight w:val="1216"/>
        </w:trPr>
        <w:tc>
          <w:tcPr>
            <w:tcW w:w="568" w:type="dxa"/>
            <w:vAlign w:val="center"/>
          </w:tcPr>
          <w:p w:rsidR="00DB3425" w:rsidRPr="00DB3425" w:rsidRDefault="00DB3425" w:rsidP="009E0343">
            <w:pPr>
              <w:spacing w:before="60" w:after="60"/>
              <w:rPr>
                <w:sz w:val="24"/>
                <w:szCs w:val="24"/>
              </w:rPr>
            </w:pPr>
            <w:r w:rsidRPr="00DB3425">
              <w:rPr>
                <w:sz w:val="24"/>
                <w:szCs w:val="24"/>
              </w:rPr>
              <w:t>2.</w:t>
            </w:r>
          </w:p>
        </w:tc>
        <w:tc>
          <w:tcPr>
            <w:tcW w:w="2688" w:type="dxa"/>
            <w:vAlign w:val="center"/>
          </w:tcPr>
          <w:p w:rsidR="00DB3425" w:rsidRPr="00DB3425" w:rsidRDefault="00DB3425" w:rsidP="009E0343">
            <w:pPr>
              <w:spacing w:before="60" w:after="60"/>
              <w:rPr>
                <w:rFonts w:ascii="Arial" w:eastAsia="Times New Roman" w:hAnsi="Arial" w:cs="Arial"/>
                <w:sz w:val="24"/>
                <w:szCs w:val="24"/>
              </w:rPr>
            </w:pPr>
            <w:r w:rsidRPr="00DB3425">
              <w:rPr>
                <w:rFonts w:eastAsia="Calibri" w:cs="Arial"/>
                <w:i/>
                <w:sz w:val="24"/>
                <w:szCs w:val="24"/>
              </w:rPr>
              <w:t>Liczba przeprowadzonych kampanii informacyjno-edukacyjnych związanych z edukacją ekologiczną</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60" w:after="60"/>
              <w:rPr>
                <w:sz w:val="24"/>
                <w:szCs w:val="24"/>
              </w:rPr>
            </w:pPr>
            <w:r w:rsidRPr="00DB3425">
              <w:rPr>
                <w:sz w:val="24"/>
                <w:szCs w:val="24"/>
              </w:rPr>
              <w:t>produkt</w:t>
            </w:r>
          </w:p>
        </w:tc>
        <w:tc>
          <w:tcPr>
            <w:tcW w:w="1423" w:type="dxa"/>
            <w:vAlign w:val="center"/>
          </w:tcPr>
          <w:p w:rsidR="00DB3425" w:rsidRPr="00DB3425" w:rsidRDefault="00DB3425" w:rsidP="009E0343">
            <w:pPr>
              <w:spacing w:before="60" w:after="60"/>
              <w:rPr>
                <w:sz w:val="24"/>
                <w:szCs w:val="24"/>
              </w:rPr>
            </w:pPr>
            <w:r w:rsidRPr="00DB3425">
              <w:rPr>
                <w:sz w:val="24"/>
                <w:szCs w:val="24"/>
              </w:rPr>
              <w:t>kluczowy</w:t>
            </w:r>
          </w:p>
        </w:tc>
        <w:tc>
          <w:tcPr>
            <w:tcW w:w="1129" w:type="dxa"/>
            <w:vAlign w:val="center"/>
          </w:tcPr>
          <w:p w:rsidR="00DB3425" w:rsidRPr="00DB3425" w:rsidRDefault="00DB3425" w:rsidP="009E0343">
            <w:pPr>
              <w:spacing w:before="60" w:after="6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 xml:space="preserve">Liczba przeprowadzonych kampanii reklamowych promujących walory turystyczne.  </w:t>
            </w:r>
          </w:p>
          <w:p w:rsidR="00DB3425" w:rsidRPr="00DB3425" w:rsidRDefault="00DB3425" w:rsidP="009E0343">
            <w:pPr>
              <w:spacing w:before="60" w:after="60"/>
              <w:rPr>
                <w:sz w:val="24"/>
                <w:szCs w:val="24"/>
              </w:rPr>
            </w:pPr>
            <w:r w:rsidRPr="00DB3425">
              <w:rPr>
                <w:sz w:val="24"/>
                <w:szCs w:val="24"/>
              </w:rPr>
              <w:t>Zakres wsparcia zgodny z UP i zapisami linii demarkacyjnej dla PI 3b, 6d.</w:t>
            </w:r>
          </w:p>
        </w:tc>
      </w:tr>
      <w:tr w:rsidR="009E0343" w:rsidRPr="00DB3425" w:rsidTr="00D34446">
        <w:trPr>
          <w:trHeight w:val="1262"/>
        </w:trPr>
        <w:tc>
          <w:tcPr>
            <w:tcW w:w="568" w:type="dxa"/>
            <w:vAlign w:val="center"/>
          </w:tcPr>
          <w:p w:rsidR="00DB3425" w:rsidRPr="00DB3425" w:rsidRDefault="00DB3425" w:rsidP="009E0343">
            <w:pPr>
              <w:spacing w:before="60" w:after="60"/>
              <w:rPr>
                <w:sz w:val="24"/>
                <w:szCs w:val="24"/>
              </w:rPr>
            </w:pPr>
            <w:r w:rsidRPr="00DB3425">
              <w:rPr>
                <w:sz w:val="24"/>
                <w:szCs w:val="24"/>
              </w:rPr>
              <w:t>3.</w:t>
            </w:r>
          </w:p>
        </w:tc>
        <w:tc>
          <w:tcPr>
            <w:tcW w:w="2688" w:type="dxa"/>
            <w:vAlign w:val="center"/>
          </w:tcPr>
          <w:p w:rsidR="00DB3425" w:rsidRPr="00DB3425" w:rsidRDefault="00DB3425" w:rsidP="009E0343">
            <w:pPr>
              <w:spacing w:before="60" w:after="60"/>
              <w:rPr>
                <w:rFonts w:ascii="Arial" w:eastAsia="Times New Roman" w:hAnsi="Arial" w:cs="Arial"/>
                <w:sz w:val="24"/>
                <w:szCs w:val="24"/>
              </w:rPr>
            </w:pPr>
            <w:r w:rsidRPr="00DB3425">
              <w:rPr>
                <w:rFonts w:eastAsia="Calibri" w:cs="Arial"/>
                <w:i/>
                <w:sz w:val="24"/>
                <w:szCs w:val="24"/>
              </w:rPr>
              <w:t>Liczba wspartych form ochrony przyrody</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60" w:after="60"/>
              <w:rPr>
                <w:sz w:val="24"/>
                <w:szCs w:val="24"/>
              </w:rPr>
            </w:pPr>
            <w:r w:rsidRPr="00DB3425">
              <w:rPr>
                <w:sz w:val="24"/>
                <w:szCs w:val="24"/>
              </w:rPr>
              <w:t>produkt</w:t>
            </w:r>
          </w:p>
        </w:tc>
        <w:tc>
          <w:tcPr>
            <w:tcW w:w="1423" w:type="dxa"/>
            <w:vAlign w:val="center"/>
          </w:tcPr>
          <w:p w:rsidR="00DB3425" w:rsidRPr="00DB3425" w:rsidRDefault="00DB3425" w:rsidP="009E0343">
            <w:pPr>
              <w:spacing w:before="60" w:after="60"/>
              <w:rPr>
                <w:sz w:val="24"/>
                <w:szCs w:val="24"/>
              </w:rPr>
            </w:pPr>
            <w:r w:rsidRPr="00DB3425">
              <w:rPr>
                <w:sz w:val="24"/>
                <w:szCs w:val="24"/>
              </w:rPr>
              <w:t>kluczowy</w:t>
            </w:r>
          </w:p>
        </w:tc>
        <w:tc>
          <w:tcPr>
            <w:tcW w:w="1129" w:type="dxa"/>
            <w:vAlign w:val="center"/>
          </w:tcPr>
          <w:p w:rsidR="00DB3425" w:rsidRPr="00DB3425" w:rsidRDefault="00DB3425" w:rsidP="009E0343">
            <w:pPr>
              <w:spacing w:before="60" w:after="6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 xml:space="preserve">Liczba parków krajobrazowych, rezerwatów przyrody, obszarów chronionego krajobrazu i innych form ochrony przyrody, które otrzymały wsparcie.  </w:t>
            </w:r>
          </w:p>
          <w:p w:rsidR="00DB3425" w:rsidRPr="00DB3425" w:rsidRDefault="00DB3425" w:rsidP="009E0343">
            <w:pPr>
              <w:spacing w:before="60" w:after="60"/>
              <w:rPr>
                <w:sz w:val="24"/>
                <w:szCs w:val="24"/>
              </w:rPr>
            </w:pPr>
            <w:r w:rsidRPr="00DB3425">
              <w:rPr>
                <w:sz w:val="24"/>
                <w:szCs w:val="24"/>
              </w:rPr>
              <w:t>Zakres wsparcia zgodny z UP i zapisami linii demarkacyjnej dla PI 6d.</w:t>
            </w:r>
          </w:p>
        </w:tc>
      </w:tr>
      <w:tr w:rsidR="009E0343" w:rsidRPr="00DB3425" w:rsidTr="00D34446">
        <w:trPr>
          <w:trHeight w:val="1507"/>
        </w:trPr>
        <w:tc>
          <w:tcPr>
            <w:tcW w:w="568" w:type="dxa"/>
            <w:vAlign w:val="center"/>
          </w:tcPr>
          <w:p w:rsidR="00DB3425" w:rsidRPr="00DB3425" w:rsidRDefault="00DB3425" w:rsidP="009E0343">
            <w:pPr>
              <w:spacing w:before="80" w:after="80"/>
              <w:rPr>
                <w:sz w:val="24"/>
                <w:szCs w:val="24"/>
              </w:rPr>
            </w:pPr>
            <w:r w:rsidRPr="00DB3425">
              <w:rPr>
                <w:sz w:val="24"/>
                <w:szCs w:val="24"/>
              </w:rPr>
              <w:t>4.</w:t>
            </w:r>
          </w:p>
        </w:tc>
        <w:tc>
          <w:tcPr>
            <w:tcW w:w="2688" w:type="dxa"/>
            <w:vAlign w:val="center"/>
          </w:tcPr>
          <w:p w:rsidR="00DB3425" w:rsidRPr="00DB3425" w:rsidRDefault="00DB3425" w:rsidP="009E0343">
            <w:pPr>
              <w:rPr>
                <w:rFonts w:ascii="Arial" w:eastAsia="Calibri" w:hAnsi="Arial" w:cs="Arial"/>
                <w:i/>
                <w:sz w:val="24"/>
                <w:szCs w:val="24"/>
              </w:rPr>
            </w:pPr>
            <w:r w:rsidRPr="00DB3425">
              <w:rPr>
                <w:rFonts w:eastAsia="Calibri" w:cs="Arial"/>
                <w:i/>
                <w:sz w:val="24"/>
                <w:szCs w:val="24"/>
              </w:rPr>
              <w:t>Łączna powierzchnia zrekultywowanych gruntów</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ha</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242" w:type="dxa"/>
            <w:vAlign w:val="center"/>
          </w:tcPr>
          <w:p w:rsidR="00DB3425" w:rsidRPr="00DB3425" w:rsidRDefault="00DB3425" w:rsidP="009E0343">
            <w:pPr>
              <w:spacing w:before="60" w:after="60"/>
              <w:rPr>
                <w:sz w:val="24"/>
                <w:szCs w:val="24"/>
              </w:rPr>
            </w:pPr>
            <w:r w:rsidRPr="00DB3425">
              <w:rPr>
                <w:sz w:val="24"/>
                <w:szCs w:val="24"/>
              </w:rPr>
              <w:t>Powierzchnia zrekultywowanych lub zregenerowanych zanieczyszczonych lub zdewastowanych gruntów udostępnionych do celów gospodarczych (z wyjątkiem działań niekwalifikowalnych, np. rolnictwo lub leśnictwo) lub społecznych.</w:t>
            </w:r>
          </w:p>
          <w:p w:rsidR="00DB3425" w:rsidRPr="00DB3425" w:rsidRDefault="00DB3425" w:rsidP="009E0343">
            <w:pPr>
              <w:spacing w:before="60" w:after="60"/>
              <w:rPr>
                <w:sz w:val="24"/>
                <w:szCs w:val="24"/>
              </w:rPr>
            </w:pPr>
            <w:r w:rsidRPr="00DB3425">
              <w:rPr>
                <w:sz w:val="24"/>
                <w:szCs w:val="24"/>
              </w:rPr>
              <w:t>Zakres wsparcia zgodny z UP i zapisami linii demarkacyjnej dla PI 6d.</w:t>
            </w:r>
          </w:p>
        </w:tc>
      </w:tr>
      <w:tr w:rsidR="009E0343" w:rsidRPr="00DB3425" w:rsidTr="00D34446">
        <w:trPr>
          <w:trHeight w:val="1558"/>
        </w:trPr>
        <w:tc>
          <w:tcPr>
            <w:tcW w:w="568" w:type="dxa"/>
            <w:vAlign w:val="center"/>
          </w:tcPr>
          <w:p w:rsidR="00DB3425" w:rsidRPr="00DB3425" w:rsidRDefault="00DB3425" w:rsidP="009E0343">
            <w:pPr>
              <w:spacing w:before="80" w:after="80"/>
              <w:rPr>
                <w:sz w:val="24"/>
                <w:szCs w:val="24"/>
              </w:rPr>
            </w:pPr>
            <w:r w:rsidRPr="00DB3425">
              <w:rPr>
                <w:sz w:val="24"/>
                <w:szCs w:val="24"/>
              </w:rPr>
              <w:t>5.</w:t>
            </w:r>
          </w:p>
        </w:tc>
        <w:tc>
          <w:tcPr>
            <w:tcW w:w="2688" w:type="dxa"/>
            <w:vAlign w:val="center"/>
          </w:tcPr>
          <w:p w:rsidR="00DB3425" w:rsidRPr="00DB3425" w:rsidRDefault="00DB3425" w:rsidP="009E0343">
            <w:pPr>
              <w:spacing w:before="60" w:after="60"/>
              <w:rPr>
                <w:rFonts w:ascii="Arial" w:eastAsia="Times New Roman" w:hAnsi="Arial" w:cs="Arial"/>
                <w:sz w:val="24"/>
                <w:szCs w:val="24"/>
              </w:rPr>
            </w:pPr>
            <w:r w:rsidRPr="00DB3425">
              <w:rPr>
                <w:rFonts w:eastAsia="Calibri" w:cs="Arial"/>
                <w:i/>
                <w:sz w:val="24"/>
                <w:szCs w:val="24"/>
              </w:rPr>
              <w:t>Liczba opracowanych dokumentów planistycznych z zakresu ochrony przyrody</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 xml:space="preserve">Liczba dokumentów planistycznych z zakresu ochrony przyrody, które zostały opracowane w ramach projektu.  </w:t>
            </w:r>
          </w:p>
          <w:p w:rsidR="00DB3425" w:rsidRPr="00DB3425" w:rsidRDefault="00DB3425" w:rsidP="009E0343">
            <w:pPr>
              <w:spacing w:before="60" w:after="60"/>
              <w:rPr>
                <w:sz w:val="24"/>
                <w:szCs w:val="24"/>
              </w:rPr>
            </w:pPr>
            <w:r w:rsidRPr="00DB3425">
              <w:rPr>
                <w:sz w:val="24"/>
                <w:szCs w:val="24"/>
              </w:rPr>
              <w:t>Zakres wsparcia zgodny z UP i zapisami linii demarkacyjnej dla PI 6d.</w:t>
            </w:r>
          </w:p>
        </w:tc>
      </w:tr>
      <w:tr w:rsidR="009E0343" w:rsidRPr="00DB3425" w:rsidTr="00D34446">
        <w:trPr>
          <w:trHeight w:val="2044"/>
        </w:trPr>
        <w:tc>
          <w:tcPr>
            <w:tcW w:w="568" w:type="dxa"/>
            <w:vAlign w:val="center"/>
          </w:tcPr>
          <w:p w:rsidR="00DB3425" w:rsidRPr="00DB3425" w:rsidRDefault="00DB3425" w:rsidP="009E0343">
            <w:pPr>
              <w:spacing w:before="80" w:after="80"/>
              <w:rPr>
                <w:sz w:val="24"/>
                <w:szCs w:val="24"/>
              </w:rPr>
            </w:pPr>
            <w:r w:rsidRPr="00DB3425">
              <w:rPr>
                <w:sz w:val="24"/>
                <w:szCs w:val="24"/>
              </w:rPr>
              <w:t>6.</w:t>
            </w:r>
          </w:p>
        </w:tc>
        <w:tc>
          <w:tcPr>
            <w:tcW w:w="2688" w:type="dxa"/>
            <w:vAlign w:val="center"/>
          </w:tcPr>
          <w:p w:rsidR="00DB3425" w:rsidRPr="00DB3425" w:rsidRDefault="00DB3425" w:rsidP="009E0343">
            <w:pPr>
              <w:spacing w:before="60" w:after="60"/>
              <w:rPr>
                <w:rFonts w:ascii="Arial" w:eastAsia="Calibri" w:hAnsi="Arial" w:cs="Arial"/>
                <w:i/>
                <w:sz w:val="24"/>
                <w:szCs w:val="24"/>
              </w:rPr>
            </w:pPr>
            <w:r w:rsidRPr="00DB3425">
              <w:rPr>
                <w:rFonts w:eastAsia="Calibri" w:cs="Arial"/>
                <w:i/>
                <w:sz w:val="24"/>
                <w:szCs w:val="24"/>
              </w:rPr>
              <w:t>Liczba wybudowanych obiektów turystycznych i rekreacyjnych</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Przez obiekt turystyczny, rekreacyjny rozumie się urządzenia, obiekty lub siedziby instytucji służące świadczeniu usług i zaspokajaniu potrzeb związanych z turystyką, rekreacją i aktywnym wypoczynkiem.</w:t>
            </w:r>
          </w:p>
          <w:p w:rsidR="00DB3425" w:rsidRPr="00DB3425" w:rsidRDefault="00DB3425" w:rsidP="009E0343">
            <w:pPr>
              <w:spacing w:before="60" w:after="60"/>
              <w:rPr>
                <w:sz w:val="24"/>
                <w:szCs w:val="24"/>
              </w:rPr>
            </w:pPr>
            <w:r w:rsidRPr="00DB3425">
              <w:rPr>
                <w:sz w:val="24"/>
                <w:szCs w:val="24"/>
              </w:rPr>
              <w:t>Zakres wsparcia zgodny z UP i zapisami linii demarkacyjnej dla PI 6d.</w:t>
            </w:r>
          </w:p>
        </w:tc>
      </w:tr>
      <w:tr w:rsidR="009E0343" w:rsidRPr="00DB3425" w:rsidTr="00D34446">
        <w:trPr>
          <w:trHeight w:val="1544"/>
        </w:trPr>
        <w:tc>
          <w:tcPr>
            <w:tcW w:w="568" w:type="dxa"/>
            <w:vAlign w:val="center"/>
          </w:tcPr>
          <w:p w:rsidR="00DB3425" w:rsidRPr="00DB3425" w:rsidRDefault="00DB3425" w:rsidP="009E0343">
            <w:pPr>
              <w:spacing w:before="80" w:after="80"/>
              <w:rPr>
                <w:sz w:val="24"/>
                <w:szCs w:val="24"/>
              </w:rPr>
            </w:pPr>
            <w:r w:rsidRPr="00DB3425">
              <w:rPr>
                <w:sz w:val="24"/>
                <w:szCs w:val="24"/>
              </w:rPr>
              <w:t>7.</w:t>
            </w:r>
          </w:p>
        </w:tc>
        <w:tc>
          <w:tcPr>
            <w:tcW w:w="2688" w:type="dxa"/>
            <w:vAlign w:val="center"/>
          </w:tcPr>
          <w:p w:rsidR="00DB3425" w:rsidRPr="00DB3425" w:rsidRDefault="00DB3425" w:rsidP="009E0343">
            <w:pPr>
              <w:spacing w:before="60" w:after="60"/>
              <w:rPr>
                <w:rFonts w:eastAsia="Calibri" w:cs="Arial"/>
                <w:i/>
                <w:sz w:val="24"/>
                <w:szCs w:val="24"/>
              </w:rPr>
            </w:pPr>
            <w:r w:rsidRPr="00DB3425">
              <w:rPr>
                <w:rFonts w:eastAsia="Calibri" w:cs="Arial"/>
                <w:i/>
                <w:sz w:val="24"/>
                <w:szCs w:val="24"/>
              </w:rPr>
              <w:t>Liczba przebudowanych obiektów turystycznych i rekreacyjnych</w:t>
            </w:r>
          </w:p>
        </w:tc>
        <w:tc>
          <w:tcPr>
            <w:tcW w:w="1275" w:type="dxa"/>
            <w:vAlign w:val="center"/>
          </w:tcPr>
          <w:p w:rsidR="00DB3425" w:rsidRPr="00DB3425" w:rsidRDefault="00DB3425" w:rsidP="009E0343">
            <w:pPr>
              <w:spacing w:before="60" w:after="60"/>
              <w:rPr>
                <w:rFonts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Przez obiekt turystyczny, rekreacyjny rozumie się urządzenia, obiekty lub siedziby instytucji służące świadczeniu usług i zaspokajaniu potrzeb związanych z turystyką, rekreacją i aktywnym wypoczynkiem.</w:t>
            </w:r>
          </w:p>
          <w:p w:rsidR="00DB3425" w:rsidRPr="00DB3425" w:rsidRDefault="00DB3425" w:rsidP="009E0343">
            <w:pPr>
              <w:spacing w:before="60" w:after="60"/>
              <w:rPr>
                <w:sz w:val="24"/>
                <w:szCs w:val="24"/>
              </w:rPr>
            </w:pPr>
            <w:r w:rsidRPr="00DB3425">
              <w:rPr>
                <w:sz w:val="24"/>
                <w:szCs w:val="24"/>
              </w:rPr>
              <w:t>Zakres wsparcia zgodny z UP i zapisami linii demarkacyjnej dla PI 6d.</w:t>
            </w:r>
          </w:p>
        </w:tc>
      </w:tr>
      <w:tr w:rsidR="009E0343" w:rsidRPr="00DB3425" w:rsidTr="00D34446">
        <w:tc>
          <w:tcPr>
            <w:tcW w:w="568" w:type="dxa"/>
            <w:vAlign w:val="center"/>
          </w:tcPr>
          <w:p w:rsidR="00DB3425" w:rsidRPr="00DB3425" w:rsidRDefault="00DB3425" w:rsidP="009E0343">
            <w:pPr>
              <w:spacing w:before="80" w:after="80"/>
              <w:rPr>
                <w:sz w:val="24"/>
                <w:szCs w:val="24"/>
              </w:rPr>
            </w:pPr>
            <w:r w:rsidRPr="00DB3425">
              <w:rPr>
                <w:sz w:val="24"/>
                <w:szCs w:val="24"/>
              </w:rPr>
              <w:t>8.</w:t>
            </w:r>
          </w:p>
        </w:tc>
        <w:tc>
          <w:tcPr>
            <w:tcW w:w="2688" w:type="dxa"/>
            <w:vAlign w:val="center"/>
          </w:tcPr>
          <w:p w:rsidR="00DB3425" w:rsidRPr="00DB3425" w:rsidRDefault="00DB3425" w:rsidP="009E0343">
            <w:pPr>
              <w:spacing w:before="60" w:after="60"/>
              <w:rPr>
                <w:rFonts w:ascii="Arial" w:eastAsia="Calibri" w:hAnsi="Arial" w:cs="Arial"/>
                <w:i/>
                <w:sz w:val="24"/>
                <w:szCs w:val="24"/>
              </w:rPr>
            </w:pPr>
            <w:r w:rsidRPr="00DB3425">
              <w:rPr>
                <w:rFonts w:eastAsia="Calibri" w:cs="Arial"/>
                <w:i/>
                <w:sz w:val="24"/>
                <w:szCs w:val="24"/>
              </w:rPr>
              <w:t>Długość utworzonych szlaków turystycznych</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km</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szczegółowe wymagania nie stanowią inaczej (okresowe zamykanie w przypadku niekorzystnych warunków pogodowych lub ze względów przyrodniczych na terenach chronionych).</w:t>
            </w:r>
          </w:p>
          <w:p w:rsidR="00DB3425" w:rsidRPr="00DB3425" w:rsidRDefault="00DB3425" w:rsidP="009E0343">
            <w:pPr>
              <w:spacing w:before="60" w:after="60"/>
              <w:rPr>
                <w:sz w:val="24"/>
                <w:szCs w:val="24"/>
              </w:rPr>
            </w:pPr>
            <w:r w:rsidRPr="00DB3425">
              <w:rPr>
                <w:sz w:val="24"/>
                <w:szCs w:val="24"/>
              </w:rPr>
              <w:t>Rozróżnia się następujące rodzaje szlaków turystycznych:</w:t>
            </w:r>
          </w:p>
          <w:p w:rsidR="00DB3425" w:rsidRPr="00DB3425" w:rsidRDefault="00DB3425" w:rsidP="009E0343">
            <w:pPr>
              <w:numPr>
                <w:ilvl w:val="0"/>
                <w:numId w:val="2"/>
              </w:numPr>
              <w:spacing w:before="60" w:after="60"/>
              <w:ind w:left="714" w:hanging="357"/>
              <w:rPr>
                <w:sz w:val="24"/>
                <w:szCs w:val="24"/>
              </w:rPr>
            </w:pPr>
            <w:r w:rsidRPr="00DB3425">
              <w:rPr>
                <w:sz w:val="24"/>
                <w:szCs w:val="24"/>
              </w:rPr>
              <w:t>piesze górskie i nizinne oraz ścieżki spacerowe, przyrodnicze i dydaktyczne,</w:t>
            </w:r>
          </w:p>
          <w:p w:rsidR="00DB3425" w:rsidRPr="00DB3425" w:rsidRDefault="00DB3425" w:rsidP="009E0343">
            <w:pPr>
              <w:numPr>
                <w:ilvl w:val="0"/>
                <w:numId w:val="2"/>
              </w:numPr>
              <w:spacing w:before="60" w:after="60"/>
              <w:ind w:left="714" w:hanging="357"/>
              <w:rPr>
                <w:sz w:val="24"/>
                <w:szCs w:val="24"/>
              </w:rPr>
            </w:pPr>
            <w:r w:rsidRPr="00DB3425">
              <w:rPr>
                <w:sz w:val="24"/>
                <w:szCs w:val="24"/>
              </w:rPr>
              <w:t>narciarskie,</w:t>
            </w:r>
          </w:p>
          <w:p w:rsidR="00DB3425" w:rsidRPr="00DB3425" w:rsidRDefault="00DB3425" w:rsidP="009E0343">
            <w:pPr>
              <w:numPr>
                <w:ilvl w:val="0"/>
                <w:numId w:val="2"/>
              </w:numPr>
              <w:spacing w:before="60" w:after="60"/>
              <w:ind w:left="714" w:hanging="357"/>
              <w:rPr>
                <w:sz w:val="24"/>
                <w:szCs w:val="24"/>
              </w:rPr>
            </w:pPr>
            <w:r w:rsidRPr="00DB3425">
              <w:rPr>
                <w:sz w:val="24"/>
                <w:szCs w:val="24"/>
              </w:rPr>
              <w:t>rowerowe,</w:t>
            </w:r>
          </w:p>
          <w:p w:rsidR="00DB3425" w:rsidRPr="00DB3425" w:rsidRDefault="00DB3425" w:rsidP="009E0343">
            <w:pPr>
              <w:numPr>
                <w:ilvl w:val="0"/>
                <w:numId w:val="2"/>
              </w:numPr>
              <w:spacing w:before="60" w:after="60"/>
              <w:ind w:left="714" w:hanging="357"/>
              <w:rPr>
                <w:sz w:val="24"/>
                <w:szCs w:val="24"/>
              </w:rPr>
            </w:pPr>
            <w:r w:rsidRPr="00DB3425">
              <w:rPr>
                <w:sz w:val="24"/>
                <w:szCs w:val="24"/>
              </w:rPr>
              <w:t>kajakowe,</w:t>
            </w:r>
          </w:p>
          <w:p w:rsidR="00DB3425" w:rsidRPr="00DB3425" w:rsidRDefault="00DB3425" w:rsidP="009E0343">
            <w:pPr>
              <w:numPr>
                <w:ilvl w:val="0"/>
                <w:numId w:val="2"/>
              </w:numPr>
              <w:spacing w:before="60" w:after="60"/>
              <w:ind w:left="714" w:hanging="357"/>
              <w:rPr>
                <w:sz w:val="24"/>
                <w:szCs w:val="24"/>
              </w:rPr>
            </w:pPr>
            <w:r w:rsidRPr="00DB3425">
              <w:rPr>
                <w:sz w:val="24"/>
                <w:szCs w:val="24"/>
              </w:rPr>
              <w:t>jeździeckie.</w:t>
            </w:r>
          </w:p>
          <w:p w:rsidR="00DB3425" w:rsidRPr="00DB3425" w:rsidRDefault="00DB3425" w:rsidP="009E0343">
            <w:pPr>
              <w:spacing w:before="60" w:after="60"/>
              <w:rPr>
                <w:sz w:val="24"/>
                <w:szCs w:val="24"/>
              </w:rPr>
            </w:pPr>
            <w:r w:rsidRPr="00DB3425">
              <w:rPr>
                <w:sz w:val="24"/>
                <w:szCs w:val="24"/>
              </w:rPr>
              <w:t xml:space="preserve">Definicja na podstawie: „Instrukcja znakowania szlaków turystycznych PTTK”.  </w:t>
            </w:r>
          </w:p>
          <w:p w:rsidR="00DB3425" w:rsidRPr="00DB3425" w:rsidRDefault="00DB3425" w:rsidP="009E0343">
            <w:pPr>
              <w:spacing w:before="60" w:after="60"/>
              <w:rPr>
                <w:color w:val="FF0000"/>
                <w:sz w:val="24"/>
                <w:szCs w:val="24"/>
              </w:rPr>
            </w:pPr>
            <w:r w:rsidRPr="00DB3425">
              <w:rPr>
                <w:sz w:val="24"/>
                <w:szCs w:val="24"/>
              </w:rPr>
              <w:t>Zakres wsparcia zgodny z UP i zapisami linii demarkacyjnej dla PI 6c, 6d.</w:t>
            </w:r>
          </w:p>
        </w:tc>
      </w:tr>
      <w:tr w:rsidR="009E0343" w:rsidRPr="00DB3425" w:rsidTr="00D34446">
        <w:trPr>
          <w:trHeight w:val="5510"/>
        </w:trPr>
        <w:tc>
          <w:tcPr>
            <w:tcW w:w="568" w:type="dxa"/>
            <w:vAlign w:val="center"/>
          </w:tcPr>
          <w:p w:rsidR="00DB3425" w:rsidRPr="00DB3425" w:rsidRDefault="00DB3425" w:rsidP="009E0343">
            <w:pPr>
              <w:spacing w:before="80" w:after="80"/>
              <w:rPr>
                <w:sz w:val="24"/>
                <w:szCs w:val="24"/>
              </w:rPr>
            </w:pPr>
            <w:r w:rsidRPr="00DB3425">
              <w:rPr>
                <w:sz w:val="24"/>
                <w:szCs w:val="24"/>
              </w:rPr>
              <w:t>9.</w:t>
            </w:r>
          </w:p>
        </w:tc>
        <w:tc>
          <w:tcPr>
            <w:tcW w:w="2688" w:type="dxa"/>
            <w:vAlign w:val="center"/>
          </w:tcPr>
          <w:p w:rsidR="00DB3425" w:rsidRPr="00DB3425" w:rsidRDefault="00DB3425" w:rsidP="009E0343">
            <w:pPr>
              <w:spacing w:before="60" w:after="60"/>
              <w:rPr>
                <w:rFonts w:eastAsia="Calibri" w:cs="Arial"/>
                <w:i/>
                <w:sz w:val="24"/>
                <w:szCs w:val="24"/>
              </w:rPr>
            </w:pPr>
            <w:r w:rsidRPr="00DB3425">
              <w:rPr>
                <w:rFonts w:eastAsia="Calibri" w:cs="Arial"/>
                <w:i/>
                <w:sz w:val="24"/>
                <w:szCs w:val="24"/>
              </w:rPr>
              <w:t>Długość odnowionych szlaków turystycznych</w:t>
            </w:r>
          </w:p>
        </w:tc>
        <w:tc>
          <w:tcPr>
            <w:tcW w:w="1275" w:type="dxa"/>
            <w:vAlign w:val="center"/>
          </w:tcPr>
          <w:p w:rsidR="00DB3425" w:rsidRPr="00DB3425" w:rsidRDefault="00DB3425" w:rsidP="009E0343">
            <w:pPr>
              <w:spacing w:before="60" w:after="60"/>
              <w:rPr>
                <w:rFonts w:cs="Arial"/>
                <w:sz w:val="24"/>
                <w:szCs w:val="24"/>
              </w:rPr>
            </w:pPr>
            <w:r w:rsidRPr="00DB3425">
              <w:rPr>
                <w:rFonts w:cs="Arial"/>
                <w:sz w:val="24"/>
                <w:szCs w:val="24"/>
              </w:rPr>
              <w:t>km</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szczegółowe wymagania nie stanowią inaczej (okresowe zamykanie w przypadku niekorzystnych warunków pogodowych lub ze względów przyrodniczych na terenach chronionych).</w:t>
            </w:r>
          </w:p>
          <w:p w:rsidR="00DB3425" w:rsidRPr="00DB3425" w:rsidRDefault="00DB3425" w:rsidP="009E0343">
            <w:pPr>
              <w:spacing w:before="60" w:after="60"/>
              <w:rPr>
                <w:sz w:val="24"/>
                <w:szCs w:val="24"/>
              </w:rPr>
            </w:pPr>
            <w:r w:rsidRPr="00DB3425">
              <w:rPr>
                <w:sz w:val="24"/>
                <w:szCs w:val="24"/>
              </w:rPr>
              <w:t>Rozróżnia się następujące rodzaje szlaków turystycznych:</w:t>
            </w:r>
          </w:p>
          <w:p w:rsidR="00DB3425" w:rsidRPr="00DB3425" w:rsidRDefault="00DB3425" w:rsidP="009E0343">
            <w:pPr>
              <w:numPr>
                <w:ilvl w:val="0"/>
                <w:numId w:val="2"/>
              </w:numPr>
              <w:rPr>
                <w:sz w:val="24"/>
                <w:szCs w:val="24"/>
              </w:rPr>
            </w:pPr>
            <w:r w:rsidRPr="00DB3425">
              <w:rPr>
                <w:sz w:val="24"/>
                <w:szCs w:val="24"/>
              </w:rPr>
              <w:t>piesze górskie i nizinne oraz ścieżki spacerowe, przyrodnicze i dydaktyczne,</w:t>
            </w:r>
          </w:p>
          <w:p w:rsidR="00DB3425" w:rsidRPr="00DB3425" w:rsidRDefault="00DB3425" w:rsidP="009E0343">
            <w:pPr>
              <w:numPr>
                <w:ilvl w:val="0"/>
                <w:numId w:val="2"/>
              </w:numPr>
              <w:rPr>
                <w:sz w:val="24"/>
                <w:szCs w:val="24"/>
              </w:rPr>
            </w:pPr>
            <w:r w:rsidRPr="00DB3425">
              <w:rPr>
                <w:sz w:val="24"/>
                <w:szCs w:val="24"/>
              </w:rPr>
              <w:t>narciarskie,</w:t>
            </w:r>
          </w:p>
          <w:p w:rsidR="00DB3425" w:rsidRPr="00DB3425" w:rsidRDefault="00DB3425" w:rsidP="009E0343">
            <w:pPr>
              <w:numPr>
                <w:ilvl w:val="0"/>
                <w:numId w:val="2"/>
              </w:numPr>
              <w:rPr>
                <w:sz w:val="24"/>
                <w:szCs w:val="24"/>
              </w:rPr>
            </w:pPr>
            <w:r w:rsidRPr="00DB3425">
              <w:rPr>
                <w:sz w:val="24"/>
                <w:szCs w:val="24"/>
              </w:rPr>
              <w:t>rowerowe,</w:t>
            </w:r>
          </w:p>
          <w:p w:rsidR="00DB3425" w:rsidRPr="00DB3425" w:rsidRDefault="00DB3425" w:rsidP="009E0343">
            <w:pPr>
              <w:numPr>
                <w:ilvl w:val="0"/>
                <w:numId w:val="2"/>
              </w:numPr>
              <w:rPr>
                <w:sz w:val="24"/>
                <w:szCs w:val="24"/>
              </w:rPr>
            </w:pPr>
            <w:r w:rsidRPr="00DB3425">
              <w:rPr>
                <w:sz w:val="24"/>
                <w:szCs w:val="24"/>
              </w:rPr>
              <w:t>kajakowe,</w:t>
            </w:r>
          </w:p>
          <w:p w:rsidR="00DB3425" w:rsidRPr="00DB3425" w:rsidRDefault="00DB3425" w:rsidP="009E0343">
            <w:pPr>
              <w:numPr>
                <w:ilvl w:val="0"/>
                <w:numId w:val="2"/>
              </w:numPr>
              <w:ind w:left="714" w:hanging="357"/>
              <w:rPr>
                <w:sz w:val="24"/>
                <w:szCs w:val="24"/>
              </w:rPr>
            </w:pPr>
            <w:r w:rsidRPr="00DB3425">
              <w:rPr>
                <w:sz w:val="24"/>
                <w:szCs w:val="24"/>
              </w:rPr>
              <w:t>jeździeckie.</w:t>
            </w:r>
          </w:p>
          <w:p w:rsidR="00DB3425" w:rsidRPr="00DB3425" w:rsidRDefault="00DB3425" w:rsidP="009E0343">
            <w:pPr>
              <w:spacing w:before="60" w:after="60"/>
              <w:rPr>
                <w:sz w:val="24"/>
                <w:szCs w:val="24"/>
              </w:rPr>
            </w:pPr>
            <w:r w:rsidRPr="00DB3425">
              <w:rPr>
                <w:sz w:val="24"/>
                <w:szCs w:val="24"/>
              </w:rPr>
              <w:t xml:space="preserve">Definicja na podstawie: „Instrukcja znakowania szlaków turystycznych PTTK”.  </w:t>
            </w:r>
          </w:p>
          <w:p w:rsidR="00DB3425" w:rsidRPr="00DB3425" w:rsidRDefault="00DB3425" w:rsidP="009E0343">
            <w:pPr>
              <w:spacing w:before="60" w:after="60"/>
              <w:rPr>
                <w:sz w:val="24"/>
                <w:szCs w:val="24"/>
              </w:rPr>
            </w:pPr>
            <w:r w:rsidRPr="00DB3425">
              <w:rPr>
                <w:sz w:val="24"/>
                <w:szCs w:val="24"/>
              </w:rPr>
              <w:t>Zakres wsparcia zgodny z UP i zapisami linii demarkacyjnej dla PI 6c, 6d.</w:t>
            </w:r>
          </w:p>
        </w:tc>
      </w:tr>
      <w:tr w:rsidR="009E0343" w:rsidRPr="00DB3425" w:rsidTr="00D34446">
        <w:tc>
          <w:tcPr>
            <w:tcW w:w="568" w:type="dxa"/>
            <w:vAlign w:val="center"/>
          </w:tcPr>
          <w:p w:rsidR="00DB3425" w:rsidRPr="00DB3425" w:rsidRDefault="00DB3425" w:rsidP="009E0343">
            <w:pPr>
              <w:spacing w:before="80" w:after="80"/>
              <w:rPr>
                <w:sz w:val="24"/>
                <w:szCs w:val="24"/>
              </w:rPr>
            </w:pPr>
            <w:r w:rsidRPr="00DB3425">
              <w:rPr>
                <w:sz w:val="24"/>
                <w:szCs w:val="24"/>
              </w:rPr>
              <w:t>10.</w:t>
            </w:r>
          </w:p>
        </w:tc>
        <w:tc>
          <w:tcPr>
            <w:tcW w:w="2688" w:type="dxa"/>
            <w:vAlign w:val="center"/>
          </w:tcPr>
          <w:p w:rsidR="00DB3425" w:rsidRPr="00DB3425" w:rsidRDefault="00DB3425" w:rsidP="009E0343">
            <w:pPr>
              <w:spacing w:before="60" w:after="60"/>
              <w:rPr>
                <w:rFonts w:ascii="Arial" w:eastAsia="Calibri" w:hAnsi="Arial" w:cs="Arial"/>
                <w:i/>
                <w:sz w:val="24"/>
                <w:szCs w:val="24"/>
              </w:rPr>
            </w:pPr>
            <w:r w:rsidRPr="00DB3425">
              <w:rPr>
                <w:rFonts w:eastAsia="Calibri" w:cs="Arial"/>
                <w:i/>
                <w:sz w:val="24"/>
                <w:szCs w:val="24"/>
              </w:rPr>
              <w:t>Liczba przeprowadzonych kampanii reklamowych promujących walory turystyczne</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spacing w:before="60" w:after="60"/>
              <w:rPr>
                <w:sz w:val="24"/>
                <w:szCs w:val="24"/>
              </w:rPr>
            </w:pPr>
            <w:r w:rsidRPr="00DB3425">
              <w:rPr>
                <w:sz w:val="24"/>
                <w:szCs w:val="24"/>
              </w:rPr>
              <w:t xml:space="preserve">Liczba przeprowadzonych kampanii reklamowych promujących walory turystyczne.  </w:t>
            </w:r>
          </w:p>
          <w:p w:rsidR="00DB3425" w:rsidRPr="00DB3425" w:rsidRDefault="00DB3425" w:rsidP="009E0343">
            <w:pPr>
              <w:spacing w:before="60" w:after="60"/>
              <w:rPr>
                <w:color w:val="FF0000"/>
                <w:sz w:val="24"/>
                <w:szCs w:val="24"/>
              </w:rPr>
            </w:pPr>
            <w:r w:rsidRPr="00DB3425">
              <w:rPr>
                <w:sz w:val="24"/>
                <w:szCs w:val="24"/>
              </w:rPr>
              <w:t>Zakres wsparcia zgodny z UP i zapisami linii demarkacyjnej dla PI 3b, 6d.</w:t>
            </w:r>
          </w:p>
        </w:tc>
      </w:tr>
      <w:tr w:rsidR="009E0343" w:rsidRPr="00DB3425" w:rsidTr="00D34446">
        <w:trPr>
          <w:trHeight w:val="126"/>
        </w:trPr>
        <w:tc>
          <w:tcPr>
            <w:tcW w:w="568" w:type="dxa"/>
            <w:vAlign w:val="center"/>
          </w:tcPr>
          <w:p w:rsidR="00DB3425" w:rsidRPr="00DB3425" w:rsidRDefault="00DB3425" w:rsidP="009E0343">
            <w:pPr>
              <w:spacing w:before="80" w:after="80"/>
              <w:rPr>
                <w:sz w:val="24"/>
                <w:szCs w:val="24"/>
              </w:rPr>
            </w:pPr>
            <w:r w:rsidRPr="00DB3425">
              <w:rPr>
                <w:sz w:val="24"/>
                <w:szCs w:val="24"/>
              </w:rPr>
              <w:t>11.</w:t>
            </w:r>
          </w:p>
        </w:tc>
        <w:tc>
          <w:tcPr>
            <w:tcW w:w="2688" w:type="dxa"/>
            <w:vAlign w:val="center"/>
          </w:tcPr>
          <w:p w:rsidR="00DB3425" w:rsidRPr="00DB3425" w:rsidRDefault="00DB3425" w:rsidP="009E0343">
            <w:pPr>
              <w:spacing w:before="40" w:after="40"/>
              <w:rPr>
                <w:rFonts w:ascii="Arial" w:eastAsia="Calibri" w:hAnsi="Arial" w:cs="Arial"/>
                <w:i/>
                <w:sz w:val="24"/>
                <w:szCs w:val="24"/>
              </w:rPr>
            </w:pPr>
            <w:r w:rsidRPr="00DB3425">
              <w:rPr>
                <w:rFonts w:cs="Arial"/>
                <w:i/>
                <w:sz w:val="24"/>
                <w:szCs w:val="24"/>
              </w:rPr>
              <w:t>Liczba ośrodków prowadzących działalność w zakresie edukacji ekologicznej objętych wsparciem</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spacing w:before="60" w:after="60"/>
              <w:rPr>
                <w:color w:val="FF0000"/>
                <w:sz w:val="24"/>
                <w:szCs w:val="24"/>
              </w:rPr>
            </w:pPr>
            <w:r w:rsidRPr="00DB3425">
              <w:rPr>
                <w:sz w:val="24"/>
                <w:szCs w:val="24"/>
              </w:rPr>
              <w:t>Liczba ośrodków prowadzących działalność w zakresie edukacji ekologicznej, które otrzymały wsparcie na rozbudowę, modernizację, doposażenie lub prowadzenie kampanii informacyjno-edukacyjnych.  Zakres wsparcia zgodny z UP i zapisami linii demarkacyjnej dla PI 6d.</w:t>
            </w:r>
          </w:p>
        </w:tc>
      </w:tr>
      <w:tr w:rsidR="009E0343" w:rsidRPr="00DB3425" w:rsidTr="00D34446">
        <w:trPr>
          <w:trHeight w:val="1399"/>
        </w:trPr>
        <w:tc>
          <w:tcPr>
            <w:tcW w:w="568" w:type="dxa"/>
            <w:vAlign w:val="center"/>
          </w:tcPr>
          <w:p w:rsidR="00DB3425" w:rsidRPr="00DB3425" w:rsidRDefault="00DB3425" w:rsidP="009E0343">
            <w:pPr>
              <w:spacing w:before="80" w:after="80"/>
              <w:rPr>
                <w:sz w:val="24"/>
                <w:szCs w:val="24"/>
              </w:rPr>
            </w:pPr>
            <w:r w:rsidRPr="00DB3425">
              <w:rPr>
                <w:sz w:val="24"/>
                <w:szCs w:val="24"/>
              </w:rPr>
              <w:t>12.</w:t>
            </w:r>
          </w:p>
        </w:tc>
        <w:tc>
          <w:tcPr>
            <w:tcW w:w="2688" w:type="dxa"/>
            <w:vAlign w:val="center"/>
          </w:tcPr>
          <w:p w:rsidR="00DB3425" w:rsidRPr="00DB3425" w:rsidRDefault="00DB3425" w:rsidP="009E0343">
            <w:pPr>
              <w:spacing w:before="60" w:after="60"/>
              <w:rPr>
                <w:rFonts w:cs="Arial"/>
                <w:i/>
                <w:sz w:val="24"/>
                <w:szCs w:val="24"/>
              </w:rPr>
            </w:pPr>
            <w:r w:rsidRPr="00DB3425">
              <w:rPr>
                <w:rFonts w:cs="Arial"/>
                <w:i/>
                <w:sz w:val="24"/>
                <w:szCs w:val="24"/>
              </w:rPr>
              <w:t xml:space="preserve">Liczba gatunków objętych </w:t>
            </w:r>
            <w:proofErr w:type="spellStart"/>
            <w:r w:rsidRPr="00DB3425">
              <w:rPr>
                <w:rFonts w:cs="Arial"/>
                <w:i/>
                <w:sz w:val="24"/>
                <w:szCs w:val="24"/>
              </w:rPr>
              <w:t>reintrodukcją</w:t>
            </w:r>
            <w:proofErr w:type="spellEnd"/>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specyficzny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autoSpaceDE w:val="0"/>
              <w:autoSpaceDN w:val="0"/>
              <w:adjustRightInd w:val="0"/>
              <w:spacing w:before="60" w:after="60"/>
              <w:rPr>
                <w:sz w:val="24"/>
                <w:szCs w:val="24"/>
              </w:rPr>
            </w:pPr>
            <w:r w:rsidRPr="00DB3425">
              <w:rPr>
                <w:rFonts w:cs="Times New Roman"/>
                <w:sz w:val="24"/>
                <w:szCs w:val="24"/>
              </w:rPr>
              <w:t>Ilo</w:t>
            </w:r>
            <w:r w:rsidRPr="00DB3425">
              <w:rPr>
                <w:rFonts w:eastAsia="TimesNewRoman" w:cs="TimesNewRoman"/>
                <w:sz w:val="24"/>
                <w:szCs w:val="24"/>
              </w:rPr>
              <w:t xml:space="preserve">ść </w:t>
            </w:r>
            <w:r w:rsidRPr="00DB3425">
              <w:rPr>
                <w:rFonts w:cs="Times New Roman"/>
                <w:sz w:val="24"/>
                <w:szCs w:val="24"/>
              </w:rPr>
              <w:t>rodzimych taksonów na poziomie gatunku lub podgatunku (</w:t>
            </w:r>
            <w:proofErr w:type="spellStart"/>
            <w:r w:rsidRPr="00DB3425">
              <w:rPr>
                <w:rFonts w:cs="Times New Roman"/>
                <w:sz w:val="24"/>
                <w:szCs w:val="24"/>
              </w:rPr>
              <w:t>subspecies</w:t>
            </w:r>
            <w:proofErr w:type="spellEnd"/>
            <w:r w:rsidRPr="00DB3425">
              <w:rPr>
                <w:rFonts w:cs="Times New Roman"/>
                <w:sz w:val="24"/>
                <w:szCs w:val="24"/>
              </w:rPr>
              <w:t>), naturalnie wyst</w:t>
            </w:r>
            <w:r w:rsidRPr="00DB3425">
              <w:rPr>
                <w:rFonts w:eastAsia="TimesNewRoman" w:cs="TimesNewRoman"/>
                <w:sz w:val="24"/>
                <w:szCs w:val="24"/>
              </w:rPr>
              <w:t>ę</w:t>
            </w:r>
            <w:r w:rsidRPr="00DB3425">
              <w:rPr>
                <w:rFonts w:cs="Times New Roman"/>
                <w:sz w:val="24"/>
                <w:szCs w:val="24"/>
              </w:rPr>
              <w:t>puj</w:t>
            </w:r>
            <w:r w:rsidRPr="00DB3425">
              <w:rPr>
                <w:rFonts w:eastAsia="TimesNewRoman" w:cs="TimesNewRoman"/>
                <w:sz w:val="24"/>
                <w:szCs w:val="24"/>
              </w:rPr>
              <w:t>ą</w:t>
            </w:r>
            <w:r w:rsidRPr="00DB3425">
              <w:rPr>
                <w:rFonts w:cs="Times New Roman"/>
                <w:sz w:val="24"/>
                <w:szCs w:val="24"/>
              </w:rPr>
              <w:t xml:space="preserve">cych na przedmiotowym obszarze, które reintrodukowano </w:t>
            </w:r>
            <w:r w:rsidR="00F61A9E">
              <w:rPr>
                <w:rFonts w:cs="Times New Roman"/>
                <w:sz w:val="24"/>
                <w:szCs w:val="24"/>
              </w:rPr>
              <w:br/>
            </w:r>
            <w:r w:rsidRPr="00DB3425">
              <w:rPr>
                <w:rFonts w:cs="Times New Roman"/>
                <w:sz w:val="24"/>
                <w:szCs w:val="24"/>
              </w:rPr>
              <w:t>w wyniku realizacji projektu.</w:t>
            </w:r>
          </w:p>
        </w:tc>
      </w:tr>
      <w:tr w:rsidR="009E0343" w:rsidRPr="00DB3425" w:rsidTr="00D34446">
        <w:trPr>
          <w:trHeight w:val="2082"/>
        </w:trPr>
        <w:tc>
          <w:tcPr>
            <w:tcW w:w="568" w:type="dxa"/>
            <w:vAlign w:val="center"/>
          </w:tcPr>
          <w:p w:rsidR="00DB3425" w:rsidRPr="00DB3425" w:rsidRDefault="00DB3425" w:rsidP="009E0343">
            <w:pPr>
              <w:spacing w:before="80" w:after="80"/>
              <w:rPr>
                <w:sz w:val="24"/>
                <w:szCs w:val="24"/>
              </w:rPr>
            </w:pPr>
            <w:r w:rsidRPr="00DB3425">
              <w:rPr>
                <w:sz w:val="24"/>
                <w:szCs w:val="24"/>
              </w:rPr>
              <w:t>13.</w:t>
            </w:r>
          </w:p>
        </w:tc>
        <w:tc>
          <w:tcPr>
            <w:tcW w:w="2688" w:type="dxa"/>
            <w:vAlign w:val="center"/>
          </w:tcPr>
          <w:p w:rsidR="00DB3425" w:rsidRPr="00DB3425" w:rsidRDefault="00DB3425" w:rsidP="009E0343">
            <w:pPr>
              <w:spacing w:before="60" w:after="60"/>
              <w:rPr>
                <w:rFonts w:cs="Arial"/>
                <w:i/>
                <w:sz w:val="24"/>
                <w:szCs w:val="24"/>
              </w:rPr>
            </w:pPr>
            <w:r w:rsidRPr="00DB3425">
              <w:rPr>
                <w:rFonts w:cs="Arial"/>
                <w:i/>
                <w:sz w:val="24"/>
                <w:szCs w:val="24"/>
              </w:rPr>
              <w:t>Liczba utworzonych centrów ochrony różnorodności biologicznej</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szt.</w:t>
            </w:r>
          </w:p>
        </w:tc>
        <w:tc>
          <w:tcPr>
            <w:tcW w:w="1276" w:type="dxa"/>
            <w:vAlign w:val="center"/>
          </w:tcPr>
          <w:p w:rsidR="00DB3425" w:rsidRPr="00DB3425" w:rsidRDefault="00DB3425" w:rsidP="009E0343">
            <w:pPr>
              <w:spacing w:before="80" w:after="80"/>
              <w:rPr>
                <w:sz w:val="24"/>
                <w:szCs w:val="24"/>
              </w:rPr>
            </w:pPr>
            <w:r w:rsidRPr="00DB3425">
              <w:rPr>
                <w:sz w:val="24"/>
                <w:szCs w:val="24"/>
              </w:rPr>
              <w:t>produkt</w:t>
            </w:r>
          </w:p>
        </w:tc>
        <w:tc>
          <w:tcPr>
            <w:tcW w:w="1423" w:type="dxa"/>
            <w:vAlign w:val="center"/>
          </w:tcPr>
          <w:p w:rsidR="00DB3425" w:rsidRPr="00DB3425" w:rsidRDefault="00DB3425" w:rsidP="009E0343">
            <w:pPr>
              <w:spacing w:before="80" w:after="80"/>
              <w:rPr>
                <w:sz w:val="24"/>
                <w:szCs w:val="24"/>
              </w:rPr>
            </w:pPr>
            <w:r w:rsidRPr="00DB3425">
              <w:rPr>
                <w:sz w:val="24"/>
                <w:szCs w:val="24"/>
              </w:rPr>
              <w:t>specyficzny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autoSpaceDE w:val="0"/>
              <w:autoSpaceDN w:val="0"/>
              <w:adjustRightInd w:val="0"/>
              <w:spacing w:before="60" w:after="60"/>
              <w:rPr>
                <w:rFonts w:cs="Times New Roman"/>
                <w:sz w:val="24"/>
                <w:szCs w:val="24"/>
              </w:rPr>
            </w:pPr>
            <w:r w:rsidRPr="00DB3425">
              <w:rPr>
                <w:rFonts w:cs="Times New Roman"/>
                <w:sz w:val="24"/>
                <w:szCs w:val="24"/>
              </w:rPr>
              <w:t xml:space="preserve">Przez centrum ochrony różnorodności biologicznej rozumie się instytucje służące zachowaniu różnorodności w obrębie </w:t>
            </w:r>
            <w:hyperlink r:id="rId9" w:tooltip="Gatunek (biologia)" w:history="1">
              <w:r w:rsidRPr="00DB3425">
                <w:rPr>
                  <w:rStyle w:val="Hipercze"/>
                  <w:rFonts w:cs="Times New Roman"/>
                  <w:color w:val="auto"/>
                  <w:sz w:val="24"/>
                  <w:szCs w:val="24"/>
                  <w:u w:val="none"/>
                </w:rPr>
                <w:t>gatunku</w:t>
              </w:r>
            </w:hyperlink>
            <w:r w:rsidRPr="00DB3425">
              <w:rPr>
                <w:rFonts w:cs="Times New Roman"/>
                <w:sz w:val="24"/>
                <w:szCs w:val="24"/>
              </w:rPr>
              <w:t xml:space="preserve"> (</w:t>
            </w:r>
            <w:hyperlink r:id="rId10" w:tooltip="Różnorodność genetyczna" w:history="1">
              <w:r w:rsidRPr="00DB3425">
                <w:rPr>
                  <w:rStyle w:val="Hipercze"/>
                  <w:rFonts w:cs="Times New Roman"/>
                  <w:color w:val="auto"/>
                  <w:sz w:val="24"/>
                  <w:szCs w:val="24"/>
                  <w:u w:val="none"/>
                </w:rPr>
                <w:t>różnorodność genetyczna</w:t>
              </w:r>
            </w:hyperlink>
            <w:r w:rsidRPr="00DB3425">
              <w:rPr>
                <w:rFonts w:cs="Times New Roman"/>
                <w:sz w:val="24"/>
                <w:szCs w:val="24"/>
              </w:rPr>
              <w:t>), pomiędzy gatunkami oraz różnorodności ekosystemów.</w:t>
            </w:r>
          </w:p>
          <w:p w:rsidR="00DB3425" w:rsidRPr="00DB3425" w:rsidRDefault="00DB3425" w:rsidP="009E0343">
            <w:pPr>
              <w:autoSpaceDE w:val="0"/>
              <w:autoSpaceDN w:val="0"/>
              <w:adjustRightInd w:val="0"/>
              <w:spacing w:before="60" w:after="60"/>
              <w:rPr>
                <w:rFonts w:cs="Times New Roman"/>
                <w:sz w:val="24"/>
                <w:szCs w:val="24"/>
              </w:rPr>
            </w:pPr>
            <w:r w:rsidRPr="00DB3425">
              <w:rPr>
                <w:rFonts w:cs="Times New Roman"/>
                <w:sz w:val="24"/>
                <w:szCs w:val="24"/>
              </w:rPr>
              <w:t>Zakres wsparcia zgodny z UP i zapisami linii demarkacyjnej dla PI 6d.</w:t>
            </w:r>
          </w:p>
        </w:tc>
      </w:tr>
      <w:tr w:rsidR="009E0343" w:rsidRPr="00DB3425" w:rsidTr="00D34446">
        <w:tc>
          <w:tcPr>
            <w:tcW w:w="568" w:type="dxa"/>
            <w:vAlign w:val="center"/>
          </w:tcPr>
          <w:p w:rsidR="00DB3425" w:rsidRPr="00DB3425" w:rsidRDefault="00DB3425" w:rsidP="009E0343">
            <w:pPr>
              <w:spacing w:before="80" w:after="80"/>
              <w:rPr>
                <w:sz w:val="24"/>
                <w:szCs w:val="24"/>
              </w:rPr>
            </w:pPr>
            <w:r w:rsidRPr="00DB3425">
              <w:rPr>
                <w:sz w:val="24"/>
                <w:szCs w:val="24"/>
              </w:rPr>
              <w:t>14.</w:t>
            </w:r>
          </w:p>
        </w:tc>
        <w:tc>
          <w:tcPr>
            <w:tcW w:w="2688" w:type="dxa"/>
            <w:vAlign w:val="center"/>
          </w:tcPr>
          <w:p w:rsidR="00DB3425" w:rsidRPr="00DB3425" w:rsidRDefault="00DB3425" w:rsidP="009E0343">
            <w:pPr>
              <w:spacing w:before="60" w:after="60"/>
              <w:rPr>
                <w:rFonts w:ascii="Arial" w:eastAsia="Times New Roman" w:hAnsi="Arial" w:cs="Arial"/>
                <w:sz w:val="24"/>
                <w:szCs w:val="24"/>
              </w:rPr>
            </w:pPr>
            <w:r w:rsidRPr="00DB3425">
              <w:rPr>
                <w:rFonts w:eastAsia="Calibri" w:cs="Arial"/>
                <w:i/>
                <w:sz w:val="24"/>
                <w:szCs w:val="24"/>
              </w:rPr>
              <w:t>Powierzchnia siedlisk wspieranych w celu uzyskania lepszego statusu ochrony</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ha</w:t>
            </w:r>
          </w:p>
        </w:tc>
        <w:tc>
          <w:tcPr>
            <w:tcW w:w="1276" w:type="dxa"/>
            <w:vAlign w:val="center"/>
          </w:tcPr>
          <w:p w:rsidR="00DB3425" w:rsidRPr="00DB3425" w:rsidRDefault="00DB3425" w:rsidP="009E0343">
            <w:pPr>
              <w:spacing w:before="80" w:after="80"/>
              <w:rPr>
                <w:sz w:val="24"/>
                <w:szCs w:val="24"/>
              </w:rPr>
            </w:pPr>
            <w:r w:rsidRPr="00DB3425">
              <w:rPr>
                <w:sz w:val="24"/>
                <w:szCs w:val="24"/>
              </w:rPr>
              <w:t>rezultat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242" w:type="dxa"/>
            <w:vAlign w:val="center"/>
          </w:tcPr>
          <w:p w:rsidR="00DB3425" w:rsidRPr="00DB3425" w:rsidRDefault="00DB3425" w:rsidP="009E0343">
            <w:pPr>
              <w:spacing w:before="60" w:after="60"/>
              <w:rPr>
                <w:sz w:val="24"/>
                <w:szCs w:val="24"/>
              </w:rPr>
            </w:pPr>
            <w:r w:rsidRPr="00DB3425">
              <w:rPr>
                <w:sz w:val="24"/>
                <w:szCs w:val="24"/>
              </w:rPr>
              <w:t>Powierzchnia odrestaurowanych lub utworzonych obszarów, mających na celu poprawę stanu ochrony zagrożonych gatunków. Działania mogą być przeprowadzane zarówno w jak i poza obszarami Natura 2000, jeżeli mają zdolność poprawy stanu ochrony gatunków, siedlisk celowych lub ekosystemów dla różnorodności biologicznej i świadczenia usług ekosystemowych. Obszary, które otrzymują wsparcie wielokrotnie, powinien być liczone tylko raz.</w:t>
            </w:r>
          </w:p>
          <w:p w:rsidR="00DB3425" w:rsidRPr="00DB3425" w:rsidRDefault="00DB3425" w:rsidP="009E0343">
            <w:pPr>
              <w:spacing w:before="60" w:after="60"/>
              <w:rPr>
                <w:sz w:val="24"/>
                <w:szCs w:val="24"/>
              </w:rPr>
            </w:pPr>
            <w:r w:rsidRPr="00DB3425">
              <w:rPr>
                <w:sz w:val="24"/>
                <w:szCs w:val="24"/>
              </w:rPr>
              <w:t>Zakres wsparcia zgodny z UP i zapisami linii demarkacyjnej dla PI 6d.</w:t>
            </w:r>
          </w:p>
        </w:tc>
      </w:tr>
      <w:tr w:rsidR="009E0343" w:rsidRPr="00DB3425" w:rsidTr="00D34446">
        <w:trPr>
          <w:trHeight w:val="1682"/>
        </w:trPr>
        <w:tc>
          <w:tcPr>
            <w:tcW w:w="568" w:type="dxa"/>
            <w:vAlign w:val="center"/>
          </w:tcPr>
          <w:p w:rsidR="00DB3425" w:rsidRPr="00DB3425" w:rsidRDefault="00DB3425" w:rsidP="009E0343">
            <w:pPr>
              <w:spacing w:before="80" w:after="80"/>
              <w:rPr>
                <w:sz w:val="24"/>
                <w:szCs w:val="24"/>
              </w:rPr>
            </w:pPr>
            <w:r w:rsidRPr="00DB3425">
              <w:rPr>
                <w:sz w:val="24"/>
                <w:szCs w:val="24"/>
              </w:rPr>
              <w:t>15.</w:t>
            </w:r>
          </w:p>
        </w:tc>
        <w:tc>
          <w:tcPr>
            <w:tcW w:w="2688" w:type="dxa"/>
            <w:vAlign w:val="center"/>
          </w:tcPr>
          <w:p w:rsidR="00DB3425" w:rsidRPr="00DB3425" w:rsidRDefault="00DB3425" w:rsidP="009E0343">
            <w:pPr>
              <w:spacing w:before="60" w:after="60"/>
              <w:rPr>
                <w:rFonts w:ascii="Arial" w:eastAsia="Times New Roman" w:hAnsi="Arial" w:cs="Arial"/>
                <w:sz w:val="24"/>
                <w:szCs w:val="24"/>
              </w:rPr>
            </w:pPr>
            <w:r w:rsidRPr="00DB3425">
              <w:rPr>
                <w:rFonts w:eastAsia="Calibri" w:cs="Arial"/>
                <w:i/>
                <w:sz w:val="24"/>
                <w:szCs w:val="24"/>
              </w:rPr>
              <w:t>Wzrost oczekiwanej liczby odwiedzin w objętych wsparciem miejscach należących do dziedzictwa kulturalnego i naturalnego oraz stanowiących atrakcje turystyczne</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odwiedzi-</w:t>
            </w:r>
            <w:proofErr w:type="spellStart"/>
            <w:r w:rsidRPr="00DB3425">
              <w:rPr>
                <w:rFonts w:cs="Arial"/>
                <w:sz w:val="24"/>
                <w:szCs w:val="24"/>
              </w:rPr>
              <w:t>ny</w:t>
            </w:r>
            <w:proofErr w:type="spellEnd"/>
            <w:r w:rsidRPr="00DB3425">
              <w:rPr>
                <w:rFonts w:cs="Arial"/>
                <w:sz w:val="24"/>
                <w:szCs w:val="24"/>
              </w:rPr>
              <w:t>/rok</w:t>
            </w:r>
          </w:p>
        </w:tc>
        <w:tc>
          <w:tcPr>
            <w:tcW w:w="1276" w:type="dxa"/>
            <w:vAlign w:val="center"/>
          </w:tcPr>
          <w:p w:rsidR="00DB3425" w:rsidRPr="00DB3425" w:rsidRDefault="00DB3425" w:rsidP="009E0343">
            <w:pPr>
              <w:spacing w:before="80" w:after="80"/>
              <w:rPr>
                <w:sz w:val="24"/>
                <w:szCs w:val="24"/>
              </w:rPr>
            </w:pPr>
            <w:r w:rsidRPr="00DB3425">
              <w:rPr>
                <w:sz w:val="24"/>
                <w:szCs w:val="24"/>
              </w:rPr>
              <w:t>rezultat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242" w:type="dxa"/>
            <w:vAlign w:val="center"/>
          </w:tcPr>
          <w:p w:rsidR="00DB3425" w:rsidRPr="00DB3425" w:rsidRDefault="00DB3425" w:rsidP="009E0343">
            <w:pPr>
              <w:spacing w:before="60" w:after="60"/>
              <w:rPr>
                <w:sz w:val="24"/>
                <w:szCs w:val="24"/>
              </w:rPr>
            </w:pPr>
            <w:r w:rsidRPr="00DB3425">
              <w:rPr>
                <w:sz w:val="24"/>
                <w:szCs w:val="24"/>
              </w:rPr>
              <w:t xml:space="preserve">Szacowany </w:t>
            </w:r>
            <w:r w:rsidRPr="00DB3425">
              <w:rPr>
                <w:i/>
                <w:iCs/>
                <w:sz w:val="24"/>
                <w:szCs w:val="24"/>
              </w:rPr>
              <w:t>ex-</w:t>
            </w:r>
            <w:proofErr w:type="spellStart"/>
            <w:r w:rsidRPr="00DB3425">
              <w:rPr>
                <w:i/>
                <w:iCs/>
                <w:sz w:val="24"/>
                <w:szCs w:val="24"/>
              </w:rPr>
              <w:t>ante</w:t>
            </w:r>
            <w:proofErr w:type="spellEnd"/>
            <w:r w:rsidRPr="00DB3425">
              <w:rPr>
                <w:sz w:val="24"/>
                <w:szCs w:val="24"/>
              </w:rPr>
              <w:t xml:space="preserve"> wzrost liczby odwiedzin danego miejsca w rok po zakończeniu projektu. Ważny dla miejsc podlegających działaniom zwiększającym jakość, które mają przyciągać i obsługiwać gości w ramach zrównoważonej turystyki. Obejmuje miejsca z wcześniejszą działalnością turystyczną lub bez (np. parki narodowe lub budynki zamienione w muzeum). Jeden odwiedzający może wykonać wiele wizyt; grupa zwiedzających liczona jest jak wielu indywidualnych odwiedzających.</w:t>
            </w:r>
          </w:p>
          <w:p w:rsidR="00DB3425" w:rsidRPr="00DB3425" w:rsidRDefault="00DB3425" w:rsidP="009E0343">
            <w:pPr>
              <w:spacing w:before="60" w:after="60"/>
              <w:rPr>
                <w:sz w:val="24"/>
                <w:szCs w:val="24"/>
              </w:rPr>
            </w:pPr>
            <w:r w:rsidRPr="00DB3425">
              <w:rPr>
                <w:sz w:val="24"/>
                <w:szCs w:val="24"/>
              </w:rPr>
              <w:t>Zakres wsparcia zgodny z UP i zapisami linii demarkacyjnej dla PI 6c, 6d.</w:t>
            </w:r>
          </w:p>
        </w:tc>
      </w:tr>
      <w:tr w:rsidR="009E0343" w:rsidRPr="00DB3425" w:rsidTr="00D34446">
        <w:trPr>
          <w:trHeight w:val="410"/>
        </w:trPr>
        <w:tc>
          <w:tcPr>
            <w:tcW w:w="568" w:type="dxa"/>
            <w:vAlign w:val="center"/>
          </w:tcPr>
          <w:p w:rsidR="00DB3425" w:rsidRPr="00DB3425" w:rsidRDefault="00DB3425" w:rsidP="009E0343">
            <w:pPr>
              <w:spacing w:before="80" w:after="80"/>
              <w:rPr>
                <w:sz w:val="24"/>
                <w:szCs w:val="24"/>
              </w:rPr>
            </w:pPr>
            <w:r w:rsidRPr="00DB3425">
              <w:rPr>
                <w:sz w:val="24"/>
                <w:szCs w:val="24"/>
              </w:rPr>
              <w:t>16.</w:t>
            </w:r>
          </w:p>
        </w:tc>
        <w:tc>
          <w:tcPr>
            <w:tcW w:w="2688" w:type="dxa"/>
            <w:vAlign w:val="center"/>
          </w:tcPr>
          <w:p w:rsidR="00DB3425" w:rsidRPr="00DB3425" w:rsidRDefault="00DB3425" w:rsidP="009E0343">
            <w:pPr>
              <w:spacing w:before="60" w:after="60"/>
              <w:rPr>
                <w:rFonts w:ascii="Arial" w:eastAsia="Calibri" w:hAnsi="Arial" w:cs="Arial"/>
                <w:i/>
                <w:sz w:val="24"/>
                <w:szCs w:val="24"/>
              </w:rPr>
            </w:pPr>
            <w:r w:rsidRPr="00DB3425">
              <w:rPr>
                <w:rFonts w:eastAsia="Calibri" w:cs="Arial"/>
                <w:i/>
                <w:sz w:val="24"/>
                <w:szCs w:val="24"/>
              </w:rPr>
              <w:t>Zasięg zrealizowanych przedsięwzięć edukacyjno-promocyjnych oraz informacyjnych</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osoby</w:t>
            </w:r>
          </w:p>
        </w:tc>
        <w:tc>
          <w:tcPr>
            <w:tcW w:w="1276" w:type="dxa"/>
            <w:vAlign w:val="center"/>
          </w:tcPr>
          <w:p w:rsidR="00DB3425" w:rsidRPr="00DB3425" w:rsidRDefault="00DB3425" w:rsidP="009E0343">
            <w:pPr>
              <w:spacing w:before="80" w:after="80"/>
              <w:rPr>
                <w:sz w:val="24"/>
                <w:szCs w:val="24"/>
              </w:rPr>
            </w:pPr>
            <w:r w:rsidRPr="00DB3425">
              <w:rPr>
                <w:sz w:val="24"/>
                <w:szCs w:val="24"/>
              </w:rPr>
              <w:t>rezultat</w:t>
            </w:r>
          </w:p>
        </w:tc>
        <w:tc>
          <w:tcPr>
            <w:tcW w:w="1423" w:type="dxa"/>
            <w:vAlign w:val="center"/>
          </w:tcPr>
          <w:p w:rsidR="00DB3425" w:rsidRPr="00DB3425" w:rsidRDefault="00DB3425" w:rsidP="009E0343">
            <w:pPr>
              <w:spacing w:before="80" w:after="80"/>
              <w:rPr>
                <w:sz w:val="24"/>
                <w:szCs w:val="24"/>
              </w:rPr>
            </w:pPr>
            <w:r w:rsidRPr="00DB3425">
              <w:rPr>
                <w:sz w:val="24"/>
                <w:szCs w:val="24"/>
              </w:rPr>
              <w:t>kluczowy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dla działań "bezpośrednich", typu szkolenia, konferencje, konkursy, itp. - liczba osób objętych działaniem; </w:t>
            </w:r>
          </w:p>
          <w:p w:rsidR="00DB3425" w:rsidRPr="00DB3425" w:rsidRDefault="00DB3425" w:rsidP="009E0343">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dla bazy edukacyjnej - liczba osób biorących udział </w:t>
            </w:r>
            <w:r w:rsidRPr="00DB3425">
              <w:rPr>
                <w:rFonts w:eastAsia="Calibri" w:cs="Times New Roman"/>
                <w:sz w:val="24"/>
                <w:szCs w:val="24"/>
              </w:rPr>
              <w:br/>
              <w:t xml:space="preserve">w działaniach edukacyjnych, realizowanych przez ośrodek w skali roku; </w:t>
            </w:r>
          </w:p>
          <w:p w:rsidR="00DB3425" w:rsidRPr="00DB3425" w:rsidRDefault="00DB3425" w:rsidP="009E0343">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prasa - czytelnictwo; </w:t>
            </w:r>
          </w:p>
          <w:p w:rsidR="00DB3425" w:rsidRPr="00DB3425" w:rsidRDefault="00DB3425" w:rsidP="009E0343">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 xml:space="preserve">radio, telewizja - zasięg w grupie celowej na założonym poziomie efektywnym; </w:t>
            </w:r>
          </w:p>
          <w:p w:rsidR="00DB3425" w:rsidRPr="00DB3425" w:rsidRDefault="00DB3425" w:rsidP="009E0343">
            <w:pPr>
              <w:numPr>
                <w:ilvl w:val="0"/>
                <w:numId w:val="1"/>
              </w:numPr>
              <w:spacing w:before="60" w:after="60"/>
              <w:ind w:left="244" w:hanging="244"/>
              <w:rPr>
                <w:rFonts w:eastAsia="Calibri" w:cs="Times New Roman"/>
                <w:sz w:val="24"/>
                <w:szCs w:val="24"/>
              </w:rPr>
            </w:pPr>
            <w:r w:rsidRPr="00DB3425">
              <w:rPr>
                <w:rFonts w:eastAsia="Calibri" w:cs="Times New Roman"/>
                <w:sz w:val="24"/>
                <w:szCs w:val="24"/>
              </w:rPr>
              <w:t>Internet - unikalni użytkownicy.</w:t>
            </w:r>
          </w:p>
          <w:p w:rsidR="00DB3425" w:rsidRPr="00DB3425" w:rsidRDefault="00DB3425" w:rsidP="009E0343">
            <w:pPr>
              <w:spacing w:before="60" w:after="60"/>
              <w:rPr>
                <w:rFonts w:eastAsia="Calibri" w:cs="Helv"/>
                <w:sz w:val="24"/>
                <w:szCs w:val="24"/>
              </w:rPr>
            </w:pPr>
            <w:r w:rsidRPr="00DB3425">
              <w:rPr>
                <w:rFonts w:eastAsia="Calibri" w:cs="Times New Roman"/>
                <w:sz w:val="24"/>
                <w:szCs w:val="24"/>
              </w:rPr>
              <w:t>Definicja opracowana na podstawie dokumentu NFOŚ, Program priorytetowy „Edukacja ekologiczna”.</w:t>
            </w:r>
            <w:r w:rsidRPr="00DB3425">
              <w:rPr>
                <w:rFonts w:eastAsia="Calibri" w:cs="Helv"/>
                <w:sz w:val="24"/>
                <w:szCs w:val="24"/>
              </w:rPr>
              <w:t xml:space="preserve"> </w:t>
            </w:r>
          </w:p>
          <w:p w:rsidR="00DB3425" w:rsidRPr="00DB3425" w:rsidRDefault="00DB3425" w:rsidP="009E0343">
            <w:pPr>
              <w:spacing w:before="60" w:after="60"/>
              <w:rPr>
                <w:color w:val="FF0000"/>
                <w:sz w:val="24"/>
                <w:szCs w:val="24"/>
              </w:rPr>
            </w:pPr>
            <w:r w:rsidRPr="00DB3425">
              <w:rPr>
                <w:rFonts w:eastAsia="Calibri" w:cs="Helv"/>
                <w:sz w:val="24"/>
                <w:szCs w:val="24"/>
              </w:rPr>
              <w:t>Zakres wsparcia zgodny z UP i zapisami linii demarkacyjnej dla PI 5b.</w:t>
            </w:r>
          </w:p>
        </w:tc>
      </w:tr>
      <w:tr w:rsidR="009E0343" w:rsidRPr="00DB3425" w:rsidTr="00D34446">
        <w:trPr>
          <w:trHeight w:val="997"/>
        </w:trPr>
        <w:tc>
          <w:tcPr>
            <w:tcW w:w="568" w:type="dxa"/>
            <w:vAlign w:val="center"/>
          </w:tcPr>
          <w:p w:rsidR="00DB3425" w:rsidRPr="00DB3425" w:rsidRDefault="00DB3425" w:rsidP="009E0343">
            <w:pPr>
              <w:spacing w:before="80" w:after="80"/>
              <w:rPr>
                <w:sz w:val="24"/>
                <w:szCs w:val="24"/>
              </w:rPr>
            </w:pPr>
            <w:r w:rsidRPr="00DB3425">
              <w:rPr>
                <w:sz w:val="24"/>
                <w:szCs w:val="24"/>
              </w:rPr>
              <w:t>17.</w:t>
            </w:r>
          </w:p>
        </w:tc>
        <w:tc>
          <w:tcPr>
            <w:tcW w:w="2688" w:type="dxa"/>
            <w:vAlign w:val="center"/>
          </w:tcPr>
          <w:p w:rsidR="00DB3425" w:rsidRPr="00DB3425" w:rsidRDefault="00DB3425" w:rsidP="009E0343">
            <w:pPr>
              <w:autoSpaceDE w:val="0"/>
              <w:autoSpaceDN w:val="0"/>
              <w:adjustRightInd w:val="0"/>
              <w:rPr>
                <w:rFonts w:eastAsia="Calibri" w:cs="Arial"/>
                <w:i/>
                <w:sz w:val="24"/>
                <w:szCs w:val="24"/>
              </w:rPr>
            </w:pPr>
            <w:r w:rsidRPr="00DB3425">
              <w:rPr>
                <w:rFonts w:cs="Times New Roman"/>
                <w:i/>
                <w:sz w:val="24"/>
                <w:szCs w:val="24"/>
              </w:rPr>
              <w:t>Ł</w:t>
            </w:r>
            <w:r w:rsidRPr="00DB3425">
              <w:rPr>
                <w:rFonts w:eastAsia="TimesNewRoman" w:cs="TimesNewRoman"/>
                <w:i/>
                <w:sz w:val="24"/>
                <w:szCs w:val="24"/>
              </w:rPr>
              <w:t>ą</w:t>
            </w:r>
            <w:r w:rsidRPr="00DB3425">
              <w:rPr>
                <w:rFonts w:cs="Times New Roman"/>
                <w:i/>
                <w:sz w:val="24"/>
                <w:szCs w:val="24"/>
              </w:rPr>
              <w:t>czna powierzchnia obszarów, na których przywrócono lub zapewniono ochron</w:t>
            </w:r>
            <w:r w:rsidRPr="00DB3425">
              <w:rPr>
                <w:rFonts w:eastAsia="TimesNewRoman" w:cs="TimesNewRoman"/>
                <w:i/>
                <w:sz w:val="24"/>
                <w:szCs w:val="24"/>
              </w:rPr>
              <w:t xml:space="preserve">ę </w:t>
            </w:r>
            <w:r w:rsidRPr="00DB3425">
              <w:rPr>
                <w:rFonts w:cs="Times New Roman"/>
                <w:i/>
                <w:sz w:val="24"/>
                <w:szCs w:val="24"/>
              </w:rPr>
              <w:t>wła</w:t>
            </w:r>
            <w:r w:rsidRPr="00DB3425">
              <w:rPr>
                <w:rFonts w:eastAsia="TimesNewRoman" w:cs="TimesNewRoman"/>
                <w:i/>
                <w:sz w:val="24"/>
                <w:szCs w:val="24"/>
              </w:rPr>
              <w:t>ś</w:t>
            </w:r>
            <w:r w:rsidRPr="00DB3425">
              <w:rPr>
                <w:rFonts w:cs="Times New Roman"/>
                <w:i/>
                <w:sz w:val="24"/>
                <w:szCs w:val="24"/>
              </w:rPr>
              <w:t>ciwego stanu ekosystemu</w:t>
            </w:r>
          </w:p>
        </w:tc>
        <w:tc>
          <w:tcPr>
            <w:tcW w:w="1275" w:type="dxa"/>
            <w:vAlign w:val="center"/>
          </w:tcPr>
          <w:p w:rsidR="00DB3425" w:rsidRPr="00DB3425" w:rsidRDefault="00DB3425" w:rsidP="009E0343">
            <w:pPr>
              <w:spacing w:before="60" w:after="60"/>
              <w:rPr>
                <w:rFonts w:ascii="Arial" w:eastAsia="Times New Roman" w:hAnsi="Arial" w:cs="Arial"/>
                <w:sz w:val="24"/>
                <w:szCs w:val="24"/>
              </w:rPr>
            </w:pPr>
            <w:r w:rsidRPr="00DB3425">
              <w:rPr>
                <w:rFonts w:cs="Arial"/>
                <w:sz w:val="24"/>
                <w:szCs w:val="24"/>
              </w:rPr>
              <w:t>ha</w:t>
            </w:r>
          </w:p>
        </w:tc>
        <w:tc>
          <w:tcPr>
            <w:tcW w:w="1276" w:type="dxa"/>
            <w:vAlign w:val="center"/>
          </w:tcPr>
          <w:p w:rsidR="00DB3425" w:rsidRPr="00DB3425" w:rsidRDefault="00DB3425" w:rsidP="009E0343">
            <w:pPr>
              <w:spacing w:before="80" w:after="80"/>
              <w:rPr>
                <w:sz w:val="24"/>
                <w:szCs w:val="24"/>
              </w:rPr>
            </w:pPr>
            <w:r w:rsidRPr="00DB3425">
              <w:rPr>
                <w:sz w:val="24"/>
                <w:szCs w:val="24"/>
              </w:rPr>
              <w:t>rezultat</w:t>
            </w:r>
            <w:bookmarkStart w:id="0" w:name="_GoBack"/>
            <w:bookmarkEnd w:id="0"/>
          </w:p>
        </w:tc>
        <w:tc>
          <w:tcPr>
            <w:tcW w:w="1423" w:type="dxa"/>
            <w:vAlign w:val="center"/>
          </w:tcPr>
          <w:p w:rsidR="00DB3425" w:rsidRPr="00DB3425" w:rsidRDefault="00DB3425" w:rsidP="009E0343">
            <w:pPr>
              <w:spacing w:before="80" w:after="80"/>
              <w:rPr>
                <w:sz w:val="24"/>
                <w:szCs w:val="24"/>
              </w:rPr>
            </w:pPr>
            <w:r w:rsidRPr="00DB3425">
              <w:rPr>
                <w:sz w:val="24"/>
                <w:szCs w:val="24"/>
              </w:rPr>
              <w:t>specyficzny</w:t>
            </w:r>
          </w:p>
        </w:tc>
        <w:tc>
          <w:tcPr>
            <w:tcW w:w="1129" w:type="dxa"/>
            <w:vAlign w:val="center"/>
          </w:tcPr>
          <w:p w:rsidR="00DB3425" w:rsidRPr="00DB3425" w:rsidRDefault="00DB3425" w:rsidP="009E0343">
            <w:pPr>
              <w:spacing w:before="80" w:after="80"/>
              <w:rPr>
                <w:sz w:val="24"/>
                <w:szCs w:val="24"/>
              </w:rPr>
            </w:pPr>
            <w:r w:rsidRPr="00DB3425">
              <w:rPr>
                <w:sz w:val="24"/>
                <w:szCs w:val="24"/>
              </w:rPr>
              <w:t>-</w:t>
            </w:r>
          </w:p>
        </w:tc>
        <w:tc>
          <w:tcPr>
            <w:tcW w:w="6242" w:type="dxa"/>
            <w:vAlign w:val="center"/>
          </w:tcPr>
          <w:p w:rsidR="00DB3425" w:rsidRPr="00DB3425" w:rsidRDefault="00DB3425" w:rsidP="009E0343">
            <w:pPr>
              <w:autoSpaceDE w:val="0"/>
              <w:autoSpaceDN w:val="0"/>
              <w:adjustRightInd w:val="0"/>
              <w:spacing w:before="60" w:after="60"/>
              <w:rPr>
                <w:rFonts w:cs="Times New Roman"/>
                <w:sz w:val="24"/>
                <w:szCs w:val="24"/>
              </w:rPr>
            </w:pPr>
            <w:r w:rsidRPr="00DB3425">
              <w:rPr>
                <w:rFonts w:cs="Times New Roman"/>
                <w:sz w:val="24"/>
                <w:szCs w:val="24"/>
              </w:rPr>
              <w:t>Całkowita powierzchnia siedlisk/zbiorowisk ro</w:t>
            </w:r>
            <w:r w:rsidRPr="00DB3425">
              <w:rPr>
                <w:rFonts w:eastAsia="TimesNewRoman" w:cs="TimesNewRoman"/>
                <w:sz w:val="24"/>
                <w:szCs w:val="24"/>
              </w:rPr>
              <w:t>ś</w:t>
            </w:r>
            <w:r w:rsidRPr="00DB3425">
              <w:rPr>
                <w:rFonts w:cs="Times New Roman"/>
                <w:sz w:val="24"/>
                <w:szCs w:val="24"/>
              </w:rPr>
              <w:t>linnych, które w wyniku realizacji projektu uzyskały wła</w:t>
            </w:r>
            <w:r w:rsidRPr="00DB3425">
              <w:rPr>
                <w:rFonts w:eastAsia="TimesNewRoman" w:cs="TimesNewRoman"/>
                <w:sz w:val="24"/>
                <w:szCs w:val="24"/>
              </w:rPr>
              <w:t>ś</w:t>
            </w:r>
            <w:r w:rsidRPr="00DB3425">
              <w:rPr>
                <w:rFonts w:cs="Times New Roman"/>
                <w:sz w:val="24"/>
                <w:szCs w:val="24"/>
              </w:rPr>
              <w:t>ciwy stan ochrony przyrody lub stan ten został istotnie poprawiony.</w:t>
            </w:r>
          </w:p>
          <w:p w:rsidR="00DB3425" w:rsidRPr="00DB3425" w:rsidRDefault="00DB3425" w:rsidP="009E0343">
            <w:pPr>
              <w:autoSpaceDE w:val="0"/>
              <w:autoSpaceDN w:val="0"/>
              <w:adjustRightInd w:val="0"/>
              <w:spacing w:before="60" w:after="60"/>
              <w:rPr>
                <w:rFonts w:eastAsia="Calibri" w:cs="Times New Roman"/>
                <w:sz w:val="24"/>
                <w:szCs w:val="24"/>
              </w:rPr>
            </w:pPr>
            <w:r w:rsidRPr="00DB3425">
              <w:rPr>
                <w:rFonts w:cs="Times New Roman"/>
                <w:sz w:val="24"/>
                <w:szCs w:val="24"/>
              </w:rPr>
              <w:t>Ekosystem - dynamiczne zgrupowanie ro</w:t>
            </w:r>
            <w:r w:rsidRPr="00DB3425">
              <w:rPr>
                <w:rFonts w:eastAsia="TimesNewRoman" w:cs="TimesNewRoman"/>
                <w:sz w:val="24"/>
                <w:szCs w:val="24"/>
              </w:rPr>
              <w:t>ś</w:t>
            </w:r>
            <w:r w:rsidRPr="00DB3425">
              <w:rPr>
                <w:rFonts w:cs="Times New Roman"/>
                <w:sz w:val="24"/>
                <w:szCs w:val="24"/>
              </w:rPr>
              <w:t>lin, zwierz</w:t>
            </w:r>
            <w:r w:rsidRPr="00DB3425">
              <w:rPr>
                <w:rFonts w:eastAsia="TimesNewRoman" w:cs="TimesNewRoman"/>
                <w:sz w:val="24"/>
                <w:szCs w:val="24"/>
              </w:rPr>
              <w:t>ą</w:t>
            </w:r>
            <w:r w:rsidRPr="00DB3425">
              <w:rPr>
                <w:rFonts w:cs="Times New Roman"/>
                <w:sz w:val="24"/>
                <w:szCs w:val="24"/>
              </w:rPr>
              <w:t>t, mikroorganizmów oraz ich nieo</w:t>
            </w:r>
            <w:r w:rsidRPr="00DB3425">
              <w:rPr>
                <w:rFonts w:eastAsia="TimesNewRoman" w:cs="TimesNewRoman"/>
                <w:sz w:val="24"/>
                <w:szCs w:val="24"/>
              </w:rPr>
              <w:t>ży</w:t>
            </w:r>
            <w:r w:rsidRPr="00DB3425">
              <w:rPr>
                <w:rFonts w:cs="Times New Roman"/>
                <w:sz w:val="24"/>
                <w:szCs w:val="24"/>
              </w:rPr>
              <w:t xml:space="preserve">wione </w:t>
            </w:r>
            <w:r w:rsidRPr="00DB3425">
              <w:rPr>
                <w:rFonts w:eastAsia="TimesNewRoman" w:cs="TimesNewRoman"/>
                <w:sz w:val="24"/>
                <w:szCs w:val="24"/>
              </w:rPr>
              <w:t>ś</w:t>
            </w:r>
            <w:r w:rsidRPr="00DB3425">
              <w:rPr>
                <w:rFonts w:cs="Times New Roman"/>
                <w:sz w:val="24"/>
                <w:szCs w:val="24"/>
              </w:rPr>
              <w:t>rodowisko wspólnie tworz</w:t>
            </w:r>
            <w:r w:rsidRPr="00DB3425">
              <w:rPr>
                <w:rFonts w:eastAsia="TimesNewRoman" w:cs="TimesNewRoman"/>
                <w:sz w:val="24"/>
                <w:szCs w:val="24"/>
              </w:rPr>
              <w:t>ą</w:t>
            </w:r>
            <w:r w:rsidRPr="00DB3425">
              <w:rPr>
                <w:rFonts w:cs="Times New Roman"/>
                <w:sz w:val="24"/>
                <w:szCs w:val="24"/>
              </w:rPr>
              <w:t>ce jednostk</w:t>
            </w:r>
            <w:r w:rsidRPr="00DB3425">
              <w:rPr>
                <w:rFonts w:eastAsia="TimesNewRoman" w:cs="TimesNewRoman"/>
                <w:sz w:val="24"/>
                <w:szCs w:val="24"/>
              </w:rPr>
              <w:t xml:space="preserve">ę </w:t>
            </w:r>
            <w:r w:rsidRPr="00DB3425">
              <w:rPr>
                <w:rFonts w:cs="Times New Roman"/>
                <w:sz w:val="24"/>
                <w:szCs w:val="24"/>
              </w:rPr>
              <w:t>funkcjonaln</w:t>
            </w:r>
            <w:r w:rsidRPr="00DB3425">
              <w:rPr>
                <w:rFonts w:eastAsia="TimesNewRoman" w:cs="TimesNewRoman"/>
                <w:sz w:val="24"/>
                <w:szCs w:val="24"/>
              </w:rPr>
              <w:t>ą</w:t>
            </w:r>
            <w:r w:rsidRPr="00DB3425">
              <w:rPr>
                <w:rFonts w:cs="Times New Roman"/>
                <w:sz w:val="24"/>
                <w:szCs w:val="24"/>
              </w:rPr>
              <w:t>.</w:t>
            </w:r>
          </w:p>
        </w:tc>
      </w:tr>
    </w:tbl>
    <w:p w:rsidR="00C961C7" w:rsidRDefault="00C961C7" w:rsidP="00355D2E">
      <w:pPr>
        <w:spacing w:after="0" w:line="240" w:lineRule="auto"/>
        <w:jc w:val="both"/>
        <w:rPr>
          <w:b/>
          <w:sz w:val="20"/>
        </w:rPr>
      </w:pPr>
    </w:p>
    <w:p w:rsidR="00355D2E" w:rsidRDefault="00355D2E" w:rsidP="00355D2E">
      <w:pPr>
        <w:spacing w:after="0" w:line="240" w:lineRule="auto"/>
        <w:jc w:val="both"/>
        <w:rPr>
          <w:b/>
          <w:sz w:val="20"/>
        </w:rPr>
      </w:pPr>
      <w:r>
        <w:rPr>
          <w:b/>
          <w:sz w:val="20"/>
        </w:rPr>
        <w:t>UWAGA:</w:t>
      </w:r>
    </w:p>
    <w:p w:rsidR="00355D2E" w:rsidRPr="00031554" w:rsidRDefault="00355D2E" w:rsidP="00355D2E">
      <w:pPr>
        <w:spacing w:after="0" w:line="240" w:lineRule="auto"/>
        <w:jc w:val="both"/>
        <w:rPr>
          <w:sz w:val="20"/>
        </w:rPr>
      </w:pPr>
      <w:r>
        <w:rPr>
          <w:sz w:val="20"/>
        </w:rPr>
        <w:t xml:space="preserve">Dla wskaźników </w:t>
      </w:r>
      <w:proofErr w:type="spellStart"/>
      <w:r>
        <w:rPr>
          <w:i/>
          <w:sz w:val="20"/>
        </w:rPr>
        <w:t>Common</w:t>
      </w:r>
      <w:proofErr w:type="spellEnd"/>
      <w:r>
        <w:rPr>
          <w:i/>
          <w:sz w:val="20"/>
        </w:rPr>
        <w:t xml:space="preserve"> </w:t>
      </w:r>
      <w:proofErr w:type="spellStart"/>
      <w:r>
        <w:rPr>
          <w:i/>
          <w:sz w:val="20"/>
        </w:rPr>
        <w:t>Indicators</w:t>
      </w:r>
      <w:proofErr w:type="spellEnd"/>
      <w:r>
        <w:rPr>
          <w:rStyle w:val="Odwoanieprzypisudolnego"/>
          <w:sz w:val="20"/>
        </w:rPr>
        <w:footnoteReference w:id="2"/>
      </w:r>
      <w:r>
        <w:rPr>
          <w:i/>
          <w:sz w:val="20"/>
        </w:rPr>
        <w:t xml:space="preserve"> </w:t>
      </w:r>
      <w:r>
        <w:rPr>
          <w:sz w:val="20"/>
        </w:rPr>
        <w:t xml:space="preserve">przedstawione definicje są roboczym tłumaczeniem IZ RPO WO 2014-2020. Oryginalne definicje (w języku angielskim) znajdują się </w:t>
      </w:r>
      <w:r w:rsidR="009F0E49">
        <w:rPr>
          <w:sz w:val="20"/>
        </w:rPr>
        <w:br/>
      </w:r>
      <w:r>
        <w:rPr>
          <w:sz w:val="20"/>
        </w:rPr>
        <w:t xml:space="preserve">w dokumencie </w:t>
      </w:r>
      <w:r>
        <w:rPr>
          <w:i/>
          <w:sz w:val="20"/>
        </w:rPr>
        <w:t xml:space="preserve">The </w:t>
      </w:r>
      <w:proofErr w:type="spellStart"/>
      <w:r>
        <w:rPr>
          <w:i/>
          <w:sz w:val="20"/>
        </w:rPr>
        <w:t>programming</w:t>
      </w:r>
      <w:proofErr w:type="spellEnd"/>
      <w:r>
        <w:rPr>
          <w:i/>
          <w:sz w:val="20"/>
        </w:rPr>
        <w:t xml:space="preserve"> period 2014-2020. </w:t>
      </w:r>
      <w:r>
        <w:rPr>
          <w:i/>
          <w:sz w:val="20"/>
          <w:lang w:val="en-US"/>
        </w:rPr>
        <w:t xml:space="preserve">Guidance document on monitoring and evaluation. European Cohesion Fund. European Regional Development Fund. </w:t>
      </w:r>
      <w:proofErr w:type="spellStart"/>
      <w:r>
        <w:rPr>
          <w:i/>
          <w:sz w:val="20"/>
        </w:rPr>
        <w:t>Concepts</w:t>
      </w:r>
      <w:proofErr w:type="spellEnd"/>
      <w:r>
        <w:rPr>
          <w:i/>
          <w:sz w:val="20"/>
        </w:rPr>
        <w:t xml:space="preserve"> and </w:t>
      </w:r>
      <w:proofErr w:type="spellStart"/>
      <w:r>
        <w:rPr>
          <w:i/>
          <w:sz w:val="20"/>
        </w:rPr>
        <w:t>Recommendations</w:t>
      </w:r>
      <w:proofErr w:type="spellEnd"/>
      <w:r>
        <w:rPr>
          <w:i/>
          <w:sz w:val="20"/>
        </w:rPr>
        <w:t>. March 2014</w:t>
      </w:r>
      <w:r>
        <w:rPr>
          <w:sz w:val="20"/>
        </w:rPr>
        <w:t>,</w:t>
      </w:r>
      <w:r>
        <w:rPr>
          <w:i/>
          <w:sz w:val="20"/>
        </w:rPr>
        <w:t xml:space="preserve"> </w:t>
      </w:r>
      <w:r>
        <w:rPr>
          <w:sz w:val="20"/>
        </w:rPr>
        <w:t>dostępnym na stronie inte</w:t>
      </w:r>
      <w:r w:rsidR="009F0E49">
        <w:rPr>
          <w:sz w:val="20"/>
        </w:rPr>
        <w:t xml:space="preserve">rnetowej Komisji Europejskiej: </w:t>
      </w:r>
      <w:hyperlink r:id="rId11" w:anchor="1" w:history="1">
        <w:r>
          <w:rPr>
            <w:rStyle w:val="Hipercze"/>
            <w:i/>
            <w:sz w:val="20"/>
          </w:rPr>
          <w:t>http://ec.europa.eu/regional_policy/pl/policy/evaluations/guidance/#1</w:t>
        </w:r>
      </w:hyperlink>
    </w:p>
    <w:p w:rsidR="00355D2E" w:rsidRDefault="00355D2E" w:rsidP="00355D2E">
      <w:pPr>
        <w:spacing w:after="0" w:line="240" w:lineRule="auto"/>
        <w:jc w:val="both"/>
        <w:rPr>
          <w:i/>
          <w:sz w:val="20"/>
        </w:rPr>
      </w:pPr>
    </w:p>
    <w:p w:rsidR="001D3621" w:rsidRDefault="001D3621"/>
    <w:sectPr w:rsidR="001D3621" w:rsidSect="00C42A3A">
      <w:headerReference w:type="default" r:id="rId12"/>
      <w:footerReference w:type="default" r:id="rId13"/>
      <w:headerReference w:type="first" r:id="rId14"/>
      <w:pgSz w:w="16838" w:h="11906" w:orient="landscape"/>
      <w:pgMar w:top="1418" w:right="1387" w:bottom="993"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EC" w:rsidRDefault="00C417EC" w:rsidP="00A11280">
      <w:pPr>
        <w:spacing w:after="0" w:line="240" w:lineRule="auto"/>
      </w:pPr>
      <w:r>
        <w:separator/>
      </w:r>
    </w:p>
  </w:endnote>
  <w:endnote w:type="continuationSeparator" w:id="0">
    <w:p w:rsidR="00C417EC" w:rsidRDefault="00C417E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80119589"/>
      <w:docPartObj>
        <w:docPartGallery w:val="Page Numbers (Bottom of Page)"/>
        <w:docPartUnique/>
      </w:docPartObj>
    </w:sdtPr>
    <w:sdtEndPr/>
    <w:sdtContent>
      <w:p w:rsidR="00C417EC" w:rsidRPr="00D47A5A" w:rsidRDefault="00C417EC">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D34446">
          <w:rPr>
            <w:noProof/>
            <w:sz w:val="20"/>
          </w:rPr>
          <w:t>18</w:t>
        </w:r>
        <w:r w:rsidRPr="00D47A5A">
          <w:rPr>
            <w:sz w:val="20"/>
          </w:rPr>
          <w:fldChar w:fldCharType="end"/>
        </w:r>
      </w:p>
    </w:sdtContent>
  </w:sdt>
  <w:p w:rsidR="00C417EC" w:rsidRDefault="00C41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EC" w:rsidRDefault="00C417EC" w:rsidP="00A11280">
      <w:pPr>
        <w:spacing w:after="0" w:line="240" w:lineRule="auto"/>
      </w:pPr>
      <w:r>
        <w:separator/>
      </w:r>
    </w:p>
  </w:footnote>
  <w:footnote w:type="continuationSeparator" w:id="0">
    <w:p w:rsidR="00C417EC" w:rsidRDefault="00C417EC" w:rsidP="00A11280">
      <w:pPr>
        <w:spacing w:after="0" w:line="240" w:lineRule="auto"/>
      </w:pPr>
      <w:r>
        <w:continuationSeparator/>
      </w:r>
    </w:p>
  </w:footnote>
  <w:footnote w:id="1">
    <w:p w:rsidR="00DB3425" w:rsidRPr="00137AD2" w:rsidRDefault="00DB3425">
      <w:pPr>
        <w:pStyle w:val="Tekstprzypisudolnego"/>
      </w:pPr>
      <w:r>
        <w:rPr>
          <w:rStyle w:val="Odwoanieprzypisudolnego"/>
        </w:rPr>
        <w:footnoteRef/>
      </w:r>
      <w:r>
        <w:t xml:space="preserve"> Wskaźniki 4, 4a i 4b nie dotyczą działania 1.2 </w:t>
      </w:r>
      <w:r>
        <w:rPr>
          <w:i/>
        </w:rPr>
        <w:t xml:space="preserve">Infrastruktura B + R </w:t>
      </w:r>
      <w:r>
        <w:t xml:space="preserve">oraz działania 6.1 </w:t>
      </w:r>
      <w:r>
        <w:rPr>
          <w:i/>
        </w:rPr>
        <w:t xml:space="preserve">Infrastruktura drogowa </w:t>
      </w:r>
      <w:r>
        <w:t>RPO WO 2014-2020</w:t>
      </w:r>
    </w:p>
  </w:footnote>
  <w:footnote w:id="2">
    <w:p w:rsidR="00C417EC" w:rsidRDefault="00C417EC" w:rsidP="00355D2E">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3A" w:rsidRDefault="00C42A3A" w:rsidP="00C42A3A">
    <w:pPr>
      <w:spacing w:after="0" w:line="240" w:lineRule="auto"/>
      <w:ind w:right="-284"/>
      <w:jc w:val="right"/>
      <w:rPr>
        <w:rFonts w:cs="Calibri"/>
        <w:i/>
        <w:sz w:val="20"/>
        <w:szCs w:val="20"/>
      </w:rPr>
    </w:pPr>
    <w:r>
      <w:rPr>
        <w:rFonts w:eastAsia="Calibri"/>
        <w:b/>
        <w:i/>
        <w:noProof/>
        <w:sz w:val="20"/>
      </w:rPr>
      <w:t>Załącznik nr 8</w:t>
    </w:r>
    <w:r w:rsidRPr="001620FA">
      <w:rPr>
        <w:rFonts w:eastAsia="Calibri"/>
        <w:b/>
        <w:i/>
        <w:noProof/>
        <w:sz w:val="20"/>
      </w:rPr>
      <w:t xml:space="preserve">  </w:t>
    </w:r>
    <w:r>
      <w:rPr>
        <w:i/>
        <w:sz w:val="20"/>
      </w:rPr>
      <w:t>do Regulaminu konkursu</w:t>
    </w:r>
  </w:p>
  <w:p w:rsidR="00C42A3A" w:rsidRPr="00846884" w:rsidRDefault="00C42A3A" w:rsidP="00C42A3A">
    <w:pPr>
      <w:spacing w:after="0" w:line="240" w:lineRule="auto"/>
      <w:ind w:right="-283"/>
      <w:jc w:val="right"/>
      <w:rPr>
        <w:i/>
        <w:sz w:val="20"/>
      </w:rPr>
    </w:pPr>
    <w:r w:rsidRPr="00846884">
      <w:rPr>
        <w:i/>
        <w:sz w:val="20"/>
      </w:rPr>
      <w:t xml:space="preserve">Działanie 5.1 Ochrona różnorodności biologicznej  RPO WO 2014-2020 </w:t>
    </w:r>
  </w:p>
  <w:p w:rsidR="00C42A3A" w:rsidRPr="00460CE7" w:rsidRDefault="00C42A3A" w:rsidP="00C42A3A">
    <w:pPr>
      <w:spacing w:after="0" w:line="240" w:lineRule="auto"/>
      <w:ind w:right="-283"/>
      <w:jc w:val="right"/>
    </w:pPr>
    <w:r w:rsidRPr="00846884">
      <w:rPr>
        <w:i/>
        <w:sz w:val="20"/>
      </w:rPr>
      <w:t xml:space="preserve">Wersja nr 1, </w:t>
    </w:r>
    <w:r w:rsidRPr="00C42A3A">
      <w:rPr>
        <w:i/>
        <w:sz w:val="20"/>
      </w:rPr>
      <w:t>wrzesień</w:t>
    </w:r>
    <w:r w:rsidRPr="00846884">
      <w:rPr>
        <w:i/>
        <w:sz w:val="20"/>
      </w:rPr>
      <w:t xml:space="preserve"> 2018 r.</w:t>
    </w:r>
  </w:p>
  <w:p w:rsidR="00C417EC" w:rsidRPr="00C42A3A" w:rsidRDefault="00C417EC" w:rsidP="00C42A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3A" w:rsidRDefault="00C42A3A" w:rsidP="00C42A3A">
    <w:pPr>
      <w:spacing w:after="0" w:line="240" w:lineRule="auto"/>
      <w:ind w:right="-284"/>
      <w:jc w:val="right"/>
      <w:rPr>
        <w:rFonts w:cs="Calibri"/>
        <w:i/>
        <w:sz w:val="20"/>
        <w:szCs w:val="20"/>
      </w:rPr>
    </w:pPr>
    <w:r>
      <w:rPr>
        <w:rFonts w:eastAsia="Calibri"/>
        <w:b/>
        <w:i/>
        <w:noProof/>
        <w:sz w:val="20"/>
      </w:rPr>
      <w:t xml:space="preserve">Załącznik nr </w:t>
    </w:r>
    <w:r>
      <w:rPr>
        <w:rFonts w:eastAsia="Calibri"/>
        <w:b/>
        <w:i/>
        <w:noProof/>
        <w:sz w:val="20"/>
      </w:rPr>
      <w:t>8</w:t>
    </w:r>
    <w:r w:rsidRPr="001620FA">
      <w:rPr>
        <w:rFonts w:eastAsia="Calibri"/>
        <w:b/>
        <w:i/>
        <w:noProof/>
        <w:sz w:val="20"/>
      </w:rPr>
      <w:t xml:space="preserve">  </w:t>
    </w:r>
    <w:r>
      <w:rPr>
        <w:i/>
        <w:sz w:val="20"/>
      </w:rPr>
      <w:t>do Regulaminu konkursu</w:t>
    </w:r>
  </w:p>
  <w:p w:rsidR="00C42A3A" w:rsidRPr="00846884" w:rsidRDefault="00C42A3A" w:rsidP="00C42A3A">
    <w:pPr>
      <w:spacing w:after="0" w:line="240" w:lineRule="auto"/>
      <w:ind w:right="-283"/>
      <w:jc w:val="right"/>
      <w:rPr>
        <w:i/>
        <w:sz w:val="20"/>
      </w:rPr>
    </w:pPr>
    <w:r w:rsidRPr="00846884">
      <w:rPr>
        <w:i/>
        <w:sz w:val="20"/>
      </w:rPr>
      <w:t xml:space="preserve">Działanie 5.1 Ochrona różnorodności biologicznej  RPO WO 2014-2020 </w:t>
    </w:r>
  </w:p>
  <w:p w:rsidR="00C42A3A" w:rsidRPr="00460CE7" w:rsidRDefault="00C42A3A" w:rsidP="00C42A3A">
    <w:pPr>
      <w:spacing w:after="0" w:line="240" w:lineRule="auto"/>
      <w:ind w:right="-283"/>
      <w:jc w:val="right"/>
    </w:pPr>
    <w:r w:rsidRPr="00846884">
      <w:rPr>
        <w:i/>
        <w:sz w:val="20"/>
      </w:rPr>
      <w:t xml:space="preserve">Wersja nr 1, </w:t>
    </w:r>
    <w:r w:rsidRPr="00C42A3A">
      <w:rPr>
        <w:i/>
        <w:sz w:val="20"/>
      </w:rPr>
      <w:t>wrzesień</w:t>
    </w:r>
    <w:r w:rsidRPr="00846884">
      <w:rPr>
        <w:i/>
        <w:sz w:val="20"/>
      </w:rPr>
      <w:t xml:space="preserve"> 2018 r.</w:t>
    </w:r>
  </w:p>
  <w:p w:rsidR="00E967DE" w:rsidRPr="00E967DE" w:rsidRDefault="00E967DE" w:rsidP="00E967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21"/>
  </w:num>
  <w:num w:numId="5">
    <w:abstractNumId w:val="20"/>
  </w:num>
  <w:num w:numId="6">
    <w:abstractNumId w:val="18"/>
  </w:num>
  <w:num w:numId="7">
    <w:abstractNumId w:val="16"/>
  </w:num>
  <w:num w:numId="8">
    <w:abstractNumId w:val="9"/>
  </w:num>
  <w:num w:numId="9">
    <w:abstractNumId w:val="11"/>
  </w:num>
  <w:num w:numId="10">
    <w:abstractNumId w:val="7"/>
  </w:num>
  <w:num w:numId="11">
    <w:abstractNumId w:val="14"/>
  </w:num>
  <w:num w:numId="12">
    <w:abstractNumId w:val="15"/>
  </w:num>
  <w:num w:numId="13">
    <w:abstractNumId w:val="3"/>
  </w:num>
  <w:num w:numId="14">
    <w:abstractNumId w:val="4"/>
  </w:num>
  <w:num w:numId="15">
    <w:abstractNumId w:val="0"/>
  </w:num>
  <w:num w:numId="16">
    <w:abstractNumId w:val="13"/>
  </w:num>
  <w:num w:numId="17">
    <w:abstractNumId w:val="5"/>
  </w:num>
  <w:num w:numId="18">
    <w:abstractNumId w:val="10"/>
  </w:num>
  <w:num w:numId="19">
    <w:abstractNumId w:val="2"/>
  </w:num>
  <w:num w:numId="20">
    <w:abstractNumId w:val="8"/>
  </w:num>
  <w:num w:numId="21">
    <w:abstractNumId w:val="1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B8E"/>
    <w:rsid w:val="00015583"/>
    <w:rsid w:val="00015DEA"/>
    <w:rsid w:val="000168FD"/>
    <w:rsid w:val="00031554"/>
    <w:rsid w:val="000319A0"/>
    <w:rsid w:val="0003254D"/>
    <w:rsid w:val="00033A13"/>
    <w:rsid w:val="00033DB6"/>
    <w:rsid w:val="00035EA1"/>
    <w:rsid w:val="00041C35"/>
    <w:rsid w:val="000513EE"/>
    <w:rsid w:val="0005308B"/>
    <w:rsid w:val="00055EE7"/>
    <w:rsid w:val="00056BBD"/>
    <w:rsid w:val="00057CCC"/>
    <w:rsid w:val="00062C8B"/>
    <w:rsid w:val="00063C1C"/>
    <w:rsid w:val="00063E65"/>
    <w:rsid w:val="000653E0"/>
    <w:rsid w:val="00083072"/>
    <w:rsid w:val="00083B3C"/>
    <w:rsid w:val="00086315"/>
    <w:rsid w:val="000908A9"/>
    <w:rsid w:val="00092958"/>
    <w:rsid w:val="000A0476"/>
    <w:rsid w:val="000A34FA"/>
    <w:rsid w:val="000A4AD5"/>
    <w:rsid w:val="000B2A7F"/>
    <w:rsid w:val="000B6D33"/>
    <w:rsid w:val="000C10F8"/>
    <w:rsid w:val="000C3CA1"/>
    <w:rsid w:val="000C624D"/>
    <w:rsid w:val="000C7A97"/>
    <w:rsid w:val="000C7B3F"/>
    <w:rsid w:val="000D0CAC"/>
    <w:rsid w:val="000D1802"/>
    <w:rsid w:val="000D4701"/>
    <w:rsid w:val="000D53AC"/>
    <w:rsid w:val="000E1053"/>
    <w:rsid w:val="000E521A"/>
    <w:rsid w:val="000E5944"/>
    <w:rsid w:val="000E67E8"/>
    <w:rsid w:val="000F7226"/>
    <w:rsid w:val="00104C40"/>
    <w:rsid w:val="00112769"/>
    <w:rsid w:val="001137A4"/>
    <w:rsid w:val="00113F1F"/>
    <w:rsid w:val="001140C9"/>
    <w:rsid w:val="00114285"/>
    <w:rsid w:val="00114A0B"/>
    <w:rsid w:val="00116F45"/>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7178D"/>
    <w:rsid w:val="00173EA5"/>
    <w:rsid w:val="0018259B"/>
    <w:rsid w:val="00183326"/>
    <w:rsid w:val="00195DF3"/>
    <w:rsid w:val="00195E0A"/>
    <w:rsid w:val="001A2230"/>
    <w:rsid w:val="001A32D2"/>
    <w:rsid w:val="001A7097"/>
    <w:rsid w:val="001C0B0B"/>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FB"/>
    <w:rsid w:val="00216A64"/>
    <w:rsid w:val="002174D7"/>
    <w:rsid w:val="00223C52"/>
    <w:rsid w:val="00223F9A"/>
    <w:rsid w:val="0022603F"/>
    <w:rsid w:val="00227418"/>
    <w:rsid w:val="00231CD3"/>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4BA"/>
    <w:rsid w:val="00281EF9"/>
    <w:rsid w:val="002846A4"/>
    <w:rsid w:val="00286A51"/>
    <w:rsid w:val="00286FEE"/>
    <w:rsid w:val="0029232B"/>
    <w:rsid w:val="00292A71"/>
    <w:rsid w:val="00293876"/>
    <w:rsid w:val="002A05B4"/>
    <w:rsid w:val="002A2D17"/>
    <w:rsid w:val="002A3708"/>
    <w:rsid w:val="002A4294"/>
    <w:rsid w:val="002A5161"/>
    <w:rsid w:val="002B6EAB"/>
    <w:rsid w:val="002C166D"/>
    <w:rsid w:val="002D1FFD"/>
    <w:rsid w:val="002E195D"/>
    <w:rsid w:val="002E3E74"/>
    <w:rsid w:val="002E41A2"/>
    <w:rsid w:val="002E46F4"/>
    <w:rsid w:val="002F24F9"/>
    <w:rsid w:val="002F3149"/>
    <w:rsid w:val="002F33BC"/>
    <w:rsid w:val="003073B4"/>
    <w:rsid w:val="00307EDB"/>
    <w:rsid w:val="003139D0"/>
    <w:rsid w:val="00320459"/>
    <w:rsid w:val="003317C9"/>
    <w:rsid w:val="0033221C"/>
    <w:rsid w:val="00335B0D"/>
    <w:rsid w:val="003414F1"/>
    <w:rsid w:val="00342EC8"/>
    <w:rsid w:val="00350F73"/>
    <w:rsid w:val="0035163A"/>
    <w:rsid w:val="00355D2E"/>
    <w:rsid w:val="0036037A"/>
    <w:rsid w:val="00365665"/>
    <w:rsid w:val="00367BF2"/>
    <w:rsid w:val="00370E0C"/>
    <w:rsid w:val="00386AE6"/>
    <w:rsid w:val="00392470"/>
    <w:rsid w:val="00392E28"/>
    <w:rsid w:val="00394920"/>
    <w:rsid w:val="00396A00"/>
    <w:rsid w:val="003A0EBC"/>
    <w:rsid w:val="003A1F2D"/>
    <w:rsid w:val="003B3940"/>
    <w:rsid w:val="003B4F9A"/>
    <w:rsid w:val="003C02D6"/>
    <w:rsid w:val="003C0676"/>
    <w:rsid w:val="003C6DBA"/>
    <w:rsid w:val="003D2FB7"/>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566"/>
    <w:rsid w:val="004515CA"/>
    <w:rsid w:val="004578AB"/>
    <w:rsid w:val="00460BDF"/>
    <w:rsid w:val="004620F2"/>
    <w:rsid w:val="004659A1"/>
    <w:rsid w:val="00465E01"/>
    <w:rsid w:val="00471C14"/>
    <w:rsid w:val="00472925"/>
    <w:rsid w:val="004778B0"/>
    <w:rsid w:val="00477BEF"/>
    <w:rsid w:val="004804E3"/>
    <w:rsid w:val="0048092C"/>
    <w:rsid w:val="00482E2D"/>
    <w:rsid w:val="00485CA1"/>
    <w:rsid w:val="0048606E"/>
    <w:rsid w:val="00497185"/>
    <w:rsid w:val="004A0D76"/>
    <w:rsid w:val="004A2391"/>
    <w:rsid w:val="004A5BB9"/>
    <w:rsid w:val="004A6707"/>
    <w:rsid w:val="004B158F"/>
    <w:rsid w:val="004B3AB1"/>
    <w:rsid w:val="004B6AE1"/>
    <w:rsid w:val="004B7BA6"/>
    <w:rsid w:val="004C3662"/>
    <w:rsid w:val="004D48D9"/>
    <w:rsid w:val="004E1993"/>
    <w:rsid w:val="004E311C"/>
    <w:rsid w:val="004E5215"/>
    <w:rsid w:val="004E5F90"/>
    <w:rsid w:val="004F4063"/>
    <w:rsid w:val="004F6E63"/>
    <w:rsid w:val="004F6F1C"/>
    <w:rsid w:val="004F7079"/>
    <w:rsid w:val="00502D55"/>
    <w:rsid w:val="005111F8"/>
    <w:rsid w:val="00512467"/>
    <w:rsid w:val="00514EDC"/>
    <w:rsid w:val="00517B7D"/>
    <w:rsid w:val="00520916"/>
    <w:rsid w:val="005213CE"/>
    <w:rsid w:val="00530513"/>
    <w:rsid w:val="00540C82"/>
    <w:rsid w:val="00541616"/>
    <w:rsid w:val="005425C2"/>
    <w:rsid w:val="005436B1"/>
    <w:rsid w:val="0054723E"/>
    <w:rsid w:val="00552E0D"/>
    <w:rsid w:val="00562F75"/>
    <w:rsid w:val="00566264"/>
    <w:rsid w:val="00566E22"/>
    <w:rsid w:val="0057438E"/>
    <w:rsid w:val="00575609"/>
    <w:rsid w:val="00576345"/>
    <w:rsid w:val="00582F36"/>
    <w:rsid w:val="00584FD2"/>
    <w:rsid w:val="005870AE"/>
    <w:rsid w:val="00587391"/>
    <w:rsid w:val="005900E5"/>
    <w:rsid w:val="00594165"/>
    <w:rsid w:val="00596D0D"/>
    <w:rsid w:val="005A482D"/>
    <w:rsid w:val="005A6868"/>
    <w:rsid w:val="005B053A"/>
    <w:rsid w:val="005B10D2"/>
    <w:rsid w:val="005B1FDC"/>
    <w:rsid w:val="005B23E6"/>
    <w:rsid w:val="005C2170"/>
    <w:rsid w:val="005C418D"/>
    <w:rsid w:val="005D05E1"/>
    <w:rsid w:val="005E2761"/>
    <w:rsid w:val="005E27C3"/>
    <w:rsid w:val="005E30B8"/>
    <w:rsid w:val="005E3578"/>
    <w:rsid w:val="005E7406"/>
    <w:rsid w:val="005F112B"/>
    <w:rsid w:val="005F1948"/>
    <w:rsid w:val="005F64F6"/>
    <w:rsid w:val="005F6616"/>
    <w:rsid w:val="00601A79"/>
    <w:rsid w:val="00601E76"/>
    <w:rsid w:val="00612750"/>
    <w:rsid w:val="00617E85"/>
    <w:rsid w:val="00625468"/>
    <w:rsid w:val="00627DDB"/>
    <w:rsid w:val="0063106F"/>
    <w:rsid w:val="0063254B"/>
    <w:rsid w:val="00635E43"/>
    <w:rsid w:val="00640991"/>
    <w:rsid w:val="0064192E"/>
    <w:rsid w:val="00641F8D"/>
    <w:rsid w:val="0065404E"/>
    <w:rsid w:val="00657EC9"/>
    <w:rsid w:val="006621DF"/>
    <w:rsid w:val="00662786"/>
    <w:rsid w:val="00662B00"/>
    <w:rsid w:val="006733B1"/>
    <w:rsid w:val="0067563E"/>
    <w:rsid w:val="00677E9F"/>
    <w:rsid w:val="00682236"/>
    <w:rsid w:val="0068373D"/>
    <w:rsid w:val="00685D96"/>
    <w:rsid w:val="00687E5A"/>
    <w:rsid w:val="00691091"/>
    <w:rsid w:val="00691C14"/>
    <w:rsid w:val="006A1730"/>
    <w:rsid w:val="006A3A60"/>
    <w:rsid w:val="006A44E5"/>
    <w:rsid w:val="006A7698"/>
    <w:rsid w:val="006A7E5A"/>
    <w:rsid w:val="006B0AD6"/>
    <w:rsid w:val="006B13AA"/>
    <w:rsid w:val="006B6D0A"/>
    <w:rsid w:val="006B6E11"/>
    <w:rsid w:val="006B6E44"/>
    <w:rsid w:val="006C1039"/>
    <w:rsid w:val="006C178D"/>
    <w:rsid w:val="006C452F"/>
    <w:rsid w:val="006D162A"/>
    <w:rsid w:val="006D307B"/>
    <w:rsid w:val="006D6C70"/>
    <w:rsid w:val="006F57DD"/>
    <w:rsid w:val="00700637"/>
    <w:rsid w:val="00702EF1"/>
    <w:rsid w:val="007055BC"/>
    <w:rsid w:val="00706A63"/>
    <w:rsid w:val="007109A7"/>
    <w:rsid w:val="00711603"/>
    <w:rsid w:val="007132A9"/>
    <w:rsid w:val="00713693"/>
    <w:rsid w:val="0072197A"/>
    <w:rsid w:val="00722E29"/>
    <w:rsid w:val="00723497"/>
    <w:rsid w:val="00725343"/>
    <w:rsid w:val="007315C9"/>
    <w:rsid w:val="00733355"/>
    <w:rsid w:val="00735B8E"/>
    <w:rsid w:val="0074087F"/>
    <w:rsid w:val="007411F6"/>
    <w:rsid w:val="00742DC9"/>
    <w:rsid w:val="00743327"/>
    <w:rsid w:val="007435C8"/>
    <w:rsid w:val="0075259A"/>
    <w:rsid w:val="00753583"/>
    <w:rsid w:val="00761C40"/>
    <w:rsid w:val="0076425E"/>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C2F25"/>
    <w:rsid w:val="007D2C0A"/>
    <w:rsid w:val="007D4131"/>
    <w:rsid w:val="007D4C96"/>
    <w:rsid w:val="007D57BB"/>
    <w:rsid w:val="007D6614"/>
    <w:rsid w:val="007E0180"/>
    <w:rsid w:val="007E22E7"/>
    <w:rsid w:val="007E258D"/>
    <w:rsid w:val="007E36C2"/>
    <w:rsid w:val="007E57EC"/>
    <w:rsid w:val="007F44C2"/>
    <w:rsid w:val="007F7D1D"/>
    <w:rsid w:val="00800FA4"/>
    <w:rsid w:val="0080194C"/>
    <w:rsid w:val="00803732"/>
    <w:rsid w:val="008054D4"/>
    <w:rsid w:val="008245BD"/>
    <w:rsid w:val="00831BFC"/>
    <w:rsid w:val="00842F3A"/>
    <w:rsid w:val="008455F7"/>
    <w:rsid w:val="00846033"/>
    <w:rsid w:val="008465CF"/>
    <w:rsid w:val="008478D9"/>
    <w:rsid w:val="00856DFC"/>
    <w:rsid w:val="00857429"/>
    <w:rsid w:val="0086008B"/>
    <w:rsid w:val="008601B4"/>
    <w:rsid w:val="00860C57"/>
    <w:rsid w:val="00876AB5"/>
    <w:rsid w:val="00881365"/>
    <w:rsid w:val="00881689"/>
    <w:rsid w:val="00883C42"/>
    <w:rsid w:val="00886741"/>
    <w:rsid w:val="00892C10"/>
    <w:rsid w:val="00892C4D"/>
    <w:rsid w:val="008950B0"/>
    <w:rsid w:val="008971CC"/>
    <w:rsid w:val="008A025F"/>
    <w:rsid w:val="008A243D"/>
    <w:rsid w:val="008A2D2C"/>
    <w:rsid w:val="008B24BB"/>
    <w:rsid w:val="008B46A5"/>
    <w:rsid w:val="008B5374"/>
    <w:rsid w:val="008B712F"/>
    <w:rsid w:val="008B7F87"/>
    <w:rsid w:val="008C3081"/>
    <w:rsid w:val="008D3539"/>
    <w:rsid w:val="008D6830"/>
    <w:rsid w:val="008D7B42"/>
    <w:rsid w:val="008E2352"/>
    <w:rsid w:val="008F5666"/>
    <w:rsid w:val="0091369F"/>
    <w:rsid w:val="00914AB9"/>
    <w:rsid w:val="009225BC"/>
    <w:rsid w:val="00926866"/>
    <w:rsid w:val="009344F5"/>
    <w:rsid w:val="00935463"/>
    <w:rsid w:val="00936AE6"/>
    <w:rsid w:val="00943756"/>
    <w:rsid w:val="009513F8"/>
    <w:rsid w:val="009536C3"/>
    <w:rsid w:val="00955A24"/>
    <w:rsid w:val="009566FF"/>
    <w:rsid w:val="00956722"/>
    <w:rsid w:val="00956B26"/>
    <w:rsid w:val="0097558C"/>
    <w:rsid w:val="009757CF"/>
    <w:rsid w:val="00977EB6"/>
    <w:rsid w:val="00980388"/>
    <w:rsid w:val="009820C9"/>
    <w:rsid w:val="00983E81"/>
    <w:rsid w:val="00985C49"/>
    <w:rsid w:val="00987B6C"/>
    <w:rsid w:val="009902EE"/>
    <w:rsid w:val="00992F7F"/>
    <w:rsid w:val="00994397"/>
    <w:rsid w:val="00994ABE"/>
    <w:rsid w:val="009A000A"/>
    <w:rsid w:val="009A10EC"/>
    <w:rsid w:val="009A4E00"/>
    <w:rsid w:val="009A4E3E"/>
    <w:rsid w:val="009B1058"/>
    <w:rsid w:val="009B42E2"/>
    <w:rsid w:val="009B43AE"/>
    <w:rsid w:val="009C02A6"/>
    <w:rsid w:val="009C0422"/>
    <w:rsid w:val="009C1D1E"/>
    <w:rsid w:val="009C6017"/>
    <w:rsid w:val="009C7267"/>
    <w:rsid w:val="009D2DA4"/>
    <w:rsid w:val="009D4AA7"/>
    <w:rsid w:val="009D5E42"/>
    <w:rsid w:val="009E0343"/>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26C55"/>
    <w:rsid w:val="00A305EB"/>
    <w:rsid w:val="00A30643"/>
    <w:rsid w:val="00A30932"/>
    <w:rsid w:val="00A326AC"/>
    <w:rsid w:val="00A335D1"/>
    <w:rsid w:val="00A36F99"/>
    <w:rsid w:val="00A37C82"/>
    <w:rsid w:val="00A41F51"/>
    <w:rsid w:val="00A425B6"/>
    <w:rsid w:val="00A42BB9"/>
    <w:rsid w:val="00A44759"/>
    <w:rsid w:val="00A46E50"/>
    <w:rsid w:val="00A5539C"/>
    <w:rsid w:val="00A55607"/>
    <w:rsid w:val="00A566FE"/>
    <w:rsid w:val="00A610C3"/>
    <w:rsid w:val="00A64DF5"/>
    <w:rsid w:val="00A67B81"/>
    <w:rsid w:val="00A717A6"/>
    <w:rsid w:val="00A71CF0"/>
    <w:rsid w:val="00A729B2"/>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561C"/>
    <w:rsid w:val="00AD7BF3"/>
    <w:rsid w:val="00AE20BA"/>
    <w:rsid w:val="00AE29BF"/>
    <w:rsid w:val="00AE492F"/>
    <w:rsid w:val="00AE6A13"/>
    <w:rsid w:val="00AF6E20"/>
    <w:rsid w:val="00AF7918"/>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816C0"/>
    <w:rsid w:val="00B86856"/>
    <w:rsid w:val="00B901DE"/>
    <w:rsid w:val="00B9288D"/>
    <w:rsid w:val="00B95CC5"/>
    <w:rsid w:val="00BA3F96"/>
    <w:rsid w:val="00BB359B"/>
    <w:rsid w:val="00BB3B5A"/>
    <w:rsid w:val="00BC14B8"/>
    <w:rsid w:val="00BC266E"/>
    <w:rsid w:val="00BC52C6"/>
    <w:rsid w:val="00BC6511"/>
    <w:rsid w:val="00BC7EE3"/>
    <w:rsid w:val="00BD1809"/>
    <w:rsid w:val="00BD3741"/>
    <w:rsid w:val="00BD623F"/>
    <w:rsid w:val="00BE1108"/>
    <w:rsid w:val="00BE34E0"/>
    <w:rsid w:val="00BE78D2"/>
    <w:rsid w:val="00BF3654"/>
    <w:rsid w:val="00BF5BE4"/>
    <w:rsid w:val="00C013F9"/>
    <w:rsid w:val="00C04951"/>
    <w:rsid w:val="00C13E93"/>
    <w:rsid w:val="00C169AD"/>
    <w:rsid w:val="00C23DD6"/>
    <w:rsid w:val="00C3041C"/>
    <w:rsid w:val="00C41080"/>
    <w:rsid w:val="00C417EC"/>
    <w:rsid w:val="00C42A3A"/>
    <w:rsid w:val="00C43015"/>
    <w:rsid w:val="00C44151"/>
    <w:rsid w:val="00C46439"/>
    <w:rsid w:val="00C501E4"/>
    <w:rsid w:val="00C50F59"/>
    <w:rsid w:val="00C51F3F"/>
    <w:rsid w:val="00C53D87"/>
    <w:rsid w:val="00C63E43"/>
    <w:rsid w:val="00C64505"/>
    <w:rsid w:val="00C65C99"/>
    <w:rsid w:val="00C666B5"/>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24BD"/>
    <w:rsid w:val="00CE4515"/>
    <w:rsid w:val="00CE7C90"/>
    <w:rsid w:val="00CE7C94"/>
    <w:rsid w:val="00CF1305"/>
    <w:rsid w:val="00CF3A1F"/>
    <w:rsid w:val="00CF63B0"/>
    <w:rsid w:val="00D01C11"/>
    <w:rsid w:val="00D06A27"/>
    <w:rsid w:val="00D10227"/>
    <w:rsid w:val="00D15791"/>
    <w:rsid w:val="00D21207"/>
    <w:rsid w:val="00D26BE8"/>
    <w:rsid w:val="00D27432"/>
    <w:rsid w:val="00D307DB"/>
    <w:rsid w:val="00D30972"/>
    <w:rsid w:val="00D34446"/>
    <w:rsid w:val="00D4097D"/>
    <w:rsid w:val="00D456E9"/>
    <w:rsid w:val="00D46577"/>
    <w:rsid w:val="00D46775"/>
    <w:rsid w:val="00D47691"/>
    <w:rsid w:val="00D47A5A"/>
    <w:rsid w:val="00D57462"/>
    <w:rsid w:val="00D57F43"/>
    <w:rsid w:val="00D60A01"/>
    <w:rsid w:val="00D62B0D"/>
    <w:rsid w:val="00D70A31"/>
    <w:rsid w:val="00D71325"/>
    <w:rsid w:val="00D74914"/>
    <w:rsid w:val="00D80AAE"/>
    <w:rsid w:val="00D80C14"/>
    <w:rsid w:val="00D83E2E"/>
    <w:rsid w:val="00D84269"/>
    <w:rsid w:val="00D84B6C"/>
    <w:rsid w:val="00D91C0E"/>
    <w:rsid w:val="00D96AEF"/>
    <w:rsid w:val="00D96CA8"/>
    <w:rsid w:val="00DA1CBC"/>
    <w:rsid w:val="00DA64DA"/>
    <w:rsid w:val="00DB3425"/>
    <w:rsid w:val="00DB5AA4"/>
    <w:rsid w:val="00DB5E30"/>
    <w:rsid w:val="00DD77C6"/>
    <w:rsid w:val="00DD7F68"/>
    <w:rsid w:val="00DE039B"/>
    <w:rsid w:val="00DE29A8"/>
    <w:rsid w:val="00DE744D"/>
    <w:rsid w:val="00DE7C8E"/>
    <w:rsid w:val="00DF2D9B"/>
    <w:rsid w:val="00DF3CDE"/>
    <w:rsid w:val="00DF4679"/>
    <w:rsid w:val="00DF5A0A"/>
    <w:rsid w:val="00E00A28"/>
    <w:rsid w:val="00E018AE"/>
    <w:rsid w:val="00E152F7"/>
    <w:rsid w:val="00E1605C"/>
    <w:rsid w:val="00E21CC8"/>
    <w:rsid w:val="00E2310F"/>
    <w:rsid w:val="00E24B44"/>
    <w:rsid w:val="00E267B7"/>
    <w:rsid w:val="00E26B68"/>
    <w:rsid w:val="00E27129"/>
    <w:rsid w:val="00E30318"/>
    <w:rsid w:val="00E30F7C"/>
    <w:rsid w:val="00E31654"/>
    <w:rsid w:val="00E34FD6"/>
    <w:rsid w:val="00E41444"/>
    <w:rsid w:val="00E43283"/>
    <w:rsid w:val="00E43E7A"/>
    <w:rsid w:val="00E47908"/>
    <w:rsid w:val="00E503EA"/>
    <w:rsid w:val="00E50DE7"/>
    <w:rsid w:val="00E51454"/>
    <w:rsid w:val="00E63D0A"/>
    <w:rsid w:val="00E80B69"/>
    <w:rsid w:val="00E858A9"/>
    <w:rsid w:val="00E907E9"/>
    <w:rsid w:val="00E91CF9"/>
    <w:rsid w:val="00E937B1"/>
    <w:rsid w:val="00E967DE"/>
    <w:rsid w:val="00E97FDF"/>
    <w:rsid w:val="00EC77B0"/>
    <w:rsid w:val="00ED1091"/>
    <w:rsid w:val="00ED303E"/>
    <w:rsid w:val="00EF2909"/>
    <w:rsid w:val="00EF3F8F"/>
    <w:rsid w:val="00EF46B8"/>
    <w:rsid w:val="00F00ADF"/>
    <w:rsid w:val="00F122C5"/>
    <w:rsid w:val="00F149AD"/>
    <w:rsid w:val="00F174E4"/>
    <w:rsid w:val="00F26B43"/>
    <w:rsid w:val="00F304F8"/>
    <w:rsid w:val="00F308AB"/>
    <w:rsid w:val="00F340A2"/>
    <w:rsid w:val="00F353FE"/>
    <w:rsid w:val="00F4348E"/>
    <w:rsid w:val="00F4451A"/>
    <w:rsid w:val="00F45E49"/>
    <w:rsid w:val="00F5104E"/>
    <w:rsid w:val="00F51C2E"/>
    <w:rsid w:val="00F61A9E"/>
    <w:rsid w:val="00F62D71"/>
    <w:rsid w:val="00F64BD9"/>
    <w:rsid w:val="00F66EF8"/>
    <w:rsid w:val="00F6744A"/>
    <w:rsid w:val="00F71A63"/>
    <w:rsid w:val="00F71F5D"/>
    <w:rsid w:val="00F76C8B"/>
    <w:rsid w:val="00F82B6A"/>
    <w:rsid w:val="00F830CC"/>
    <w:rsid w:val="00F841E4"/>
    <w:rsid w:val="00F85758"/>
    <w:rsid w:val="00F90331"/>
    <w:rsid w:val="00FA1A10"/>
    <w:rsid w:val="00FB3A48"/>
    <w:rsid w:val="00FB43CA"/>
    <w:rsid w:val="00FC5F76"/>
    <w:rsid w:val="00FD3825"/>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D351303-192F-4440-91F1-705747F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425"/>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pl/policy/evaluations/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wikipedia.org/wiki/R%C3%B3%C5%BCnorodno%C5%9B%C4%87_genetyczna" TargetMode="External"/><Relationship Id="rId4" Type="http://schemas.openxmlformats.org/officeDocument/2006/relationships/settings" Target="settings.xml"/><Relationship Id="rId9" Type="http://schemas.openxmlformats.org/officeDocument/2006/relationships/hyperlink" Target="http://pl.wikipedia.org/wiki/Gatunek_(biologi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D8C9-E279-4800-86C0-F07FF98B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3139</Words>
  <Characters>18838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Anna Żeliźniak</cp:lastModifiedBy>
  <cp:revision>9</cp:revision>
  <cp:lastPrinted>2017-07-21T10:22:00Z</cp:lastPrinted>
  <dcterms:created xsi:type="dcterms:W3CDTF">2017-07-21T07:51:00Z</dcterms:created>
  <dcterms:modified xsi:type="dcterms:W3CDTF">2018-08-30T12:54:00Z</dcterms:modified>
</cp:coreProperties>
</file>