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C5" w:rsidRPr="00FC1AE6" w:rsidRDefault="001F0F03" w:rsidP="00FC1AE6">
      <w:pPr>
        <w:jc w:val="center"/>
        <w:rPr>
          <w:b/>
          <w:i/>
          <w:color w:val="000099"/>
          <w:sz w:val="44"/>
          <w:szCs w:val="28"/>
        </w:rPr>
      </w:pPr>
      <w:r>
        <w:rPr>
          <w:b/>
          <w:i/>
          <w:noProof/>
          <w:color w:val="000099"/>
          <w:sz w:val="44"/>
          <w:szCs w:val="28"/>
        </w:rPr>
        <w:drawing>
          <wp:inline distT="0" distB="0" distL="0" distR="0">
            <wp:extent cx="6193536" cy="81381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OPOLSKIE_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53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0D" w:rsidRPr="00FC1DAF" w:rsidRDefault="00E61D0D" w:rsidP="00FC1AE6">
      <w:pPr>
        <w:spacing w:before="480" w:after="24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ZAŁĄCZNIK NR 8</w:t>
      </w:r>
    </w:p>
    <w:p w:rsidR="00E61D0D" w:rsidRPr="004A2391" w:rsidRDefault="00E61D0D" w:rsidP="00E61D0D">
      <w:pPr>
        <w:rPr>
          <w:b/>
        </w:rPr>
      </w:pPr>
    </w:p>
    <w:p w:rsidR="00E61D0D" w:rsidRPr="009F62C9" w:rsidRDefault="00E61D0D" w:rsidP="00E61D0D">
      <w:pPr>
        <w:spacing w:after="120"/>
        <w:jc w:val="center"/>
        <w:rPr>
          <w:rFonts w:ascii="Calibri" w:eastAsia="Times New Roman" w:hAnsi="Calibri" w:cs="Times New Roman"/>
          <w:b/>
          <w:i/>
          <w:color w:val="000000" w:themeColor="text1"/>
          <w:sz w:val="44"/>
          <w:szCs w:val="28"/>
        </w:rPr>
      </w:pPr>
      <w:r w:rsidRPr="009F62C9">
        <w:rPr>
          <w:rFonts w:ascii="Calibri" w:eastAsia="Times New Roman" w:hAnsi="Calibri" w:cs="Times New Roman"/>
          <w:b/>
          <w:color w:val="000000" w:themeColor="text1"/>
          <w:sz w:val="44"/>
          <w:szCs w:val="28"/>
        </w:rPr>
        <w:t xml:space="preserve">Lista wskaźników na poziomie projektu dla działania </w:t>
      </w:r>
      <w:r w:rsidRPr="009F62C9">
        <w:rPr>
          <w:rFonts w:ascii="Calibri" w:eastAsia="Times New Roman" w:hAnsi="Calibri" w:cs="Times New Roman"/>
          <w:b/>
          <w:color w:val="000000" w:themeColor="text1"/>
          <w:sz w:val="44"/>
          <w:szCs w:val="28"/>
        </w:rPr>
        <w:br/>
      </w:r>
      <w:r w:rsidRPr="009F62C9">
        <w:rPr>
          <w:rFonts w:ascii="Calibri" w:eastAsia="Times New Roman" w:hAnsi="Calibri" w:cs="Times New Roman"/>
          <w:b/>
          <w:i/>
          <w:color w:val="000000" w:themeColor="text1"/>
          <w:sz w:val="44"/>
          <w:szCs w:val="28"/>
        </w:rPr>
        <w:t>6.1 Infrastruktura drogowa</w:t>
      </w:r>
    </w:p>
    <w:p w:rsidR="00E61D0D" w:rsidRPr="009F62C9" w:rsidRDefault="00E61D0D" w:rsidP="00E61D0D">
      <w:pPr>
        <w:jc w:val="center"/>
        <w:rPr>
          <w:rFonts w:ascii="Calibri" w:eastAsia="Times New Roman" w:hAnsi="Calibri" w:cs="Times New Roman"/>
          <w:b/>
          <w:i/>
          <w:color w:val="000000" w:themeColor="text1"/>
          <w:sz w:val="44"/>
          <w:szCs w:val="28"/>
        </w:rPr>
      </w:pPr>
      <w:r w:rsidRPr="009F62C9">
        <w:rPr>
          <w:rFonts w:ascii="Calibri" w:eastAsia="Times New Roman" w:hAnsi="Calibri" w:cs="Times New Roman"/>
          <w:b/>
          <w:i/>
          <w:color w:val="000000" w:themeColor="text1"/>
          <w:sz w:val="44"/>
          <w:szCs w:val="28"/>
        </w:rPr>
        <w:t>RPO WO 2014-2020</w:t>
      </w:r>
    </w:p>
    <w:p w:rsidR="00E61D0D" w:rsidRDefault="00E61D0D" w:rsidP="00E61D0D">
      <w:pPr>
        <w:rPr>
          <w:b/>
        </w:rPr>
      </w:pPr>
      <w:bookmarkStart w:id="0" w:name="_GoBack"/>
      <w:bookmarkEnd w:id="0"/>
    </w:p>
    <w:p w:rsidR="00E61D0D" w:rsidRPr="004A2391" w:rsidRDefault="00E61D0D" w:rsidP="00E61D0D">
      <w:pPr>
        <w:rPr>
          <w:b/>
        </w:rPr>
      </w:pPr>
    </w:p>
    <w:p w:rsidR="00E61D0D" w:rsidRDefault="00E61D0D" w:rsidP="00E61D0D">
      <w:pPr>
        <w:spacing w:before="120"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Wersja 1</w:t>
      </w:r>
    </w:p>
    <w:p w:rsidR="00F122C5" w:rsidRPr="004A2391" w:rsidRDefault="00E61D0D" w:rsidP="00E61D0D">
      <w:pPr>
        <w:jc w:val="center"/>
        <w:rPr>
          <w:b/>
        </w:rPr>
      </w:pPr>
      <w:r>
        <w:rPr>
          <w:rFonts w:cs="Arial"/>
          <w:sz w:val="24"/>
          <w:szCs w:val="24"/>
        </w:rPr>
        <w:t xml:space="preserve">Opole, </w:t>
      </w:r>
      <w:r>
        <w:rPr>
          <w:rFonts w:cs="Arial"/>
          <w:sz w:val="24"/>
          <w:szCs w:val="24"/>
        </w:rPr>
        <w:t>listopad</w:t>
      </w:r>
      <w:r>
        <w:rPr>
          <w:rFonts w:cs="Arial"/>
          <w:sz w:val="24"/>
          <w:szCs w:val="24"/>
        </w:rPr>
        <w:t xml:space="preserve"> 2017 r.</w:t>
      </w:r>
    </w:p>
    <w:p w:rsidR="00F122C5" w:rsidRPr="004A2391" w:rsidRDefault="00F122C5">
      <w:pPr>
        <w:rPr>
          <w:b/>
        </w:rPr>
      </w:pPr>
    </w:p>
    <w:p w:rsidR="001E4C2E" w:rsidRPr="004A2391" w:rsidRDefault="001E4C2E">
      <w:pPr>
        <w:rPr>
          <w:b/>
        </w:rPr>
      </w:pPr>
      <w:r>
        <w:rPr>
          <w:b/>
        </w:rPr>
        <w:t xml:space="preserve">   </w:t>
      </w:r>
    </w:p>
    <w:p w:rsidR="00F122C5" w:rsidRPr="004A2391" w:rsidRDefault="00F122C5">
      <w:pPr>
        <w:rPr>
          <w:b/>
        </w:rPr>
      </w:pP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CC3EFB" w:rsidRDefault="00CC3EFB">
      <w:pPr>
        <w:rPr>
          <w:b/>
        </w:rPr>
      </w:pPr>
    </w:p>
    <w:p w:rsidR="00CC3EFB" w:rsidRDefault="00CC3EFB">
      <w:pPr>
        <w:rPr>
          <w:b/>
        </w:rPr>
      </w:pPr>
    </w:p>
    <w:p w:rsidR="00CC3EFB" w:rsidRDefault="00CC3EFB">
      <w:pPr>
        <w:rPr>
          <w:b/>
        </w:rPr>
      </w:pPr>
    </w:p>
    <w:p w:rsidR="00CC3EFB" w:rsidRDefault="00CC3EFB">
      <w:pPr>
        <w:rPr>
          <w:b/>
        </w:rPr>
      </w:pPr>
    </w:p>
    <w:p w:rsidR="00CC3EFB" w:rsidRDefault="00CC3EFB">
      <w:pPr>
        <w:rPr>
          <w:b/>
        </w:rPr>
      </w:pPr>
    </w:p>
    <w:p w:rsidR="00CC3EFB" w:rsidRDefault="00CC3EFB">
      <w:pPr>
        <w:rPr>
          <w:b/>
        </w:rPr>
      </w:pPr>
    </w:p>
    <w:p w:rsidR="00CC3EFB" w:rsidRDefault="00CC3EFB">
      <w:pPr>
        <w:rPr>
          <w:b/>
        </w:rPr>
      </w:pPr>
    </w:p>
    <w:p w:rsidR="006A37F4" w:rsidRDefault="006A37F4">
      <w:pPr>
        <w:rPr>
          <w:b/>
        </w:rPr>
      </w:pP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900B40" w:rsidRDefault="00900B40">
      <w:pPr>
        <w:rPr>
          <w:b/>
        </w:rPr>
      </w:pPr>
    </w:p>
    <w:p w:rsidR="00D74914" w:rsidRPr="004A2391" w:rsidRDefault="00D74914">
      <w:pPr>
        <w:rPr>
          <w:b/>
        </w:rPr>
      </w:pPr>
    </w:p>
    <w:p w:rsidR="00F122C5" w:rsidRPr="00B842B8" w:rsidRDefault="00F122C5" w:rsidP="00F122C5">
      <w:pPr>
        <w:spacing w:after="0"/>
        <w:rPr>
          <w:b/>
          <w:sz w:val="18"/>
          <w:u w:val="single"/>
        </w:rPr>
      </w:pPr>
      <w:r w:rsidRPr="00B842B8">
        <w:rPr>
          <w:b/>
          <w:sz w:val="18"/>
          <w:u w:val="single"/>
        </w:rPr>
        <w:t>Opracowanie:</w:t>
      </w:r>
    </w:p>
    <w:p w:rsidR="00F122C5" w:rsidRPr="00B842B8" w:rsidRDefault="00F122C5" w:rsidP="000E521A">
      <w:pPr>
        <w:tabs>
          <w:tab w:val="center" w:pos="7001"/>
        </w:tabs>
        <w:spacing w:after="0"/>
        <w:rPr>
          <w:sz w:val="18"/>
        </w:rPr>
      </w:pPr>
      <w:r w:rsidRPr="00B842B8">
        <w:rPr>
          <w:sz w:val="18"/>
        </w:rPr>
        <w:t>Departament Koordynacji Programów Operacyjnych</w:t>
      </w:r>
      <w:r w:rsidR="000E521A" w:rsidRPr="00B842B8">
        <w:rPr>
          <w:sz w:val="18"/>
        </w:rPr>
        <w:tab/>
      </w:r>
    </w:p>
    <w:p w:rsidR="00F122C5" w:rsidRPr="00B842B8" w:rsidRDefault="00F122C5" w:rsidP="00F122C5">
      <w:pPr>
        <w:spacing w:after="0"/>
        <w:rPr>
          <w:sz w:val="18"/>
        </w:rPr>
      </w:pPr>
      <w:r w:rsidRPr="00B842B8">
        <w:rPr>
          <w:sz w:val="18"/>
        </w:rPr>
        <w:t>Urząd Marszałkowski Województwa Opolskiego</w:t>
      </w:r>
    </w:p>
    <w:p w:rsidR="00F122C5" w:rsidRPr="004A2391" w:rsidRDefault="00AA17E8" w:rsidP="00F122C5">
      <w:pPr>
        <w:spacing w:after="0"/>
        <w:rPr>
          <w:b/>
        </w:rPr>
      </w:pPr>
      <w:r w:rsidRPr="00B842B8">
        <w:rPr>
          <w:sz w:val="18"/>
        </w:rPr>
        <w:t>Opole</w:t>
      </w:r>
      <w:r w:rsidR="00864144" w:rsidRPr="00B842B8">
        <w:rPr>
          <w:sz w:val="18"/>
        </w:rPr>
        <w:t xml:space="preserve">, </w:t>
      </w:r>
      <w:r w:rsidR="00E61D0D">
        <w:rPr>
          <w:sz w:val="18"/>
        </w:rPr>
        <w:t>listopad</w:t>
      </w:r>
      <w:r w:rsidR="00A73517" w:rsidRPr="00B842B8">
        <w:rPr>
          <w:sz w:val="18"/>
        </w:rPr>
        <w:t xml:space="preserve"> </w:t>
      </w:r>
      <w:r w:rsidR="00A21E6D" w:rsidRPr="00B842B8">
        <w:rPr>
          <w:sz w:val="18"/>
        </w:rPr>
        <w:t>201</w:t>
      </w:r>
      <w:r w:rsidR="00810701" w:rsidRPr="00B842B8">
        <w:rPr>
          <w:sz w:val="18"/>
        </w:rPr>
        <w:t>7</w:t>
      </w:r>
      <w:r w:rsidR="003A499F" w:rsidRPr="00B842B8">
        <w:rPr>
          <w:sz w:val="18"/>
        </w:rPr>
        <w:t xml:space="preserve"> </w:t>
      </w:r>
      <w:r w:rsidR="00F122C5" w:rsidRPr="00B842B8">
        <w:rPr>
          <w:sz w:val="18"/>
        </w:rPr>
        <w:t>r.</w:t>
      </w:r>
      <w:r w:rsidR="00F122C5" w:rsidRPr="004A2391">
        <w:rPr>
          <w:b/>
        </w:rPr>
        <w:br w:type="page"/>
      </w:r>
    </w:p>
    <w:p w:rsidR="00512467" w:rsidRPr="004A2391" w:rsidRDefault="006D162A" w:rsidP="00CE7C94">
      <w:pPr>
        <w:spacing w:after="60"/>
        <w:rPr>
          <w:i/>
        </w:rPr>
      </w:pPr>
      <w:r w:rsidRPr="004A2391">
        <w:rPr>
          <w:b/>
        </w:rPr>
        <w:lastRenderedPageBreak/>
        <w:t>Tabela 1</w:t>
      </w:r>
      <w:r w:rsidR="00CE7C94" w:rsidRPr="004A2391">
        <w:rPr>
          <w:b/>
        </w:rPr>
        <w:t xml:space="preserve"> </w:t>
      </w:r>
      <w:r w:rsidR="00055EE7" w:rsidRPr="004A2391">
        <w:rPr>
          <w:i/>
        </w:rPr>
        <w:t>Zestawieni</w:t>
      </w:r>
      <w:r w:rsidR="00F5104E" w:rsidRPr="004A2391">
        <w:rPr>
          <w:i/>
        </w:rPr>
        <w:t>e</w:t>
      </w:r>
      <w:r w:rsidR="00055EE7" w:rsidRPr="004A2391">
        <w:rPr>
          <w:i/>
        </w:rPr>
        <w:t xml:space="preserve"> wskaźników </w:t>
      </w:r>
      <w:r w:rsidR="007435C8" w:rsidRPr="004A2391">
        <w:rPr>
          <w:i/>
        </w:rPr>
        <w:t xml:space="preserve">EFRR </w:t>
      </w:r>
      <w:r w:rsidR="00055EE7" w:rsidRPr="004A2391">
        <w:rPr>
          <w:i/>
        </w:rPr>
        <w:t xml:space="preserve">na poziomie projektu </w:t>
      </w:r>
      <w:r w:rsidR="00881689" w:rsidRPr="004A2391">
        <w:rPr>
          <w:i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142"/>
        <w:gridCol w:w="1134"/>
        <w:gridCol w:w="1275"/>
        <w:gridCol w:w="1276"/>
        <w:gridCol w:w="1276"/>
        <w:gridCol w:w="5812"/>
      </w:tblGrid>
      <w:tr w:rsidR="00A36F99" w:rsidRPr="004A2391" w:rsidTr="003A499F">
        <w:trPr>
          <w:trHeight w:hRule="exact" w:val="839"/>
          <w:tblHeader/>
        </w:trPr>
        <w:tc>
          <w:tcPr>
            <w:tcW w:w="671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7435C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Lp.</w:t>
            </w:r>
          </w:p>
        </w:tc>
        <w:tc>
          <w:tcPr>
            <w:tcW w:w="3142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Nazwa wskaźnika</w:t>
            </w:r>
          </w:p>
        </w:tc>
        <w:tc>
          <w:tcPr>
            <w:tcW w:w="113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Jednostka miary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Rodzaj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Inne uwagi</w:t>
            </w:r>
          </w:p>
        </w:tc>
        <w:tc>
          <w:tcPr>
            <w:tcW w:w="5812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Definicja</w:t>
            </w:r>
          </w:p>
        </w:tc>
      </w:tr>
      <w:tr w:rsidR="00A36F99" w:rsidRPr="004A2391" w:rsidTr="00753583">
        <w:trPr>
          <w:trHeight w:val="364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Wskaźniki horyzontalne</w:t>
            </w:r>
          </w:p>
        </w:tc>
      </w:tr>
      <w:tr w:rsidR="003A499F" w:rsidRPr="004A2391" w:rsidTr="000C0A0A">
        <w:tc>
          <w:tcPr>
            <w:tcW w:w="671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1.</w:t>
            </w:r>
          </w:p>
        </w:tc>
        <w:tc>
          <w:tcPr>
            <w:tcW w:w="314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 xml:space="preserve">Liczba obiektów dostosowanych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4A2391">
              <w:rPr>
                <w:i/>
                <w:sz w:val="20"/>
                <w:szCs w:val="20"/>
              </w:rPr>
              <w:t>do potrzeb osób</w:t>
            </w:r>
            <w:r w:rsidRPr="004A2391">
              <w:rPr>
                <w:i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  <w:p w:rsidR="003A499F" w:rsidRPr="00DA64DA" w:rsidRDefault="003A499F" w:rsidP="000C0A0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odnosi się do liczby obiektów, które zaopatrzono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specjalne podjazdy, windy, urządzenia głośnomówiące, bądź inne </w:t>
            </w:r>
            <w:r w:rsidRPr="001208AF">
              <w:rPr>
                <w:sz w:val="20"/>
              </w:rPr>
              <w:t>rozwiązania umożliwiające dostęp</w:t>
            </w:r>
            <w:r w:rsidRPr="001208AF">
              <w:rPr>
                <w:rFonts w:ascii="Calibri" w:eastAsia="Times New Roman" w:hAnsi="Calibri" w:cs="Times New Roman"/>
                <w:sz w:val="18"/>
                <w:szCs w:val="20"/>
                <w:lang w:eastAsia="en-US"/>
              </w:rPr>
              <w:t xml:space="preserve">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(tj. usunięcie barier w dostępie, w szczególności barier architektonicznych) do tych obiektów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poruszanie się po nich osobom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niepełnosprawn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ościami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ruchow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czy sensoryczn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3A499F" w:rsidRPr="004A2391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Jako obiekty budowlane należy rozumieć konstrukcje połączone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gru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ntem w sposób trwały, wykonane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materiałów budowlanych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 elementów składowych, będące wynikiem prac budowlanych (wg. def. PKOB).</w:t>
            </w:r>
          </w:p>
          <w:p w:rsidR="003A499F" w:rsidRPr="004A2391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Należy podać liczbę obiektów,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których zastosowano rozwiązania umożliwiające dostęp osobom z niepełnosprawnościami ruchowymi czy sensorycznymi lub zaopatrzonych w sprzęt,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a nie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liczbę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sprzętów, urządzeń itp.</w:t>
            </w:r>
          </w:p>
          <w:p w:rsidR="003A499F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Jeśli instytucja, zakład itp. składa się z kilku obiektów, należy zliczyć wszystkie, które dostosowano do potrzeb osób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4A2391">
              <w:rPr>
                <w:rFonts w:eastAsiaTheme="minorHAnsi"/>
                <w:sz w:val="20"/>
                <w:szCs w:val="20"/>
                <w:lang w:eastAsia="en-US"/>
              </w:rPr>
              <w:t>niepełnosprawn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ościami</w:t>
            </w:r>
            <w:r w:rsidRPr="004A23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3A499F" w:rsidRPr="00964523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mierzony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momencie rozliczenia wydatku 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związanego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dostosowaniem obiektów do potrzeb osób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niepełnosprawnościami w ramach danego projektu.</w:t>
            </w:r>
          </w:p>
          <w:p w:rsidR="003A499F" w:rsidRPr="004A2391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Do wskaźnika powinny zostać wliczone zarówno obiekty dostosowane w projektach ogólnodostępnych, jak i dedykowanych (zgodnie z kategoryzacją projektów z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3A499F" w:rsidRPr="004A2391" w:rsidTr="000C0A0A">
        <w:tc>
          <w:tcPr>
            <w:tcW w:w="671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4A2391">
              <w:rPr>
                <w:i/>
                <w:sz w:val="20"/>
                <w:szCs w:val="20"/>
              </w:rPr>
              <w:t>w zakresie kompetencji cyfrowych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mierzy liczbę osób objętych szkoleniami / doradztwem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zakresie nabywania / doskonalenia umiejętności warunkujących efektywne ko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rzystanie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mediów elektro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nicznych tj. m.in. korzystania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komputera, różnych rodzajów oprogramowania, </w:t>
            </w:r>
            <w:proofErr w:type="spellStart"/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internetu</w:t>
            </w:r>
            <w:proofErr w:type="spellEnd"/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  <w:p w:rsidR="003A499F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Wskaźnik ma agregować wszystkie osoby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, które skorzystały ze wsparcia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w zakresi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e TIK we wszystkich programach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projektach, także tych, gdzie szkolenie dotyczy obsługi specyficznego systemu teleinformatycznego, którego wdrożenia dotyczy projekt. </w:t>
            </w:r>
          </w:p>
          <w:p w:rsidR="003A499F" w:rsidRPr="00964523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Do wskaźnika powinni zostać wlicze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ni wszyscy uczestnicy projektów 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zawierających określony rodzaj wsparcia, w tym również np. uczniowie nabywający kompetencje w ramach zajęć szkolnych, jeśli wsparcie to dotyczy technologii informacyjno-komunikacyjnych.</w:t>
            </w:r>
          </w:p>
          <w:p w:rsidR="003A499F" w:rsidRPr="004A2391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3A499F" w:rsidRPr="004A2391" w:rsidTr="000C0A0A">
        <w:tc>
          <w:tcPr>
            <w:tcW w:w="671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C501E4">
              <w:rPr>
                <w:i/>
                <w:sz w:val="20"/>
                <w:szCs w:val="20"/>
              </w:rPr>
              <w:t>w zakresie kompetencji cyfrowych</w:t>
            </w:r>
            <w:r w:rsidRPr="00C501E4">
              <w:rPr>
                <w:i/>
                <w:sz w:val="20"/>
                <w:szCs w:val="20"/>
              </w:rPr>
              <w:br/>
              <w:t>- kobiety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3A499F" w:rsidRPr="004A2391" w:rsidTr="000C0A0A">
        <w:tc>
          <w:tcPr>
            <w:tcW w:w="671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C501E4">
              <w:rPr>
                <w:i/>
                <w:sz w:val="20"/>
                <w:szCs w:val="20"/>
              </w:rPr>
              <w:t>w zakresie kompetencji cyfrowych</w:t>
            </w:r>
            <w:r w:rsidRPr="00C501E4">
              <w:rPr>
                <w:i/>
                <w:sz w:val="20"/>
                <w:szCs w:val="20"/>
              </w:rPr>
              <w:br/>
              <w:t>- mężczyźni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3A499F" w:rsidRPr="00C501E4" w:rsidTr="000C0A0A">
        <w:tc>
          <w:tcPr>
            <w:tcW w:w="671" w:type="dxa"/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3.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 xml:space="preserve">Liczba projektów, w których sfinansowano koszty racjonalnych usprawnień dla osób </w:t>
            </w:r>
            <w:r w:rsidRPr="00C501E4">
              <w:rPr>
                <w:i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Racjonalne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usprawnienie oznacza konieczne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 odpowiednie zmiany 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dostosowania, nie nakładające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nieproporcjonalnego lub nadmiernego obciążenia, rozpatrywane osobno dla każdego konkretnego przypa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dku, w celu zapewnienia osobom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niepełnosprawn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ościami możliwości korzystania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wszelkich praw człowieka i podstawowych wolności oraz ich wykonywania na zasadzie równości z innymi osobami.</w:t>
            </w:r>
          </w:p>
          <w:p w:rsidR="003A499F" w:rsidRPr="00C501E4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mierzony w momencie rozliczenia wydatku związanego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racjonalnymi usprawnieniami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w ramach danego projektu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3A499F" w:rsidRPr="00C501E4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Przykłady racjonalnych usprawnień: tłumacz języka migowego, transport niskopodłogowy, dostosow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anie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infrastruktury (nie tylko budynku, ale też dostosowanie infrastruktury komputerowej np. programy powiększające, mówiące, drukarki materiałów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lastRenderedPageBreak/>
              <w:t>w alfabecie Braille'a), osoby asystujące, odpowiednie dostosowanie wyżywienia.</w:t>
            </w:r>
          </w:p>
          <w:p w:rsidR="003A499F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Do wskaźnika powinny zostać wliczone zarówno projekty ogólnodostępne, w których sfinansowano koszty racjonalnych usprawnień, jak i dedykowane (zgodnie z kategoryzacją projektów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Wytycznych w zakresie realizacji zasady równości szans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i niedyskryminacji, w tym dostępności dla osób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z niepełnosprawnościami oraz zasady równości szans kobiet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>i mężczyzn w ramach funduszy unijnych na lata 2014-2020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).</w:t>
            </w:r>
          </w:p>
          <w:p w:rsidR="003A499F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Definicja na podstawie: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Wytyczne w zakresie realizacji zasady równości szans i niedyskryminacji, w tym dostępności dla osób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z niepełnosprawnościami oraz równości szans kobiet i mężczyzn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>w ramach funduszy unijnych na lata 2014-</w:t>
            </w:r>
            <w:r w:rsidRPr="001208AF">
              <w:rPr>
                <w:rFonts w:eastAsiaTheme="minorHAnsi"/>
                <w:i/>
                <w:sz w:val="20"/>
                <w:szCs w:val="20"/>
                <w:lang w:eastAsia="en-US"/>
              </w:rPr>
              <w:t>2020</w:t>
            </w:r>
            <w:r w:rsidRPr="00C501E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3A499F" w:rsidRPr="00C501E4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4190">
              <w:rPr>
                <w:rFonts w:eastAsiaTheme="minorHAnsi"/>
                <w:i/>
                <w:sz w:val="20"/>
                <w:szCs w:val="20"/>
                <w:lang w:eastAsia="en-US"/>
              </w:rPr>
              <w:t>Wyjaśnienie:</w:t>
            </w:r>
            <w:r w:rsidRPr="006F41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Jeśli projekt spełnia kryteria w/w definicji wnioskodawca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powinien wykazać wartość „1”,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w przeciwnym wypadku „0”. W przypadku projektów partnerskich wskaźnik powinien być wykazany wyłącznie przez lidera projektu, be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z względu na liczbę partnerów 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w projekcie realizujących wskaźnik.</w:t>
            </w:r>
          </w:p>
        </w:tc>
      </w:tr>
      <w:tr w:rsidR="003A499F" w:rsidRPr="00C501E4" w:rsidTr="000C0A0A">
        <w:tc>
          <w:tcPr>
            <w:tcW w:w="671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4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podmiotów wykorzystujących technologie informacyjno-komunikacyjne</w:t>
            </w:r>
          </w:p>
        </w:tc>
        <w:tc>
          <w:tcPr>
            <w:tcW w:w="113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6F1B2C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3A499F" w:rsidRPr="006F1B2C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i szkoleniowe. </w:t>
            </w:r>
          </w:p>
          <w:p w:rsidR="003A499F" w:rsidRPr="006F1B2C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 </w:t>
            </w:r>
          </w:p>
          <w:p w:rsidR="003A499F" w:rsidRPr="006F1B2C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:rsidR="003A499F" w:rsidRPr="00C501E4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przypadku, gdy beneficjentem pozostaje jeden podmiot, we wskaźniku należy ująć wartość „1”. W 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3A499F" w:rsidRPr="00031554" w:rsidTr="000C0A0A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</w:rPr>
              <w:t xml:space="preserve">Wzrost zatrudnienia we </w:t>
            </w:r>
            <w:r w:rsidRPr="0022603F">
              <w:rPr>
                <w:rFonts w:cs="Arial"/>
                <w:i/>
                <w:sz w:val="20"/>
              </w:rPr>
              <w:t>wspieranych przedsiębiorstwach</w:t>
            </w:r>
            <w:r>
              <w:rPr>
                <w:rStyle w:val="Odwoanieprzypisudolnego"/>
                <w:rFonts w:cs="Arial"/>
                <w:i/>
                <w:sz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22603F" w:rsidRDefault="003A499F" w:rsidP="000C0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Liczba brutto nowych miejsc pracy we wspieranych przedsiębiorstw</w:t>
            </w:r>
            <w:r>
              <w:rPr>
                <w:rFonts w:cs="Times New Roman"/>
                <w:sz w:val="20"/>
                <w:szCs w:val="20"/>
              </w:rPr>
              <w:t>ach</w:t>
            </w:r>
            <w:r w:rsidRPr="0022603F">
              <w:rPr>
                <w:rFonts w:cs="Times New Roman"/>
                <w:sz w:val="20"/>
                <w:szCs w:val="20"/>
              </w:rPr>
              <w:t xml:space="preserve"> w przeliczeniu na pełne etaty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7AA5">
              <w:rPr>
                <w:rFonts w:cs="Times New Roman"/>
                <w:sz w:val="20"/>
                <w:szCs w:val="20"/>
              </w:rPr>
              <w:t>na podstawie umowy o pracę (nie dotyczy umów cywilnoprawnych)</w:t>
            </w:r>
            <w:r w:rsidRPr="00F41DFA">
              <w:rPr>
                <w:rFonts w:cs="Times New Roman"/>
                <w:sz w:val="20"/>
                <w:szCs w:val="20"/>
              </w:rPr>
              <w:t>.</w:t>
            </w:r>
            <w:r w:rsidRPr="0022603F">
              <w:rPr>
                <w:rFonts w:cs="Times New Roman"/>
                <w:sz w:val="20"/>
                <w:szCs w:val="20"/>
              </w:rPr>
              <w:t xml:space="preserve">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603F">
              <w:rPr>
                <w:rFonts w:cs="Times New Roman"/>
                <w:sz w:val="20"/>
                <w:szCs w:val="20"/>
              </w:rPr>
              <w:t>zwiększać</w:t>
            </w:r>
            <w:r>
              <w:rPr>
                <w:rFonts w:cs="Times New Roman"/>
                <w:sz w:val="20"/>
                <w:szCs w:val="20"/>
              </w:rPr>
              <w:t xml:space="preserve"> całkowitą liczbę miejsc pracy </w:t>
            </w:r>
            <w:r w:rsidRPr="0022603F">
              <w:rPr>
                <w:rFonts w:cs="Times New Roman"/>
                <w:sz w:val="20"/>
                <w:szCs w:val="20"/>
              </w:rPr>
              <w:t>w przedsiębiorst</w:t>
            </w:r>
            <w:r>
              <w:rPr>
                <w:rFonts w:cs="Times New Roman"/>
                <w:sz w:val="20"/>
                <w:szCs w:val="20"/>
              </w:rPr>
              <w:t xml:space="preserve">wie. Jeśli łączne zatrudnienie </w:t>
            </w:r>
            <w:r w:rsidRPr="0022603F">
              <w:rPr>
                <w:rFonts w:cs="Times New Roman"/>
                <w:sz w:val="20"/>
                <w:szCs w:val="20"/>
              </w:rPr>
              <w:t xml:space="preserve">w przedsiębiorstwie nie zwiększa się, wartość jest równa zero - to wskaźnik jest </w:t>
            </w:r>
            <w:r>
              <w:rPr>
                <w:rFonts w:cs="Times New Roman"/>
                <w:sz w:val="20"/>
                <w:szCs w:val="20"/>
              </w:rPr>
              <w:t xml:space="preserve">traktowany jako wyregulowanie, </w:t>
            </w:r>
            <w:r w:rsidRPr="0022603F">
              <w:rPr>
                <w:rFonts w:cs="Times New Roman"/>
                <w:sz w:val="20"/>
                <w:szCs w:val="20"/>
              </w:rPr>
              <w:t>a nie zwiększenie. Zagwarantowane itp. miejsca pracy nie są wliczone.</w:t>
            </w:r>
          </w:p>
          <w:p w:rsidR="003A499F" w:rsidRPr="0022603F" w:rsidRDefault="003A499F" w:rsidP="000C0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pacing w:val="-1"/>
                <w:sz w:val="20"/>
                <w:szCs w:val="20"/>
              </w:rPr>
              <w:t xml:space="preserve">Brutto: Nie licząc pochodzenia zatrudnionego dopóki bezpośrednio przyczynia się do wzrostu całkowitej liczby zatrudnionych </w:t>
            </w:r>
            <w:r>
              <w:rPr>
                <w:rFonts w:cs="Times New Roman"/>
                <w:spacing w:val="-1"/>
                <w:sz w:val="20"/>
                <w:szCs w:val="20"/>
              </w:rPr>
              <w:br/>
            </w:r>
            <w:r w:rsidRPr="0022603F">
              <w:rPr>
                <w:rFonts w:cs="Times New Roman"/>
                <w:spacing w:val="-1"/>
                <w:sz w:val="20"/>
                <w:szCs w:val="20"/>
              </w:rPr>
              <w:t>w organizacji. Wskaźnik powinien być stosowany, jeśli wzrost zatrudnienia może być wiarygodnie przypisany do wsparcia.</w:t>
            </w:r>
          </w:p>
          <w:p w:rsidR="003A499F" w:rsidRPr="0022603F" w:rsidRDefault="003A499F" w:rsidP="000C0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3A499F" w:rsidRPr="0022603F" w:rsidRDefault="003A499F" w:rsidP="000C0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Trwałość: oczekuje się, że stanowiska będą stałe tj. będą trwały odpowiednio długo, w zależności od charakterystyki przemysłowo-technologicznej: prace sezonowe powinny być cykliczne. Dane liczbowe przedsiębiorstw, które zbankrutowały są zapisywane jako zerowy wzrost zatrudnienia.</w:t>
            </w:r>
          </w:p>
          <w:p w:rsidR="003A499F" w:rsidRDefault="003A499F" w:rsidP="000C0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 xml:space="preserve">Czas: Dane są zbierane przed rozpoczęciem </w:t>
            </w:r>
            <w:r>
              <w:rPr>
                <w:rFonts w:cs="Times New Roman"/>
                <w:sz w:val="20"/>
                <w:szCs w:val="20"/>
              </w:rPr>
              <w:t xml:space="preserve">projektu i po jego zakończeniu; </w:t>
            </w:r>
            <w:r w:rsidRPr="0022603F">
              <w:rPr>
                <w:rFonts w:cs="Times New Roman"/>
                <w:sz w:val="20"/>
                <w:szCs w:val="20"/>
              </w:rPr>
              <w:t xml:space="preserve">Instytucje Zarządzające mają swobodę </w:t>
            </w:r>
            <w:r w:rsidRPr="0022603F">
              <w:rPr>
                <w:rFonts w:cs="Times New Roman"/>
                <w:sz w:val="20"/>
                <w:szCs w:val="20"/>
              </w:rPr>
              <w:br/>
              <w:t>w określaniu dokładnego czasu. Preferowane jest stosowanie średniego zatrudnienia w oparciu o dane z 6 miesięcy lub z roku, dla danych dotyczących zatrudnienia w określonych terminach.</w:t>
            </w:r>
          </w:p>
          <w:p w:rsidR="003A499F" w:rsidRDefault="003A499F" w:rsidP="000C0A0A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464B">
              <w:rPr>
                <w:rFonts w:cs="Times New Roman"/>
                <w:b/>
                <w:sz w:val="20"/>
                <w:szCs w:val="20"/>
              </w:rPr>
              <w:t xml:space="preserve">Dla celów monitoringowych Beneficjent w opisie metodologii wskaźnika (w wierszu pod wskaźnikiem) powinien przedstawić dane dotyczące stanu zatrudnienia w przedsiębiorstwie przed </w:t>
            </w:r>
            <w:r>
              <w:rPr>
                <w:rFonts w:cs="Times New Roman"/>
                <w:b/>
                <w:sz w:val="20"/>
                <w:szCs w:val="20"/>
              </w:rPr>
              <w:t>rozpoczęciem realizacji</w:t>
            </w:r>
            <w:r w:rsidRPr="00B5464B">
              <w:rPr>
                <w:rFonts w:cs="Times New Roman"/>
                <w:b/>
                <w:sz w:val="20"/>
                <w:szCs w:val="20"/>
              </w:rPr>
              <w:t xml:space="preserve"> projektu.</w:t>
            </w:r>
          </w:p>
          <w:p w:rsidR="003A499F" w:rsidRPr="00031554" w:rsidRDefault="003A499F" w:rsidP="000C0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 ramach działania 2.2 </w:t>
            </w:r>
            <w:r w:rsidRPr="00031554">
              <w:rPr>
                <w:rFonts w:cs="Times New Roman"/>
                <w:b/>
                <w:i/>
                <w:sz w:val="20"/>
                <w:szCs w:val="20"/>
              </w:rPr>
              <w:t>Przygotowanie terenów inwestycyjnych na rzecz gospodarki</w:t>
            </w:r>
            <w:r>
              <w:rPr>
                <w:rFonts w:cs="Times New Roman"/>
                <w:b/>
                <w:sz w:val="20"/>
                <w:szCs w:val="20"/>
              </w:rPr>
              <w:t xml:space="preserve"> z</w:t>
            </w:r>
            <w:r w:rsidRPr="007411F6">
              <w:rPr>
                <w:rFonts w:cs="Times New Roman"/>
                <w:b/>
                <w:sz w:val="20"/>
                <w:szCs w:val="20"/>
              </w:rPr>
              <w:t>godnie z zapisami RPO WO 2014-2020 wartość docelowa wskaźnika musi być większa niż „0”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3A499F" w:rsidRPr="00C501E4" w:rsidTr="000C0A0A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D70A31">
              <w:rPr>
                <w:rFonts w:cs="Arial"/>
                <w:i/>
                <w:sz w:val="20"/>
              </w:rPr>
              <w:t>Wzrost zatrudnienia we wspieranych przedsiębiorstwach</w:t>
            </w:r>
            <w:r w:rsidRPr="00D70A31">
              <w:rPr>
                <w:rFonts w:cs="Arial"/>
                <w:i/>
                <w:sz w:val="20"/>
              </w:rPr>
              <w:br/>
              <w:t xml:space="preserve"> – kobiety </w:t>
            </w:r>
            <w:r w:rsidRPr="006A6510">
              <w:rPr>
                <w:rFonts w:cs="Arial"/>
                <w:i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3A499F" w:rsidRPr="00C501E4" w:rsidTr="000C0A0A">
        <w:tc>
          <w:tcPr>
            <w:tcW w:w="671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D70A31">
              <w:rPr>
                <w:rFonts w:cs="Arial"/>
                <w:i/>
                <w:sz w:val="20"/>
              </w:rPr>
              <w:t xml:space="preserve">Wzrost zatrudnienia we wspieranych przedsiębiorstwach </w:t>
            </w:r>
            <w:r w:rsidRPr="00D70A31">
              <w:rPr>
                <w:rFonts w:cs="Arial"/>
                <w:i/>
                <w:sz w:val="20"/>
              </w:rPr>
              <w:br/>
              <w:t>– mężczyźni</w:t>
            </w:r>
            <w:r w:rsidRPr="006A6510">
              <w:rPr>
                <w:rFonts w:cs="Arial"/>
                <w:i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3A499F" w:rsidRPr="00377C57" w:rsidTr="000C0A0A">
        <w:tc>
          <w:tcPr>
            <w:tcW w:w="671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D96CA8" w:rsidRDefault="003A499F" w:rsidP="000C0A0A">
            <w:pPr>
              <w:spacing w:before="80" w:after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6</w:t>
            </w:r>
            <w:r w:rsidRPr="00A44759">
              <w:rPr>
                <w:sz w:val="20"/>
                <w:szCs w:val="20"/>
              </w:rPr>
              <w:t>.</w:t>
            </w:r>
          </w:p>
        </w:tc>
        <w:tc>
          <w:tcPr>
            <w:tcW w:w="314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</w:tc>
        <w:tc>
          <w:tcPr>
            <w:tcW w:w="1134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 w:val="restart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A499F" w:rsidRPr="00377C57" w:rsidRDefault="003A499F" w:rsidP="000C0A0A">
            <w:pPr>
              <w:spacing w:before="80" w:after="80"/>
              <w:jc w:val="both"/>
              <w:rPr>
                <w:color w:val="C00000"/>
                <w:sz w:val="20"/>
                <w:szCs w:val="20"/>
              </w:rPr>
            </w:pPr>
            <w:r w:rsidRPr="00377C57">
              <w:rPr>
                <w:sz w:val="20"/>
                <w:szCs w:val="20"/>
              </w:rPr>
              <w:t xml:space="preserve">Należy stosować </w:t>
            </w:r>
            <w:r>
              <w:rPr>
                <w:sz w:val="20"/>
                <w:szCs w:val="20"/>
              </w:rPr>
              <w:t xml:space="preserve">analogiczną </w:t>
            </w:r>
            <w:r w:rsidRPr="00377C57">
              <w:rPr>
                <w:sz w:val="20"/>
                <w:szCs w:val="20"/>
              </w:rPr>
              <w:t>definicję jak we wskaźniku „</w:t>
            </w:r>
            <w:r w:rsidRPr="00377C57">
              <w:rPr>
                <w:i/>
                <w:sz w:val="20"/>
                <w:szCs w:val="20"/>
              </w:rPr>
              <w:t>Wzrost zatrudnienia we wspieranych przedsiębiorstwach</w:t>
            </w:r>
            <w:r w:rsidRPr="00377C5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odniesieniu do podmiotów innych niż przedsiębiorstwa. </w:t>
            </w:r>
          </w:p>
        </w:tc>
      </w:tr>
      <w:tr w:rsidR="003A499F" w:rsidRPr="00377C57" w:rsidTr="000C0A0A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  <w:p w:rsidR="003A499F" w:rsidRPr="00C501E4" w:rsidRDefault="003A499F" w:rsidP="000C0A0A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A499F" w:rsidRPr="00377C57" w:rsidRDefault="003A499F" w:rsidP="000C0A0A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3A499F" w:rsidRPr="00377C57" w:rsidTr="000C0A0A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  <w:p w:rsidR="003A499F" w:rsidRPr="00C501E4" w:rsidRDefault="003A499F" w:rsidP="000C0A0A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A499F" w:rsidRPr="00377C57" w:rsidRDefault="003A499F" w:rsidP="000C0A0A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3A499F" w:rsidRPr="003814B8" w:rsidTr="000C0A0A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2391">
              <w:rPr>
                <w:sz w:val="20"/>
                <w:szCs w:val="20"/>
              </w:rPr>
              <w:t>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3A499F" w:rsidRPr="001208AF" w:rsidRDefault="003A499F" w:rsidP="000C0A0A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Wskaźnik służy do pomiaru liczby miejsc pracy, które zostały utrzymane w wyniku wsparcia, w ciągu pełnego roku kalendarzowego od zakończenia realizacji projektu, a które byłyby zlikwidowane, gdyby tego wsparcia Beneficjent nie uzyskał. Etaty muszą być obsadzone (nieobsadzonych etatów się nie wlicza). Prace sezonowe i niepełnowymiarowe należy przeliczyć na ekwiwalent pełnego czasu pracy. </w:t>
            </w:r>
          </w:p>
          <w:p w:rsidR="003A499F" w:rsidRPr="001208AF" w:rsidRDefault="003A499F" w:rsidP="000C0A0A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3A499F" w:rsidRPr="001208AF" w:rsidRDefault="003A499F" w:rsidP="000C0A0A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:rsidR="003A499F" w:rsidRDefault="003A499F" w:rsidP="000C0A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3A499F" w:rsidRPr="003814B8" w:rsidRDefault="003A499F" w:rsidP="000C0A0A">
            <w:pPr>
              <w:spacing w:before="60" w:after="60"/>
              <w:jc w:val="both"/>
              <w:rPr>
                <w:i/>
                <w:color w:val="C00000"/>
                <w:sz w:val="20"/>
                <w:szCs w:val="20"/>
              </w:rPr>
            </w:pPr>
            <w:r w:rsidRPr="001208AF">
              <w:rPr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3A499F" w:rsidRPr="00C501E4" w:rsidTr="000C0A0A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  <w:p w:rsidR="003A499F" w:rsidRPr="004A2391" w:rsidRDefault="003A499F" w:rsidP="000C0A0A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3A499F" w:rsidRPr="00C501E4" w:rsidTr="000C0A0A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Default="003A499F" w:rsidP="000C0A0A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  <w:p w:rsidR="003A499F" w:rsidRPr="004A2391" w:rsidRDefault="003A499F" w:rsidP="000C0A0A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3A499F" w:rsidRPr="00C501E4" w:rsidRDefault="003A499F" w:rsidP="000C0A0A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3A499F" w:rsidRPr="004A2391" w:rsidTr="000C0A0A">
        <w:tc>
          <w:tcPr>
            <w:tcW w:w="671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A2391">
              <w:rPr>
                <w:sz w:val="20"/>
                <w:szCs w:val="20"/>
              </w:rPr>
              <w:t>.</w:t>
            </w:r>
          </w:p>
        </w:tc>
        <w:tc>
          <w:tcPr>
            <w:tcW w:w="314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nowo utworzonych miejsc pracy - pozostałe formy</w:t>
            </w:r>
          </w:p>
        </w:tc>
        <w:tc>
          <w:tcPr>
            <w:tcW w:w="1134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3A499F" w:rsidRPr="004A2391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A499F" w:rsidRPr="001208AF" w:rsidRDefault="003A499F" w:rsidP="000C0A0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Wskaźnik służy do pomiaru liczby pracowników zatrudnionych bezpośrednio w efekcie realizacji projektu, pracujących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 podstawie umów cywilnoprawnych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tj.: umów o dzieło, umów zlecenia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czy samozatrudnienia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– kontraktu, jak i pracujących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>na podstawie umów o pracę na czas określony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zarówno w przedsiębiorstwach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jak i pozostałych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>podmiotach niebędących przedsiębiorstwami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A499F" w:rsidRPr="001208AF" w:rsidRDefault="003A499F" w:rsidP="000C0A0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3A499F" w:rsidRDefault="003A499F" w:rsidP="000C0A0A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3A499F" w:rsidRPr="004A2391" w:rsidRDefault="003A499F" w:rsidP="000C0A0A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  <w:r w:rsidRPr="0099640D">
              <w:rPr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D36A60" w:rsidRPr="004A2391" w:rsidTr="00753583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:rsidR="00D36A60" w:rsidRPr="004A2391" w:rsidRDefault="00D36A60" w:rsidP="00D36A60">
            <w:pPr>
              <w:spacing w:before="80" w:after="80"/>
              <w:rPr>
                <w:i/>
                <w:color w:val="000099"/>
              </w:rPr>
            </w:pPr>
            <w:r w:rsidRPr="004A2391">
              <w:rPr>
                <w:i/>
                <w:color w:val="000099"/>
              </w:rPr>
              <w:t xml:space="preserve">Oś priorytetowa VI </w:t>
            </w:r>
            <w:r w:rsidRPr="004A2391">
              <w:rPr>
                <w:rFonts w:cs="Arial"/>
                <w:b/>
                <w:i/>
                <w:color w:val="000099"/>
              </w:rPr>
              <w:t>Zrównoważony transport na rzecz mobilności mieszkańców</w:t>
            </w:r>
          </w:p>
        </w:tc>
      </w:tr>
      <w:tr w:rsidR="00D36A60" w:rsidRPr="004A2391" w:rsidTr="00753583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D36A60" w:rsidRPr="004A2391" w:rsidRDefault="00D36A60" w:rsidP="00D36A60">
            <w:pPr>
              <w:spacing w:before="80" w:after="80"/>
              <w:rPr>
                <w:i/>
                <w:color w:val="000099"/>
              </w:rPr>
            </w:pPr>
            <w:r w:rsidRPr="004A2391">
              <w:rPr>
                <w:i/>
                <w:color w:val="000099"/>
              </w:rPr>
              <w:t xml:space="preserve">Działanie 6.1  </w:t>
            </w:r>
            <w:r w:rsidRPr="004A2391">
              <w:rPr>
                <w:rFonts w:cs="Arial"/>
                <w:b/>
                <w:i/>
                <w:color w:val="000099"/>
              </w:rPr>
              <w:t>Infrastruktura drogowa</w:t>
            </w:r>
          </w:p>
        </w:tc>
      </w:tr>
      <w:tr w:rsidR="003A499F" w:rsidRPr="004A2391" w:rsidTr="000C0A0A">
        <w:tc>
          <w:tcPr>
            <w:tcW w:w="671" w:type="dxa"/>
            <w:tcBorders>
              <w:top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1.</w:t>
            </w:r>
          </w:p>
        </w:tc>
        <w:tc>
          <w:tcPr>
            <w:tcW w:w="3142" w:type="dxa"/>
            <w:tcBorders>
              <w:top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ascii="Arial" w:eastAsia="Times New Roman" w:hAnsi="Arial"/>
                <w:color w:val="000000"/>
                <w:sz w:val="20"/>
                <w:szCs w:val="24"/>
              </w:rPr>
            </w:pPr>
            <w:r w:rsidRPr="004A2391">
              <w:rPr>
                <w:rFonts w:cs="Arial"/>
                <w:i/>
                <w:color w:val="000000"/>
                <w:sz w:val="20"/>
              </w:rPr>
              <w:t>Długość wybudowanych dróg wojewódzkich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</w:pPr>
            <w:r w:rsidRPr="004A2391">
              <w:rPr>
                <w:sz w:val="20"/>
              </w:rPr>
              <w:t>Długość wykonanego odcinka drogi wojewódzkiej po nowym śladzie lub jego odbudowa i rozbudowa</w:t>
            </w:r>
            <w:r>
              <w:rPr>
                <w:sz w:val="20"/>
              </w:rPr>
              <w:t xml:space="preserve"> wymagająca zmiany granic pasa drogowego</w:t>
            </w:r>
            <w:r w:rsidRPr="004A2391">
              <w:rPr>
                <w:sz w:val="20"/>
              </w:rPr>
              <w:t xml:space="preserve">. </w:t>
            </w:r>
          </w:p>
        </w:tc>
      </w:tr>
      <w:tr w:rsidR="003A499F" w:rsidRPr="004A2391" w:rsidTr="000C0A0A">
        <w:tc>
          <w:tcPr>
            <w:tcW w:w="671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2.</w:t>
            </w:r>
          </w:p>
        </w:tc>
        <w:tc>
          <w:tcPr>
            <w:tcW w:w="3142" w:type="dxa"/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2391">
              <w:rPr>
                <w:rFonts w:cs="Arial"/>
                <w:i/>
                <w:color w:val="000000"/>
                <w:sz w:val="20"/>
              </w:rPr>
              <w:t>Długość wybudowanych dróg powiatowych</w:t>
            </w:r>
          </w:p>
        </w:tc>
        <w:tc>
          <w:tcPr>
            <w:tcW w:w="1134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5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</w:rPr>
              <w:t>Długość wykonanego odcinka drogi powiatowej po nowym śladzie lub jego odbudowa i rozbudowa</w:t>
            </w:r>
            <w:r>
              <w:rPr>
                <w:sz w:val="20"/>
              </w:rPr>
              <w:t xml:space="preserve"> wymagająca zmiany granic pasa drogowego</w:t>
            </w:r>
            <w:r w:rsidRPr="004A2391">
              <w:rPr>
                <w:sz w:val="20"/>
              </w:rPr>
              <w:t xml:space="preserve">. </w:t>
            </w:r>
          </w:p>
        </w:tc>
      </w:tr>
      <w:tr w:rsidR="003A499F" w:rsidRPr="004A2391" w:rsidTr="000C0A0A">
        <w:tc>
          <w:tcPr>
            <w:tcW w:w="671" w:type="dxa"/>
            <w:tcBorders>
              <w:bottom w:val="single" w:sz="4" w:space="0" w:color="92D050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3</w:t>
            </w:r>
          </w:p>
        </w:tc>
        <w:tc>
          <w:tcPr>
            <w:tcW w:w="3142" w:type="dxa"/>
            <w:tcBorders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cs="Arial"/>
                <w:i/>
                <w:color w:val="000000"/>
                <w:sz w:val="20"/>
              </w:rPr>
            </w:pPr>
            <w:r w:rsidRPr="004A2391">
              <w:rPr>
                <w:rFonts w:cs="Arial"/>
                <w:i/>
                <w:color w:val="000000"/>
                <w:sz w:val="20"/>
              </w:rPr>
              <w:t>Długość wybudowanych dróg gminnych</w:t>
            </w:r>
          </w:p>
        </w:tc>
        <w:tc>
          <w:tcPr>
            <w:tcW w:w="1134" w:type="dxa"/>
            <w:tcBorders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</w:pPr>
            <w:r w:rsidRPr="004A2391">
              <w:rPr>
                <w:sz w:val="20"/>
              </w:rPr>
              <w:t>Długość wykonanego odcinka drogi gminnej po nowym śladzie lub jego odbudowa i rozbudowa</w:t>
            </w:r>
            <w:r>
              <w:rPr>
                <w:sz w:val="20"/>
              </w:rPr>
              <w:t xml:space="preserve"> wymagająca zmiany granic pasa drogowego</w:t>
            </w:r>
            <w:r w:rsidRPr="004A2391">
              <w:rPr>
                <w:sz w:val="20"/>
              </w:rPr>
              <w:t xml:space="preserve">. </w:t>
            </w:r>
          </w:p>
        </w:tc>
      </w:tr>
      <w:tr w:rsidR="003A499F" w:rsidRPr="004A2391" w:rsidTr="000C0A0A">
        <w:tc>
          <w:tcPr>
            <w:tcW w:w="671" w:type="dxa"/>
            <w:tcBorders>
              <w:top w:val="single" w:sz="4" w:space="0" w:color="92D050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4.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cs="Arial"/>
                <w:i/>
                <w:color w:val="000000"/>
                <w:sz w:val="20"/>
              </w:rPr>
            </w:pPr>
            <w:r w:rsidRPr="004A2391">
              <w:rPr>
                <w:rFonts w:cs="Arial"/>
                <w:i/>
                <w:color w:val="000000"/>
                <w:sz w:val="20"/>
              </w:rPr>
              <w:t>Długość przebudowanych dróg wojewódzkich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Wskaźnik </w:t>
            </w:r>
            <w:r>
              <w:rPr>
                <w:sz w:val="20"/>
                <w:szCs w:val="20"/>
              </w:rPr>
              <w:t>z r</w:t>
            </w:r>
            <w:r w:rsidRPr="004A2391">
              <w:rPr>
                <w:sz w:val="20"/>
                <w:szCs w:val="20"/>
              </w:rPr>
              <w:t>am wykonania</w:t>
            </w:r>
          </w:p>
        </w:tc>
        <w:tc>
          <w:tcPr>
            <w:tcW w:w="5812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</w:pPr>
            <w:r w:rsidRPr="004A2391">
              <w:rPr>
                <w:sz w:val="20"/>
              </w:rPr>
              <w:t>Długość połączenia drogowego o kategorii drogi wojewódzkiej, na od</w:t>
            </w:r>
            <w:r>
              <w:rPr>
                <w:sz w:val="20"/>
              </w:rPr>
              <w:t xml:space="preserve">cinku którego wykonano roboty, </w:t>
            </w:r>
            <w:r w:rsidRPr="004A2391">
              <w:rPr>
                <w:sz w:val="20"/>
              </w:rPr>
              <w:t xml:space="preserve">w wyniku których nastąpiło podwyższenie parametrów technicznych i eksploatacyjnych istniejącej drogi, niewymagające zmiany granic pasa drogowego. </w:t>
            </w:r>
          </w:p>
        </w:tc>
      </w:tr>
      <w:tr w:rsidR="003A499F" w:rsidRPr="004A2391" w:rsidTr="000C0A0A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5.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cs="Arial"/>
                <w:i/>
                <w:color w:val="000000"/>
                <w:sz w:val="20"/>
              </w:rPr>
            </w:pPr>
            <w:r w:rsidRPr="004A2391">
              <w:rPr>
                <w:rFonts w:cs="Arial"/>
                <w:i/>
                <w:color w:val="000000"/>
                <w:sz w:val="20"/>
              </w:rPr>
              <w:t>Długość przebudowanych dróg powiatowych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Wskaźnik </w:t>
            </w:r>
            <w:r>
              <w:rPr>
                <w:sz w:val="20"/>
                <w:szCs w:val="20"/>
              </w:rPr>
              <w:t>z r</w:t>
            </w:r>
            <w:r w:rsidRPr="004A2391">
              <w:rPr>
                <w:sz w:val="20"/>
                <w:szCs w:val="20"/>
              </w:rPr>
              <w:t>am wykonania</w:t>
            </w:r>
          </w:p>
        </w:tc>
        <w:tc>
          <w:tcPr>
            <w:tcW w:w="5812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</w:pPr>
            <w:r w:rsidRPr="004A2391">
              <w:rPr>
                <w:sz w:val="20"/>
              </w:rPr>
              <w:t>Długość połączenia drogowego o kategorii drogi powiatowej, na odcinku którego wykon</w:t>
            </w:r>
            <w:r>
              <w:rPr>
                <w:sz w:val="20"/>
              </w:rPr>
              <w:t xml:space="preserve">ano roboty, </w:t>
            </w:r>
            <w:r w:rsidRPr="004A2391">
              <w:rPr>
                <w:sz w:val="20"/>
              </w:rPr>
              <w:t xml:space="preserve">w wyniku którego nastąpiło podwyższenie parametrów technicznych i eksploatacyjnych istniejącej drogi, niewymagające zmiany granic pasa drogowego. </w:t>
            </w:r>
          </w:p>
        </w:tc>
      </w:tr>
      <w:tr w:rsidR="003A499F" w:rsidRPr="004A2391" w:rsidTr="000C0A0A">
        <w:tc>
          <w:tcPr>
            <w:tcW w:w="671" w:type="dxa"/>
            <w:tcBorders>
              <w:top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6.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cs="Arial"/>
                <w:i/>
                <w:color w:val="000000"/>
                <w:sz w:val="20"/>
              </w:rPr>
            </w:pPr>
            <w:r w:rsidRPr="004A2391">
              <w:rPr>
                <w:rFonts w:cs="Arial"/>
                <w:i/>
                <w:color w:val="000000"/>
                <w:sz w:val="20"/>
              </w:rPr>
              <w:t>Długość przebudowanych dróg gminnych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Wskaźnik </w:t>
            </w:r>
            <w:r>
              <w:rPr>
                <w:sz w:val="20"/>
                <w:szCs w:val="20"/>
              </w:rPr>
              <w:t>z r</w:t>
            </w:r>
            <w:r w:rsidRPr="004A2391">
              <w:rPr>
                <w:sz w:val="20"/>
                <w:szCs w:val="20"/>
              </w:rPr>
              <w:t>am wykonania</w:t>
            </w:r>
          </w:p>
        </w:tc>
        <w:tc>
          <w:tcPr>
            <w:tcW w:w="5812" w:type="dxa"/>
            <w:tcBorders>
              <w:top w:val="single" w:sz="4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  <w:rPr>
                <w:sz w:val="20"/>
              </w:rPr>
            </w:pPr>
            <w:r w:rsidRPr="004A2391">
              <w:rPr>
                <w:sz w:val="20"/>
              </w:rPr>
              <w:t>Długość połączenia drogowego o kategorii drogi gminnej, na odcinku którego wykonano roboty, w wyniku którego nastąpiło podwyż</w:t>
            </w:r>
            <w:r>
              <w:rPr>
                <w:sz w:val="20"/>
              </w:rPr>
              <w:t xml:space="preserve">szenie parametrów technicznych </w:t>
            </w:r>
            <w:r w:rsidRPr="004A2391">
              <w:rPr>
                <w:sz w:val="20"/>
              </w:rPr>
              <w:t xml:space="preserve">i eksploatacyjnych istniejącej drogi, niewymagające zmiany granic pasa drogowego. </w:t>
            </w:r>
          </w:p>
        </w:tc>
      </w:tr>
      <w:tr w:rsidR="003A499F" w:rsidRPr="004A2391" w:rsidTr="000C0A0A">
        <w:tc>
          <w:tcPr>
            <w:tcW w:w="671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7.</w:t>
            </w:r>
          </w:p>
        </w:tc>
        <w:tc>
          <w:tcPr>
            <w:tcW w:w="3142" w:type="dxa"/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cs="Arial"/>
                <w:i/>
                <w:color w:val="000000"/>
                <w:sz w:val="20"/>
              </w:rPr>
            </w:pPr>
            <w:r w:rsidRPr="004A2391">
              <w:rPr>
                <w:rFonts w:cs="Arial"/>
                <w:i/>
                <w:color w:val="000000"/>
                <w:sz w:val="20"/>
              </w:rPr>
              <w:t>Liczba projektów w zakresie poprawy bezpieczeństwa uczestników ruchu drogowego</w:t>
            </w:r>
            <w:r>
              <w:rPr>
                <w:rFonts w:cs="Arial"/>
                <w:i/>
                <w:color w:val="000000"/>
                <w:sz w:val="20"/>
              </w:rPr>
              <w:t>, kolejowego, morskiego i śródlądowego</w:t>
            </w:r>
          </w:p>
        </w:tc>
        <w:tc>
          <w:tcPr>
            <w:tcW w:w="1134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  <w:rPr>
                <w:sz w:val="20"/>
              </w:rPr>
            </w:pPr>
            <w:r w:rsidRPr="004A2391">
              <w:rPr>
                <w:sz w:val="20"/>
              </w:rPr>
              <w:t>Liczba projektów, których celem jest poprawa bezpieczeństwa uczestników ruchu drogowego</w:t>
            </w:r>
            <w:r>
              <w:rPr>
                <w:sz w:val="20"/>
              </w:rPr>
              <w:t>, kolejowego, morskiego i  śródlądowego.</w:t>
            </w:r>
          </w:p>
        </w:tc>
      </w:tr>
      <w:tr w:rsidR="003A499F" w:rsidRPr="004A2391" w:rsidTr="000C0A0A">
        <w:tc>
          <w:tcPr>
            <w:tcW w:w="671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8.</w:t>
            </w:r>
          </w:p>
        </w:tc>
        <w:tc>
          <w:tcPr>
            <w:tcW w:w="3142" w:type="dxa"/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cs="Arial"/>
                <w:i/>
                <w:color w:val="000000"/>
                <w:sz w:val="20"/>
              </w:rPr>
            </w:pPr>
            <w:r w:rsidRPr="004A2391">
              <w:rPr>
                <w:rFonts w:cs="Arial"/>
                <w:i/>
                <w:color w:val="000000"/>
                <w:sz w:val="20"/>
              </w:rPr>
              <w:t>Liczba wybudowanych obwodnic</w:t>
            </w:r>
          </w:p>
        </w:tc>
        <w:tc>
          <w:tcPr>
            <w:tcW w:w="1134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  <w:rPr>
                <w:i/>
                <w:color w:val="C00000"/>
                <w:sz w:val="20"/>
              </w:rPr>
            </w:pPr>
            <w:r w:rsidRPr="00743327">
              <w:rPr>
                <w:sz w:val="20"/>
              </w:rPr>
              <w:t>Obwodnic</w:t>
            </w:r>
            <w:r>
              <w:rPr>
                <w:sz w:val="20"/>
              </w:rPr>
              <w:t>a</w:t>
            </w:r>
            <w:r w:rsidRPr="00743327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Pr="00743327">
              <w:rPr>
                <w:sz w:val="20"/>
              </w:rPr>
              <w:t xml:space="preserve"> drog</w:t>
            </w:r>
            <w:r>
              <w:rPr>
                <w:sz w:val="20"/>
              </w:rPr>
              <w:t>a</w:t>
            </w:r>
            <w:r w:rsidRPr="00743327">
              <w:rPr>
                <w:sz w:val="20"/>
              </w:rPr>
              <w:t xml:space="preserve"> prowadząc</w:t>
            </w:r>
            <w:r>
              <w:rPr>
                <w:sz w:val="20"/>
              </w:rPr>
              <w:t>a</w:t>
            </w:r>
            <w:r w:rsidRPr="00743327">
              <w:rPr>
                <w:sz w:val="20"/>
              </w:rPr>
              <w:t xml:space="preserve"> wokół miasta, dzielnicy, centrum, śródmieścia,  umożliwiając</w:t>
            </w:r>
            <w:r>
              <w:rPr>
                <w:sz w:val="20"/>
              </w:rPr>
              <w:t>a</w:t>
            </w:r>
            <w:r w:rsidRPr="00743327">
              <w:rPr>
                <w:sz w:val="20"/>
              </w:rPr>
              <w:t xml:space="preserve"> pojazdom ominięcie pewnego obszaru miejskiego i odciążenie jego ulic z tranzytowego ruchu międzymiastowego, międzydzielnicowego lub międzyosiedlowego.</w:t>
            </w:r>
          </w:p>
        </w:tc>
      </w:tr>
      <w:tr w:rsidR="003A499F" w:rsidRPr="00743327" w:rsidTr="000C0A0A">
        <w:tc>
          <w:tcPr>
            <w:tcW w:w="671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9.</w:t>
            </w:r>
          </w:p>
        </w:tc>
        <w:tc>
          <w:tcPr>
            <w:tcW w:w="3142" w:type="dxa"/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2391">
              <w:rPr>
                <w:rFonts w:cs="Arial"/>
                <w:i/>
                <w:sz w:val="20"/>
              </w:rPr>
              <w:t>Długość wybudowanych obwodnic</w:t>
            </w:r>
          </w:p>
        </w:tc>
        <w:tc>
          <w:tcPr>
            <w:tcW w:w="1134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5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B3B5A">
              <w:rPr>
                <w:sz w:val="20"/>
                <w:szCs w:val="20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3A499F" w:rsidRDefault="003A499F" w:rsidP="000C0A0A">
            <w:pPr>
              <w:spacing w:before="60" w:after="60"/>
              <w:jc w:val="both"/>
              <w:rPr>
                <w:sz w:val="20"/>
              </w:rPr>
            </w:pPr>
            <w:r w:rsidRPr="00743327">
              <w:rPr>
                <w:sz w:val="20"/>
              </w:rPr>
              <w:t xml:space="preserve">Długość obwodnic w kilometrach wybudowanych po nowym śladzie, które powstały w wyniku projektu. </w:t>
            </w:r>
          </w:p>
          <w:p w:rsidR="003A499F" w:rsidRPr="00743327" w:rsidRDefault="003A499F" w:rsidP="000C0A0A">
            <w:pPr>
              <w:spacing w:before="60" w:after="60"/>
              <w:jc w:val="both"/>
              <w:rPr>
                <w:color w:val="C00000"/>
              </w:rPr>
            </w:pPr>
            <w:r w:rsidRPr="00743327">
              <w:rPr>
                <w:sz w:val="20"/>
              </w:rPr>
              <w:t>Obwodnic</w:t>
            </w:r>
            <w:r>
              <w:rPr>
                <w:sz w:val="20"/>
              </w:rPr>
              <w:t>a</w:t>
            </w:r>
            <w:r w:rsidRPr="00743327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Pr="00743327">
              <w:rPr>
                <w:sz w:val="20"/>
              </w:rPr>
              <w:t xml:space="preserve"> drog</w:t>
            </w:r>
            <w:r>
              <w:rPr>
                <w:sz w:val="20"/>
              </w:rPr>
              <w:t>a</w:t>
            </w:r>
            <w:r w:rsidRPr="00743327">
              <w:rPr>
                <w:sz w:val="20"/>
              </w:rPr>
              <w:t xml:space="preserve"> prowadząc</w:t>
            </w:r>
            <w:r>
              <w:rPr>
                <w:sz w:val="20"/>
              </w:rPr>
              <w:t>a</w:t>
            </w:r>
            <w:r w:rsidRPr="00743327">
              <w:rPr>
                <w:sz w:val="20"/>
              </w:rPr>
              <w:t xml:space="preserve"> wokół miasta, dzielnicy, centrum, śródmieścia,  umożliwiając</w:t>
            </w:r>
            <w:r>
              <w:rPr>
                <w:sz w:val="20"/>
              </w:rPr>
              <w:t>a</w:t>
            </w:r>
            <w:r w:rsidRPr="00743327">
              <w:rPr>
                <w:sz w:val="20"/>
              </w:rPr>
              <w:t xml:space="preserve"> pojazdom ominięcie pewnego obszaru miejskiego i odciążenie jego ulic z tranzytowego ruchu międzymiastowego, międzydzielnicowego lub międzyosiedlowego. </w:t>
            </w:r>
          </w:p>
        </w:tc>
      </w:tr>
      <w:tr w:rsidR="003A499F" w:rsidRPr="004A2391" w:rsidTr="000C0A0A">
        <w:tc>
          <w:tcPr>
            <w:tcW w:w="671" w:type="dxa"/>
            <w:tcBorders>
              <w:bottom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10.</w:t>
            </w:r>
          </w:p>
        </w:tc>
        <w:tc>
          <w:tcPr>
            <w:tcW w:w="3142" w:type="dxa"/>
            <w:tcBorders>
              <w:bottom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2391">
              <w:rPr>
                <w:rFonts w:cs="Arial"/>
                <w:i/>
                <w:sz w:val="20"/>
              </w:rPr>
              <w:t xml:space="preserve">Liczba przejazdów kolejowych, </w:t>
            </w:r>
            <w:r w:rsidRPr="004A2391">
              <w:rPr>
                <w:rFonts w:cs="Arial"/>
                <w:i/>
                <w:sz w:val="20"/>
              </w:rPr>
              <w:br/>
              <w:t>na których poprawiono bezpieczeństwo</w:t>
            </w:r>
          </w:p>
        </w:tc>
        <w:tc>
          <w:tcPr>
            <w:tcW w:w="1134" w:type="dxa"/>
            <w:tcBorders>
              <w:bottom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bottom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both"/>
            </w:pPr>
            <w:r w:rsidRPr="004A2391">
              <w:rPr>
                <w:sz w:val="20"/>
              </w:rPr>
              <w:t xml:space="preserve">Liczba przejazdów kolejowych, dla których, w wyniku realizacji projektu, </w:t>
            </w:r>
            <w:r>
              <w:rPr>
                <w:sz w:val="20"/>
              </w:rPr>
              <w:t xml:space="preserve">podniesiono kategorię, zgodnie </w:t>
            </w:r>
            <w:r w:rsidRPr="004A2391">
              <w:rPr>
                <w:sz w:val="20"/>
              </w:rPr>
              <w:t xml:space="preserve">z Rozporządzeniem Ministra Transportu i Gospodarki Morskiej z dnia 26 lutego 1996 r. w sprawie warunków technicznych, jakim powinny odpowiadać skrzyżowania linii kolejowych z drogami publicznymi i ich usytuowanie (Dz. U. z 1996 r. Nr 33 poz. 144 z </w:t>
            </w:r>
            <w:proofErr w:type="spellStart"/>
            <w:r w:rsidRPr="004A2391">
              <w:rPr>
                <w:sz w:val="20"/>
              </w:rPr>
              <w:t>późn</w:t>
            </w:r>
            <w:proofErr w:type="spellEnd"/>
            <w:r w:rsidRPr="004A2391">
              <w:rPr>
                <w:sz w:val="20"/>
              </w:rPr>
              <w:t>. zm.)</w:t>
            </w:r>
          </w:p>
        </w:tc>
      </w:tr>
      <w:tr w:rsidR="003A499F" w:rsidRPr="0075357F" w:rsidTr="000C0A0A">
        <w:tc>
          <w:tcPr>
            <w:tcW w:w="671" w:type="dxa"/>
            <w:tcBorders>
              <w:bottom w:val="single" w:sz="12" w:space="0" w:color="33CC33"/>
            </w:tcBorders>
            <w:vAlign w:val="center"/>
          </w:tcPr>
          <w:p w:rsidR="003A499F" w:rsidRPr="004A2391" w:rsidRDefault="003A499F" w:rsidP="000C0A0A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142" w:type="dxa"/>
            <w:tcBorders>
              <w:bottom w:val="single" w:sz="12" w:space="0" w:color="33CC33"/>
            </w:tcBorders>
            <w:vAlign w:val="center"/>
          </w:tcPr>
          <w:p w:rsidR="003A499F" w:rsidRPr="0075357F" w:rsidRDefault="003A499F" w:rsidP="000C0A0A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75357F">
              <w:rPr>
                <w:rFonts w:cs="Arial"/>
                <w:i/>
                <w:sz w:val="20"/>
              </w:rPr>
              <w:t>Udział projektu w odniesieniu do obszaru objętego programem rewitalizacji</w:t>
            </w:r>
          </w:p>
        </w:tc>
        <w:tc>
          <w:tcPr>
            <w:tcW w:w="1134" w:type="dxa"/>
            <w:tcBorders>
              <w:bottom w:val="single" w:sz="12" w:space="0" w:color="33CC33"/>
            </w:tcBorders>
            <w:vAlign w:val="center"/>
          </w:tcPr>
          <w:p w:rsidR="003A499F" w:rsidRPr="0075357F" w:rsidRDefault="003A499F" w:rsidP="000C0A0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357F">
              <w:rPr>
                <w:sz w:val="20"/>
              </w:rPr>
              <w:t>%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vAlign w:val="center"/>
          </w:tcPr>
          <w:p w:rsidR="003A499F" w:rsidRPr="0075357F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5357F">
              <w:rPr>
                <w:sz w:val="20"/>
              </w:rPr>
              <w:t>produkt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3A499F" w:rsidRPr="0075357F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5357F">
              <w:rPr>
                <w:sz w:val="20"/>
                <w:szCs w:val="20"/>
              </w:rPr>
              <w:t>specyficzny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3A499F" w:rsidRPr="0075357F" w:rsidRDefault="003A499F" w:rsidP="000C0A0A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5357F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bottom w:val="single" w:sz="12" w:space="0" w:color="33CC33"/>
            </w:tcBorders>
            <w:vAlign w:val="center"/>
          </w:tcPr>
          <w:p w:rsidR="003A499F" w:rsidRPr="0075357F" w:rsidRDefault="003A499F" w:rsidP="000C0A0A">
            <w:pPr>
              <w:shd w:val="clear" w:color="auto" w:fill="FFFFFF"/>
              <w:spacing w:before="60"/>
              <w:jc w:val="both"/>
              <w:rPr>
                <w:sz w:val="20"/>
                <w:szCs w:val="20"/>
              </w:rPr>
            </w:pPr>
            <w:r w:rsidRPr="0075357F">
              <w:rPr>
                <w:sz w:val="20"/>
                <w:szCs w:val="20"/>
              </w:rPr>
              <w:t xml:space="preserve">Wskaźnik obrazuje w jakim stopniu (%) projekt dotyczy części rewitalizacyjnej projektu. Jeżeli projekt w całości wynika </w:t>
            </w:r>
            <w:r w:rsidRPr="0075357F">
              <w:rPr>
                <w:sz w:val="20"/>
                <w:szCs w:val="20"/>
              </w:rPr>
              <w:br/>
              <w:t>z programu rewitalizacji lub ma zasięg horyzontalny, ale w całości sprofilowany jest na obszary objęte rewitalizacją to wartość wskaźnika będzie wynosiła 100%.</w:t>
            </w:r>
          </w:p>
          <w:p w:rsidR="003A499F" w:rsidRPr="0075357F" w:rsidRDefault="003A499F" w:rsidP="000C0A0A">
            <w:pPr>
              <w:shd w:val="clear" w:color="auto" w:fill="FFFFFF"/>
              <w:spacing w:before="60"/>
              <w:jc w:val="both"/>
              <w:rPr>
                <w:sz w:val="20"/>
                <w:szCs w:val="20"/>
              </w:rPr>
            </w:pPr>
            <w:r w:rsidRPr="0075357F">
              <w:rPr>
                <w:sz w:val="20"/>
                <w:szCs w:val="20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3A499F" w:rsidRPr="0075357F" w:rsidRDefault="003A499F" w:rsidP="000C0A0A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 w:rsidRPr="0075357F">
              <w:rPr>
                <w:sz w:val="20"/>
                <w:szCs w:val="20"/>
              </w:rPr>
              <w:t xml:space="preserve">Definicja programu rewitalizacji zgodnie z </w:t>
            </w:r>
            <w:r w:rsidRPr="0075357F">
              <w:rPr>
                <w:i/>
                <w:sz w:val="20"/>
                <w:szCs w:val="20"/>
              </w:rPr>
              <w:t>Wytycznymi w zakresie rewitalizacji w programach operacyjnych na lata 2014-2020</w:t>
            </w:r>
            <w:r w:rsidRPr="0075357F">
              <w:rPr>
                <w:sz w:val="20"/>
                <w:szCs w:val="20"/>
              </w:rPr>
              <w:t>.</w:t>
            </w:r>
          </w:p>
        </w:tc>
      </w:tr>
    </w:tbl>
    <w:p w:rsidR="001D3621" w:rsidRDefault="00355D2E" w:rsidP="00E151AB">
      <w:pPr>
        <w:spacing w:after="0" w:line="240" w:lineRule="auto"/>
        <w:jc w:val="both"/>
        <w:rPr>
          <w:rStyle w:val="Hipercze"/>
          <w:i/>
          <w:sz w:val="18"/>
          <w:szCs w:val="18"/>
        </w:rPr>
      </w:pPr>
      <w:r>
        <w:rPr>
          <w:b/>
          <w:sz w:val="20"/>
        </w:rPr>
        <w:t>UWAGA:</w:t>
      </w:r>
      <w:r w:rsidR="00E151AB" w:rsidRPr="00E151AB">
        <w:rPr>
          <w:sz w:val="18"/>
          <w:szCs w:val="18"/>
        </w:rPr>
        <w:t xml:space="preserve"> Dla wskaźników </w:t>
      </w:r>
      <w:proofErr w:type="spellStart"/>
      <w:r w:rsidR="00E151AB" w:rsidRPr="00E151AB">
        <w:rPr>
          <w:i/>
          <w:sz w:val="18"/>
          <w:szCs w:val="18"/>
        </w:rPr>
        <w:t>Common</w:t>
      </w:r>
      <w:proofErr w:type="spellEnd"/>
      <w:r w:rsidR="00E151AB" w:rsidRPr="00E151AB">
        <w:rPr>
          <w:i/>
          <w:sz w:val="18"/>
          <w:szCs w:val="18"/>
        </w:rPr>
        <w:t xml:space="preserve"> </w:t>
      </w:r>
      <w:proofErr w:type="spellStart"/>
      <w:r w:rsidR="00E151AB" w:rsidRPr="00E151AB">
        <w:rPr>
          <w:i/>
          <w:sz w:val="18"/>
          <w:szCs w:val="18"/>
        </w:rPr>
        <w:t>Indicators</w:t>
      </w:r>
      <w:proofErr w:type="spellEnd"/>
      <w:r w:rsidR="00E151AB" w:rsidRPr="00E151AB">
        <w:rPr>
          <w:rStyle w:val="Odwoanieprzypisudolnego"/>
          <w:sz w:val="18"/>
          <w:szCs w:val="18"/>
        </w:rPr>
        <w:footnoteReference w:id="2"/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przedstawione definicje są roboczym tłumaczeniem IZ RPO WO 2014-2020. Oryginalne definicje (w języku angielskim) znajdują się </w:t>
      </w:r>
      <w:r w:rsidR="00E151AB" w:rsidRPr="00E151AB">
        <w:rPr>
          <w:sz w:val="18"/>
          <w:szCs w:val="18"/>
        </w:rPr>
        <w:br/>
        <w:t xml:space="preserve">w dokumencie </w:t>
      </w:r>
      <w:r w:rsidR="00E151AB" w:rsidRPr="00E151AB">
        <w:rPr>
          <w:i/>
          <w:sz w:val="18"/>
          <w:szCs w:val="18"/>
        </w:rPr>
        <w:t xml:space="preserve">The </w:t>
      </w:r>
      <w:proofErr w:type="spellStart"/>
      <w:r w:rsidR="00E151AB" w:rsidRPr="00E151AB">
        <w:rPr>
          <w:i/>
          <w:sz w:val="18"/>
          <w:szCs w:val="18"/>
        </w:rPr>
        <w:t>programming</w:t>
      </w:r>
      <w:proofErr w:type="spellEnd"/>
      <w:r w:rsidR="00E151AB" w:rsidRPr="00E151AB">
        <w:rPr>
          <w:i/>
          <w:sz w:val="18"/>
          <w:szCs w:val="18"/>
        </w:rPr>
        <w:t xml:space="preserve"> period 2014-2020. </w:t>
      </w:r>
      <w:r w:rsidR="00E151AB" w:rsidRPr="00E151AB">
        <w:rPr>
          <w:i/>
          <w:sz w:val="18"/>
          <w:szCs w:val="18"/>
          <w:lang w:val="en-US"/>
        </w:rPr>
        <w:t xml:space="preserve">Guidance document on monitoring and evaluation. European Cohesion Fund. European Regional Development Fund. </w:t>
      </w:r>
      <w:proofErr w:type="spellStart"/>
      <w:r w:rsidR="00E151AB" w:rsidRPr="00E151AB">
        <w:rPr>
          <w:i/>
          <w:sz w:val="18"/>
          <w:szCs w:val="18"/>
        </w:rPr>
        <w:t>Concepts</w:t>
      </w:r>
      <w:proofErr w:type="spellEnd"/>
      <w:r w:rsidR="00E151AB" w:rsidRPr="00E151AB">
        <w:rPr>
          <w:i/>
          <w:sz w:val="18"/>
          <w:szCs w:val="18"/>
        </w:rPr>
        <w:t xml:space="preserve"> and </w:t>
      </w:r>
      <w:proofErr w:type="spellStart"/>
      <w:r w:rsidR="00E151AB" w:rsidRPr="00E151AB">
        <w:rPr>
          <w:i/>
          <w:sz w:val="18"/>
          <w:szCs w:val="18"/>
        </w:rPr>
        <w:t>Recommendations</w:t>
      </w:r>
      <w:proofErr w:type="spellEnd"/>
      <w:r w:rsidR="00E151AB" w:rsidRPr="00E151AB">
        <w:rPr>
          <w:i/>
          <w:sz w:val="18"/>
          <w:szCs w:val="18"/>
        </w:rPr>
        <w:t>. March 2014</w:t>
      </w:r>
      <w:r w:rsidR="00E151AB" w:rsidRPr="00E151AB">
        <w:rPr>
          <w:sz w:val="18"/>
          <w:szCs w:val="18"/>
        </w:rPr>
        <w:t>,</w:t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dostępnym na stronie internetowej Komisji Europejskiej: </w:t>
      </w:r>
      <w:hyperlink r:id="rId9" w:anchor="1" w:history="1">
        <w:r w:rsidR="00E151AB" w:rsidRPr="00E151AB">
          <w:rPr>
            <w:rStyle w:val="Hipercze"/>
            <w:i/>
            <w:sz w:val="18"/>
            <w:szCs w:val="18"/>
          </w:rPr>
          <w:t>http://ec.europa.eu/regional_policy/pl/policy/evaluations/guidance/#1</w:t>
        </w:r>
      </w:hyperlink>
    </w:p>
    <w:p w:rsidR="009B01C1" w:rsidRDefault="009B01C1" w:rsidP="00E151AB">
      <w:pPr>
        <w:spacing w:after="0" w:line="240" w:lineRule="auto"/>
        <w:jc w:val="both"/>
        <w:rPr>
          <w:rStyle w:val="Hipercze"/>
          <w:i/>
          <w:sz w:val="18"/>
          <w:szCs w:val="18"/>
        </w:rPr>
      </w:pPr>
    </w:p>
    <w:p w:rsidR="009B01C1" w:rsidRDefault="009B01C1" w:rsidP="00E151AB">
      <w:pPr>
        <w:spacing w:after="0" w:line="240" w:lineRule="auto"/>
        <w:jc w:val="both"/>
        <w:rPr>
          <w:rStyle w:val="Hipercze"/>
          <w:i/>
          <w:sz w:val="18"/>
          <w:szCs w:val="18"/>
        </w:rPr>
      </w:pPr>
    </w:p>
    <w:p w:rsidR="009B01C1" w:rsidRPr="001A06D8" w:rsidRDefault="009B01C1" w:rsidP="009B01C1">
      <w:pPr>
        <w:spacing w:after="120" w:line="240" w:lineRule="auto"/>
        <w:jc w:val="both"/>
        <w:rPr>
          <w:sz w:val="20"/>
        </w:rPr>
      </w:pPr>
      <w:r w:rsidRPr="003A499F">
        <w:rPr>
          <w:sz w:val="20"/>
        </w:rPr>
        <w:t xml:space="preserve">W ramach działania 6.1 jeden wskaźnik realizuje ramy wykonania tj. </w:t>
      </w:r>
      <w:r w:rsidRPr="003A499F">
        <w:rPr>
          <w:rFonts w:eastAsia="Times New Roman" w:cs="Arial"/>
          <w:b/>
          <w:bCs/>
          <w:i/>
          <w:sz w:val="20"/>
        </w:rPr>
        <w:t>Całkowita długość przebudowanych lub zmodernizowanych dróg.</w:t>
      </w:r>
      <w:r w:rsidRPr="003A499F">
        <w:rPr>
          <w:sz w:val="20"/>
        </w:rPr>
        <w:t xml:space="preserve"> W kryterium merytorycznym szczegółowym (punktowanym) nr 4 </w:t>
      </w:r>
      <w:r w:rsidRPr="003A499F">
        <w:rPr>
          <w:i/>
          <w:sz w:val="20"/>
        </w:rPr>
        <w:t>Projekt realizuje wskaźnik z ram wykonania</w:t>
      </w:r>
      <w:r w:rsidRPr="003A499F">
        <w:rPr>
          <w:sz w:val="20"/>
        </w:rPr>
        <w:t>, wnioskodawca może otrzymać maksymalnie 4 punkty za realizację wskaźnika z ram wykonania, bez względu na liczbę wybranych wskaźników składowych.</w:t>
      </w:r>
    </w:p>
    <w:p w:rsidR="009B01C1" w:rsidRPr="00E151AB" w:rsidRDefault="009B01C1" w:rsidP="00E151AB">
      <w:pPr>
        <w:spacing w:after="0" w:line="240" w:lineRule="auto"/>
        <w:jc w:val="both"/>
        <w:rPr>
          <w:sz w:val="18"/>
          <w:szCs w:val="18"/>
        </w:rPr>
      </w:pPr>
    </w:p>
    <w:sectPr w:rsidR="009B01C1" w:rsidRPr="00E151AB" w:rsidSect="00E151AB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60" w:rsidRDefault="00D36A60" w:rsidP="00A11280">
      <w:pPr>
        <w:spacing w:after="0" w:line="240" w:lineRule="auto"/>
      </w:pPr>
      <w:r>
        <w:separator/>
      </w:r>
    </w:p>
  </w:endnote>
  <w:endnote w:type="continuationSeparator" w:id="0">
    <w:p w:rsidR="00D36A60" w:rsidRDefault="00D36A60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:rsidR="00D36A60" w:rsidRPr="00D47A5A" w:rsidRDefault="00D36A60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FC1AE6">
          <w:rPr>
            <w:noProof/>
            <w:sz w:val="20"/>
          </w:rPr>
          <w:t>11</w:t>
        </w:r>
        <w:r w:rsidRPr="00D47A5A">
          <w:rPr>
            <w:sz w:val="20"/>
          </w:rPr>
          <w:fldChar w:fldCharType="end"/>
        </w:r>
      </w:p>
    </w:sdtContent>
  </w:sdt>
  <w:p w:rsidR="00D36A60" w:rsidRDefault="00D36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60" w:rsidRDefault="00D36A60" w:rsidP="00A11280">
      <w:pPr>
        <w:spacing w:after="0" w:line="240" w:lineRule="auto"/>
      </w:pPr>
      <w:r>
        <w:separator/>
      </w:r>
    </w:p>
  </w:footnote>
  <w:footnote w:type="continuationSeparator" w:id="0">
    <w:p w:rsidR="00D36A60" w:rsidRDefault="00D36A60" w:rsidP="00A11280">
      <w:pPr>
        <w:spacing w:after="0" w:line="240" w:lineRule="auto"/>
      </w:pPr>
      <w:r>
        <w:continuationSeparator/>
      </w:r>
    </w:p>
  </w:footnote>
  <w:footnote w:id="1">
    <w:p w:rsidR="003A499F" w:rsidRPr="00137AD2" w:rsidRDefault="003A499F" w:rsidP="003A499F">
      <w:pPr>
        <w:pStyle w:val="Tekstprzypisudolnego"/>
      </w:pPr>
      <w:r>
        <w:rPr>
          <w:rStyle w:val="Odwoanieprzypisudolnego"/>
        </w:rPr>
        <w:footnoteRef/>
      </w:r>
      <w:r>
        <w:t xml:space="preserve"> Wskaźniki 5, 5a i 5b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D36A60" w:rsidRDefault="00D36A60" w:rsidP="00E151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Są to wskaźniki określone w Załączniku I do </w:t>
      </w:r>
      <w:r>
        <w:rPr>
          <w:i/>
          <w:sz w:val="18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60" w:rsidRDefault="00D36A60" w:rsidP="00964523">
    <w:pPr>
      <w:pStyle w:val="Nagwek"/>
      <w:jc w:val="right"/>
    </w:pPr>
    <w:r w:rsidRPr="0035163A">
      <w:rPr>
        <w:i/>
        <w:iCs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BC" w:rsidRPr="006B0E81" w:rsidRDefault="00D36A60" w:rsidP="00313EBC">
    <w:pPr>
      <w:spacing w:after="0" w:line="240" w:lineRule="auto"/>
      <w:jc w:val="right"/>
      <w:rPr>
        <w:rFonts w:eastAsiaTheme="minorHAnsi"/>
        <w:b/>
        <w:i/>
        <w:sz w:val="20"/>
        <w:szCs w:val="24"/>
        <w:lang w:eastAsia="en-US"/>
      </w:rPr>
    </w:pPr>
    <w:r w:rsidRPr="004A2391">
      <w:rPr>
        <w:i/>
        <w:iCs/>
      </w:rPr>
      <w:t xml:space="preserve">  </w:t>
    </w:r>
  </w:p>
  <w:p w:rsidR="00313EBC" w:rsidRPr="006B0E81" w:rsidRDefault="00313EBC" w:rsidP="00313EBC">
    <w:pPr>
      <w:spacing w:after="0" w:line="240" w:lineRule="auto"/>
      <w:jc w:val="right"/>
      <w:rPr>
        <w:rFonts w:eastAsiaTheme="minorHAnsi"/>
        <w:i/>
        <w:sz w:val="20"/>
        <w:szCs w:val="24"/>
        <w:lang w:eastAsia="en-US"/>
      </w:rPr>
    </w:pPr>
    <w:r w:rsidRPr="006B0E81">
      <w:rPr>
        <w:rFonts w:eastAsiaTheme="minorHAnsi"/>
        <w:b/>
        <w:i/>
        <w:sz w:val="20"/>
        <w:szCs w:val="24"/>
        <w:lang w:eastAsia="en-US"/>
      </w:rPr>
      <w:t xml:space="preserve">Załącznik nr </w:t>
    </w:r>
    <w:r w:rsidR="00B842B8">
      <w:rPr>
        <w:rFonts w:eastAsiaTheme="minorHAnsi"/>
        <w:b/>
        <w:i/>
        <w:sz w:val="20"/>
        <w:szCs w:val="24"/>
        <w:lang w:eastAsia="en-US"/>
      </w:rPr>
      <w:t>8</w:t>
    </w:r>
    <w:r w:rsidRPr="006B0E81">
      <w:rPr>
        <w:rFonts w:eastAsiaTheme="minorHAnsi"/>
        <w:b/>
        <w:i/>
        <w:sz w:val="20"/>
        <w:szCs w:val="24"/>
        <w:lang w:eastAsia="en-US"/>
      </w:rPr>
      <w:t xml:space="preserve"> </w:t>
    </w:r>
    <w:r w:rsidRPr="006B0E81">
      <w:rPr>
        <w:rFonts w:eastAsiaTheme="minorHAnsi"/>
        <w:i/>
        <w:sz w:val="20"/>
        <w:szCs w:val="24"/>
        <w:lang w:eastAsia="en-US"/>
      </w:rPr>
      <w:t xml:space="preserve">do </w:t>
    </w:r>
    <w:r w:rsidR="00B842B8" w:rsidRPr="00B842B8">
      <w:rPr>
        <w:rFonts w:eastAsiaTheme="minorHAnsi"/>
        <w:i/>
        <w:sz w:val="20"/>
        <w:szCs w:val="24"/>
        <w:lang w:eastAsia="en-US"/>
      </w:rPr>
      <w:t>Regulaminu konkursu</w:t>
    </w:r>
    <w:r w:rsidR="00B842B8">
      <w:rPr>
        <w:rFonts w:eastAsiaTheme="minorHAnsi"/>
        <w:i/>
        <w:sz w:val="20"/>
        <w:szCs w:val="24"/>
        <w:u w:val="single"/>
        <w:lang w:eastAsia="en-US"/>
      </w:rPr>
      <w:t xml:space="preserve"> </w:t>
    </w:r>
    <w:r w:rsidRPr="006B0E81">
      <w:rPr>
        <w:rFonts w:eastAsiaTheme="minorHAnsi"/>
        <w:i/>
        <w:sz w:val="20"/>
        <w:szCs w:val="24"/>
        <w:lang w:eastAsia="en-US"/>
      </w:rPr>
      <w:t xml:space="preserve"> </w:t>
    </w:r>
  </w:p>
  <w:p w:rsidR="00313EBC" w:rsidRPr="006B0E81" w:rsidRDefault="00B842B8" w:rsidP="00313EBC">
    <w:pPr>
      <w:spacing w:after="0" w:line="240" w:lineRule="auto"/>
      <w:jc w:val="right"/>
      <w:rPr>
        <w:rFonts w:eastAsiaTheme="minorHAnsi"/>
        <w:i/>
        <w:sz w:val="20"/>
        <w:szCs w:val="24"/>
        <w:u w:val="single"/>
        <w:lang w:eastAsia="en-US"/>
      </w:rPr>
    </w:pPr>
    <w:r>
      <w:rPr>
        <w:rFonts w:eastAsia="Calibri"/>
        <w:i/>
        <w:noProof/>
        <w:sz w:val="20"/>
        <w:szCs w:val="24"/>
      </w:rPr>
      <w:t>Działanie</w:t>
    </w:r>
    <w:r w:rsidR="006C17C5">
      <w:rPr>
        <w:rFonts w:eastAsia="Calibri"/>
        <w:i/>
        <w:noProof/>
        <w:sz w:val="20"/>
        <w:szCs w:val="24"/>
      </w:rPr>
      <w:t xml:space="preserve"> </w:t>
    </w:r>
    <w:r w:rsidR="009B01C1">
      <w:rPr>
        <w:rFonts w:eastAsia="Calibri"/>
        <w:i/>
        <w:noProof/>
        <w:sz w:val="20"/>
        <w:szCs w:val="24"/>
      </w:rPr>
      <w:t>6.1</w:t>
    </w:r>
    <w:r w:rsidR="00313EBC">
      <w:rPr>
        <w:rFonts w:eastAsia="Calibri"/>
        <w:i/>
        <w:noProof/>
        <w:sz w:val="20"/>
        <w:szCs w:val="24"/>
      </w:rPr>
      <w:t xml:space="preserve"> Infrastruktura </w:t>
    </w:r>
    <w:r w:rsidR="009B01C1">
      <w:rPr>
        <w:rFonts w:eastAsia="Calibri"/>
        <w:i/>
        <w:noProof/>
        <w:sz w:val="20"/>
        <w:szCs w:val="24"/>
      </w:rPr>
      <w:t>drogowa</w:t>
    </w:r>
    <w:r w:rsidR="003A499F">
      <w:rPr>
        <w:rFonts w:eastAsia="Calibri"/>
        <w:i/>
        <w:noProof/>
        <w:sz w:val="20"/>
        <w:szCs w:val="24"/>
      </w:rPr>
      <w:t xml:space="preserve"> </w:t>
    </w:r>
    <w:r>
      <w:rPr>
        <w:rFonts w:eastAsiaTheme="minorHAnsi"/>
        <w:i/>
        <w:sz w:val="20"/>
        <w:szCs w:val="24"/>
        <w:lang w:eastAsia="en-US"/>
      </w:rPr>
      <w:t>RPO WO 2014-2020 Nabór VI</w:t>
    </w:r>
  </w:p>
  <w:p w:rsidR="00313EBC" w:rsidRPr="006B0E81" w:rsidRDefault="00313EBC" w:rsidP="00313EBC">
    <w:pPr>
      <w:tabs>
        <w:tab w:val="center" w:pos="4536"/>
        <w:tab w:val="right" w:pos="9072"/>
      </w:tabs>
      <w:jc w:val="right"/>
      <w:rPr>
        <w:rFonts w:ascii="Times New Roman" w:eastAsia="Calibri" w:hAnsi="Times New Roman"/>
        <w:sz w:val="24"/>
        <w:szCs w:val="20"/>
        <w:lang w:eastAsia="x-none"/>
      </w:rPr>
    </w:pPr>
    <w:r w:rsidRPr="006B0E81">
      <w:rPr>
        <w:rFonts w:eastAsia="Calibri"/>
        <w:i/>
        <w:sz w:val="20"/>
        <w:lang w:eastAsia="en-US"/>
      </w:rPr>
      <w:tab/>
    </w:r>
    <w:r w:rsidRPr="006B0E81">
      <w:rPr>
        <w:rFonts w:eastAsia="Calibri"/>
        <w:i/>
        <w:sz w:val="20"/>
        <w:lang w:eastAsia="en-US"/>
      </w:rPr>
      <w:tab/>
      <w:t xml:space="preserve">                                                                                                                                         </w:t>
    </w:r>
    <w:r w:rsidR="00B842B8">
      <w:rPr>
        <w:rFonts w:eastAsia="Calibri"/>
        <w:i/>
        <w:sz w:val="20"/>
        <w:lang w:eastAsia="en-US"/>
      </w:rPr>
      <w:t>Wersja 1, listopad</w:t>
    </w:r>
    <w:r w:rsidRPr="006B0E81">
      <w:rPr>
        <w:rFonts w:eastAsia="Calibri"/>
        <w:i/>
        <w:sz w:val="20"/>
        <w:lang w:eastAsia="en-US"/>
      </w:rPr>
      <w:t xml:space="preserve"> 201</w:t>
    </w:r>
    <w:r>
      <w:rPr>
        <w:rFonts w:eastAsia="Calibri"/>
        <w:i/>
        <w:sz w:val="20"/>
        <w:lang w:eastAsia="en-US"/>
      </w:rPr>
      <w:t>7</w:t>
    </w:r>
    <w:r w:rsidRPr="006B0E81">
      <w:rPr>
        <w:rFonts w:eastAsia="Calibri"/>
        <w:i/>
        <w:sz w:val="20"/>
        <w:lang w:eastAsia="en-US"/>
      </w:rPr>
      <w:t xml:space="preserve"> r.</w:t>
    </w:r>
  </w:p>
  <w:p w:rsidR="00D36A60" w:rsidRDefault="00D36A60" w:rsidP="00313EBC">
    <w:pPr>
      <w:pStyle w:val="Nagwek"/>
      <w:ind w:left="5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2"/>
  </w:num>
  <w:num w:numId="5">
    <w:abstractNumId w:val="21"/>
  </w:num>
  <w:num w:numId="6">
    <w:abstractNumId w:val="19"/>
  </w:num>
  <w:num w:numId="7">
    <w:abstractNumId w:val="17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8"/>
  </w:num>
  <w:num w:numId="22">
    <w:abstractNumId w:val="1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494"/>
    <w:rsid w:val="00011B8E"/>
    <w:rsid w:val="00015583"/>
    <w:rsid w:val="00015DEA"/>
    <w:rsid w:val="000168FD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513EE"/>
    <w:rsid w:val="0005308B"/>
    <w:rsid w:val="00055EE7"/>
    <w:rsid w:val="00056BBD"/>
    <w:rsid w:val="00057063"/>
    <w:rsid w:val="00057CCC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34FA"/>
    <w:rsid w:val="000A4AD5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521A"/>
    <w:rsid w:val="000E5944"/>
    <w:rsid w:val="000E67E8"/>
    <w:rsid w:val="000E7D3B"/>
    <w:rsid w:val="000F6829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ED6"/>
    <w:rsid w:val="001657A9"/>
    <w:rsid w:val="0016785D"/>
    <w:rsid w:val="0017178D"/>
    <w:rsid w:val="00173EA5"/>
    <w:rsid w:val="00177EA4"/>
    <w:rsid w:val="0018259B"/>
    <w:rsid w:val="00195DF3"/>
    <w:rsid w:val="00195E0A"/>
    <w:rsid w:val="001A2230"/>
    <w:rsid w:val="001A32D2"/>
    <w:rsid w:val="001A7097"/>
    <w:rsid w:val="001C0B0B"/>
    <w:rsid w:val="001D2995"/>
    <w:rsid w:val="001D2DFD"/>
    <w:rsid w:val="001D3621"/>
    <w:rsid w:val="001D577F"/>
    <w:rsid w:val="001D5EF7"/>
    <w:rsid w:val="001E3C79"/>
    <w:rsid w:val="001E4C2E"/>
    <w:rsid w:val="001F0F03"/>
    <w:rsid w:val="001F7D62"/>
    <w:rsid w:val="002000C8"/>
    <w:rsid w:val="00203C38"/>
    <w:rsid w:val="0020483D"/>
    <w:rsid w:val="00205CB0"/>
    <w:rsid w:val="00207688"/>
    <w:rsid w:val="00207D6F"/>
    <w:rsid w:val="00215234"/>
    <w:rsid w:val="002165B4"/>
    <w:rsid w:val="002165FB"/>
    <w:rsid w:val="00216A64"/>
    <w:rsid w:val="002174D7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0106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E195D"/>
    <w:rsid w:val="002E41A2"/>
    <w:rsid w:val="002E44DF"/>
    <w:rsid w:val="002E46F4"/>
    <w:rsid w:val="002F24F9"/>
    <w:rsid w:val="002F3149"/>
    <w:rsid w:val="002F33BC"/>
    <w:rsid w:val="003073B4"/>
    <w:rsid w:val="00307EDB"/>
    <w:rsid w:val="003139D0"/>
    <w:rsid w:val="00313EBC"/>
    <w:rsid w:val="00320459"/>
    <w:rsid w:val="003317C9"/>
    <w:rsid w:val="0033221C"/>
    <w:rsid w:val="00335B0D"/>
    <w:rsid w:val="003414F1"/>
    <w:rsid w:val="00342EC8"/>
    <w:rsid w:val="00350F73"/>
    <w:rsid w:val="0035163A"/>
    <w:rsid w:val="00355D2E"/>
    <w:rsid w:val="00357688"/>
    <w:rsid w:val="0036037A"/>
    <w:rsid w:val="00365665"/>
    <w:rsid w:val="00367BF2"/>
    <w:rsid w:val="00370E0C"/>
    <w:rsid w:val="00377C57"/>
    <w:rsid w:val="00386AE6"/>
    <w:rsid w:val="00392470"/>
    <w:rsid w:val="00392E28"/>
    <w:rsid w:val="00394920"/>
    <w:rsid w:val="00396A00"/>
    <w:rsid w:val="003A0EBC"/>
    <w:rsid w:val="003A1F2D"/>
    <w:rsid w:val="003A499F"/>
    <w:rsid w:val="003B30A8"/>
    <w:rsid w:val="003B3940"/>
    <w:rsid w:val="003B4F9A"/>
    <w:rsid w:val="003C02D6"/>
    <w:rsid w:val="003C6DBA"/>
    <w:rsid w:val="003D2FB7"/>
    <w:rsid w:val="003D4DB5"/>
    <w:rsid w:val="003D5950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566"/>
    <w:rsid w:val="004515CA"/>
    <w:rsid w:val="004578AB"/>
    <w:rsid w:val="00460BDF"/>
    <w:rsid w:val="00461960"/>
    <w:rsid w:val="004620F2"/>
    <w:rsid w:val="004659A1"/>
    <w:rsid w:val="00465E01"/>
    <w:rsid w:val="00471C14"/>
    <w:rsid w:val="00472925"/>
    <w:rsid w:val="004778B0"/>
    <w:rsid w:val="00477932"/>
    <w:rsid w:val="00477BEF"/>
    <w:rsid w:val="004804E3"/>
    <w:rsid w:val="0048092C"/>
    <w:rsid w:val="00482E2D"/>
    <w:rsid w:val="00485CA1"/>
    <w:rsid w:val="0048606E"/>
    <w:rsid w:val="004932C9"/>
    <w:rsid w:val="00495F8C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3FEA"/>
    <w:rsid w:val="004D48D9"/>
    <w:rsid w:val="004E1993"/>
    <w:rsid w:val="004E311C"/>
    <w:rsid w:val="004E5215"/>
    <w:rsid w:val="004E5F90"/>
    <w:rsid w:val="004F4063"/>
    <w:rsid w:val="004F6E63"/>
    <w:rsid w:val="004F6F1C"/>
    <w:rsid w:val="004F7079"/>
    <w:rsid w:val="004F79CB"/>
    <w:rsid w:val="00502D5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14CC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30DE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12750"/>
    <w:rsid w:val="00617E85"/>
    <w:rsid w:val="00625468"/>
    <w:rsid w:val="00627DDB"/>
    <w:rsid w:val="0063106F"/>
    <w:rsid w:val="0063254B"/>
    <w:rsid w:val="00635E43"/>
    <w:rsid w:val="00640991"/>
    <w:rsid w:val="0064192E"/>
    <w:rsid w:val="00641F8D"/>
    <w:rsid w:val="0065404E"/>
    <w:rsid w:val="00657EC9"/>
    <w:rsid w:val="006621DF"/>
    <w:rsid w:val="00662786"/>
    <w:rsid w:val="00662B00"/>
    <w:rsid w:val="00670B55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7F4"/>
    <w:rsid w:val="006A3A60"/>
    <w:rsid w:val="006A44E5"/>
    <w:rsid w:val="006A6510"/>
    <w:rsid w:val="006A7698"/>
    <w:rsid w:val="006A7E5A"/>
    <w:rsid w:val="006B0AD6"/>
    <w:rsid w:val="006B0EDE"/>
    <w:rsid w:val="006B13AA"/>
    <w:rsid w:val="006B6D0A"/>
    <w:rsid w:val="006B6E11"/>
    <w:rsid w:val="006B6E44"/>
    <w:rsid w:val="006C1039"/>
    <w:rsid w:val="006C178D"/>
    <w:rsid w:val="006C17C5"/>
    <w:rsid w:val="006C452F"/>
    <w:rsid w:val="006C54F1"/>
    <w:rsid w:val="006D162A"/>
    <w:rsid w:val="006D307B"/>
    <w:rsid w:val="006D6C70"/>
    <w:rsid w:val="006F1B2C"/>
    <w:rsid w:val="006F42E6"/>
    <w:rsid w:val="006F57DD"/>
    <w:rsid w:val="006F5963"/>
    <w:rsid w:val="00700637"/>
    <w:rsid w:val="00702EF1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2197A"/>
    <w:rsid w:val="00722E29"/>
    <w:rsid w:val="00723497"/>
    <w:rsid w:val="00725343"/>
    <w:rsid w:val="007315C9"/>
    <w:rsid w:val="007317B9"/>
    <w:rsid w:val="00733355"/>
    <w:rsid w:val="00735631"/>
    <w:rsid w:val="00735B8E"/>
    <w:rsid w:val="0074087F"/>
    <w:rsid w:val="007411F6"/>
    <w:rsid w:val="00742DC9"/>
    <w:rsid w:val="00743327"/>
    <w:rsid w:val="007435C8"/>
    <w:rsid w:val="0075259A"/>
    <w:rsid w:val="00753583"/>
    <w:rsid w:val="00761C40"/>
    <w:rsid w:val="00761E9C"/>
    <w:rsid w:val="007622B2"/>
    <w:rsid w:val="0076425E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76AB5"/>
    <w:rsid w:val="00881365"/>
    <w:rsid w:val="00881689"/>
    <w:rsid w:val="00883C42"/>
    <w:rsid w:val="00886741"/>
    <w:rsid w:val="00892C10"/>
    <w:rsid w:val="00892C4D"/>
    <w:rsid w:val="008950B0"/>
    <w:rsid w:val="008971CC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04A6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00B40"/>
    <w:rsid w:val="0091369F"/>
    <w:rsid w:val="00914AB9"/>
    <w:rsid w:val="009225BC"/>
    <w:rsid w:val="00926866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66F06"/>
    <w:rsid w:val="009731A6"/>
    <w:rsid w:val="0097558C"/>
    <w:rsid w:val="009757CF"/>
    <w:rsid w:val="00975C0F"/>
    <w:rsid w:val="00975D45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4E00"/>
    <w:rsid w:val="009A4E3E"/>
    <w:rsid w:val="009B01C1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21B3F"/>
    <w:rsid w:val="00A21E6D"/>
    <w:rsid w:val="00A22820"/>
    <w:rsid w:val="00A2382C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539C"/>
    <w:rsid w:val="00A55607"/>
    <w:rsid w:val="00A566FE"/>
    <w:rsid w:val="00A56BFA"/>
    <w:rsid w:val="00A610C3"/>
    <w:rsid w:val="00A64DF5"/>
    <w:rsid w:val="00A67684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877BA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7D5D"/>
    <w:rsid w:val="00AD36BA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8092F"/>
    <w:rsid w:val="00B816C0"/>
    <w:rsid w:val="00B842B8"/>
    <w:rsid w:val="00B86856"/>
    <w:rsid w:val="00B901DE"/>
    <w:rsid w:val="00B9288D"/>
    <w:rsid w:val="00B95CC5"/>
    <w:rsid w:val="00BA057E"/>
    <w:rsid w:val="00BA3F96"/>
    <w:rsid w:val="00BB359B"/>
    <w:rsid w:val="00BB3B5A"/>
    <w:rsid w:val="00BC14B8"/>
    <w:rsid w:val="00BC52C6"/>
    <w:rsid w:val="00BC6511"/>
    <w:rsid w:val="00BC7EE3"/>
    <w:rsid w:val="00BD1809"/>
    <w:rsid w:val="00BD3741"/>
    <w:rsid w:val="00BD623F"/>
    <w:rsid w:val="00BE1108"/>
    <w:rsid w:val="00BE34E0"/>
    <w:rsid w:val="00BE78D2"/>
    <w:rsid w:val="00BF0CA3"/>
    <w:rsid w:val="00BF3654"/>
    <w:rsid w:val="00BF5BE4"/>
    <w:rsid w:val="00C013F9"/>
    <w:rsid w:val="00C04951"/>
    <w:rsid w:val="00C05E3B"/>
    <w:rsid w:val="00C13E93"/>
    <w:rsid w:val="00C169AD"/>
    <w:rsid w:val="00C229BF"/>
    <w:rsid w:val="00C23DD6"/>
    <w:rsid w:val="00C3041C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445E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C3EFB"/>
    <w:rsid w:val="00CD24D6"/>
    <w:rsid w:val="00CD4756"/>
    <w:rsid w:val="00CD784C"/>
    <w:rsid w:val="00CE045F"/>
    <w:rsid w:val="00CE0CF8"/>
    <w:rsid w:val="00CE24BD"/>
    <w:rsid w:val="00CE4515"/>
    <w:rsid w:val="00CE7C90"/>
    <w:rsid w:val="00CE7C94"/>
    <w:rsid w:val="00CF1305"/>
    <w:rsid w:val="00CF3A1F"/>
    <w:rsid w:val="00CF63B0"/>
    <w:rsid w:val="00D01C11"/>
    <w:rsid w:val="00D06A27"/>
    <w:rsid w:val="00D07AF4"/>
    <w:rsid w:val="00D10227"/>
    <w:rsid w:val="00D109D2"/>
    <w:rsid w:val="00D15791"/>
    <w:rsid w:val="00D21207"/>
    <w:rsid w:val="00D26BE8"/>
    <w:rsid w:val="00D27432"/>
    <w:rsid w:val="00D307DB"/>
    <w:rsid w:val="00D30972"/>
    <w:rsid w:val="00D34A8D"/>
    <w:rsid w:val="00D36A60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A1CBC"/>
    <w:rsid w:val="00DA64DA"/>
    <w:rsid w:val="00DB5184"/>
    <w:rsid w:val="00DB5AA4"/>
    <w:rsid w:val="00DB5E30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51AB"/>
    <w:rsid w:val="00E152F7"/>
    <w:rsid w:val="00E1605C"/>
    <w:rsid w:val="00E21CC8"/>
    <w:rsid w:val="00E2310F"/>
    <w:rsid w:val="00E24B44"/>
    <w:rsid w:val="00E267B7"/>
    <w:rsid w:val="00E26B68"/>
    <w:rsid w:val="00E27129"/>
    <w:rsid w:val="00E30318"/>
    <w:rsid w:val="00E31654"/>
    <w:rsid w:val="00E32317"/>
    <w:rsid w:val="00E34FD6"/>
    <w:rsid w:val="00E41444"/>
    <w:rsid w:val="00E43283"/>
    <w:rsid w:val="00E43E7A"/>
    <w:rsid w:val="00E47908"/>
    <w:rsid w:val="00E503EA"/>
    <w:rsid w:val="00E50DE7"/>
    <w:rsid w:val="00E51454"/>
    <w:rsid w:val="00E572EF"/>
    <w:rsid w:val="00E61D0D"/>
    <w:rsid w:val="00E63D0A"/>
    <w:rsid w:val="00E652A8"/>
    <w:rsid w:val="00E76D66"/>
    <w:rsid w:val="00E80B69"/>
    <w:rsid w:val="00E858A9"/>
    <w:rsid w:val="00E907E9"/>
    <w:rsid w:val="00E91CF9"/>
    <w:rsid w:val="00E937B1"/>
    <w:rsid w:val="00E9729C"/>
    <w:rsid w:val="00E97FDF"/>
    <w:rsid w:val="00EC77B0"/>
    <w:rsid w:val="00ED1091"/>
    <w:rsid w:val="00ED2D0B"/>
    <w:rsid w:val="00ED303E"/>
    <w:rsid w:val="00EF2909"/>
    <w:rsid w:val="00EF3F8F"/>
    <w:rsid w:val="00EF46B8"/>
    <w:rsid w:val="00F00ADF"/>
    <w:rsid w:val="00F122C5"/>
    <w:rsid w:val="00F149AD"/>
    <w:rsid w:val="00F174E4"/>
    <w:rsid w:val="00F26B43"/>
    <w:rsid w:val="00F304F8"/>
    <w:rsid w:val="00F308AB"/>
    <w:rsid w:val="00F340A2"/>
    <w:rsid w:val="00F353FE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758"/>
    <w:rsid w:val="00F90331"/>
    <w:rsid w:val="00FA1A10"/>
    <w:rsid w:val="00FA4398"/>
    <w:rsid w:val="00FB3A48"/>
    <w:rsid w:val="00FB3CFD"/>
    <w:rsid w:val="00FB43CA"/>
    <w:rsid w:val="00FC1AE6"/>
    <w:rsid w:val="00FD1342"/>
    <w:rsid w:val="00FD3825"/>
    <w:rsid w:val="00FD3D46"/>
    <w:rsid w:val="00FD4489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basedOn w:val="Normalny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99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A977-F6AB-427F-AA5B-732ADE62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2537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Małgorzata Kasperkiewicz</cp:lastModifiedBy>
  <cp:revision>17</cp:revision>
  <cp:lastPrinted>2017-01-10T08:14:00Z</cp:lastPrinted>
  <dcterms:created xsi:type="dcterms:W3CDTF">2017-05-30T12:21:00Z</dcterms:created>
  <dcterms:modified xsi:type="dcterms:W3CDTF">2017-10-31T12:05:00Z</dcterms:modified>
</cp:coreProperties>
</file>