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C5" w:rsidRDefault="0065536F" w:rsidP="0065536F">
      <w:pPr>
        <w:jc w:val="center"/>
        <w:rPr>
          <w:b/>
        </w:rPr>
      </w:pPr>
      <w:r w:rsidRPr="001C3958">
        <w:rPr>
          <w:noProof/>
        </w:rPr>
        <w:drawing>
          <wp:inline distT="0" distB="0" distL="0" distR="0" wp14:anchorId="26EA12DB" wp14:editId="7CE2231D">
            <wp:extent cx="5762625" cy="561975"/>
            <wp:effectExtent l="0" t="0" r="9525" b="9525"/>
            <wp:docPr id="1" name="Obraz 10" descr="C:\Users\teresa.kiecon\AppData\Local\Microsoft\Windows\Temporary Internet Files\Content.Word\RPO+OP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C:\Users\teresa.kiecon\AppData\Local\Microsoft\Windows\Temporary Internet Files\Content.Word\RPO+OP+EFR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DFA" w:rsidRDefault="00F41DFA">
      <w:pPr>
        <w:rPr>
          <w:b/>
        </w:rPr>
      </w:pPr>
    </w:p>
    <w:p w:rsidR="00236B91" w:rsidRPr="004A2391" w:rsidRDefault="00236B91">
      <w:pPr>
        <w:rPr>
          <w:b/>
        </w:rPr>
      </w:pPr>
    </w:p>
    <w:p w:rsidR="0065536F" w:rsidRPr="00FC1DAF" w:rsidRDefault="0065536F" w:rsidP="0065536F">
      <w:pPr>
        <w:spacing w:after="24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ZAŁĄCZNIK NR 8 </w:t>
      </w:r>
    </w:p>
    <w:p w:rsidR="00F122C5" w:rsidRPr="004A2391" w:rsidRDefault="00F122C5" w:rsidP="0065536F">
      <w:pPr>
        <w:rPr>
          <w:b/>
        </w:rPr>
      </w:pPr>
    </w:p>
    <w:p w:rsidR="00E252C7" w:rsidRPr="00236B91" w:rsidRDefault="00E252C7" w:rsidP="0065536F">
      <w:pPr>
        <w:rPr>
          <w:rFonts w:ascii="Calibri" w:eastAsia="Times New Roman" w:hAnsi="Calibri" w:cs="Times New Roman"/>
          <w:b/>
          <w:sz w:val="44"/>
          <w:szCs w:val="28"/>
        </w:rPr>
      </w:pPr>
      <w:r w:rsidRPr="00236B91">
        <w:rPr>
          <w:rFonts w:ascii="Calibri" w:eastAsia="Times New Roman" w:hAnsi="Calibri" w:cs="Times New Roman"/>
          <w:b/>
          <w:sz w:val="44"/>
          <w:szCs w:val="28"/>
        </w:rPr>
        <w:t>Lista wskaźników na poziomie projektu RPO WO 2014-2020. Zakres EFRR</w:t>
      </w:r>
    </w:p>
    <w:p w:rsidR="00236B91" w:rsidRDefault="00236B91" w:rsidP="00236B91">
      <w:pPr>
        <w:spacing w:before="120" w:after="120"/>
        <w:rPr>
          <w:rFonts w:ascii="Calibri" w:eastAsia="Times New Roman" w:hAnsi="Calibri" w:cs="Times New Roman"/>
          <w:b/>
          <w:sz w:val="36"/>
          <w:szCs w:val="36"/>
          <w:lang w:eastAsia="en-US"/>
        </w:rPr>
      </w:pPr>
    </w:p>
    <w:p w:rsidR="00236B91" w:rsidRPr="00236B91" w:rsidRDefault="00236B91" w:rsidP="00236B91">
      <w:pPr>
        <w:spacing w:before="120" w:after="120"/>
        <w:rPr>
          <w:rFonts w:ascii="Calibri" w:eastAsia="Times New Roman" w:hAnsi="Calibri" w:cs="Times New Roman"/>
          <w:b/>
          <w:sz w:val="36"/>
          <w:szCs w:val="36"/>
          <w:lang w:eastAsia="en-US"/>
        </w:rPr>
      </w:pPr>
      <w:r w:rsidRPr="00236B91">
        <w:rPr>
          <w:rFonts w:ascii="Calibri" w:eastAsia="Times New Roman" w:hAnsi="Calibri" w:cs="Times New Roman"/>
          <w:b/>
          <w:sz w:val="36"/>
          <w:szCs w:val="36"/>
          <w:lang w:eastAsia="en-US"/>
        </w:rPr>
        <w:t>PODDZIAŁANIE 10.1.1 Infrastruktura ochrony zdrowia w zakresie profilaktyki zdrowotnej mieszkańców regionu</w:t>
      </w:r>
    </w:p>
    <w:p w:rsidR="001E4C2E" w:rsidRDefault="001E4C2E" w:rsidP="001E4C2E">
      <w:pPr>
        <w:spacing w:after="120" w:line="360" w:lineRule="auto"/>
        <w:ind w:left="2832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                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236B91">
      <w:pPr>
        <w:spacing w:after="120"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1E4C2E" w:rsidRDefault="001E4C2E" w:rsidP="001E4C2E">
      <w:pPr>
        <w:spacing w:after="12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236B91" w:rsidRPr="00236B91" w:rsidRDefault="00236B91" w:rsidP="00236B91">
      <w:pPr>
        <w:spacing w:after="120"/>
        <w:rPr>
          <w:rFonts w:ascii="Calibri" w:eastAsia="Calibri" w:hAnsi="Calibri" w:cs="Times New Roman"/>
          <w:b/>
          <w:sz w:val="24"/>
          <w:szCs w:val="24"/>
        </w:rPr>
      </w:pPr>
      <w:r w:rsidRPr="00236B91">
        <w:rPr>
          <w:rFonts w:ascii="Calibri" w:eastAsia="Calibri" w:hAnsi="Calibri" w:cs="Times New Roman"/>
          <w:b/>
          <w:sz w:val="24"/>
          <w:szCs w:val="24"/>
        </w:rPr>
        <w:t>Wersja nr 1</w:t>
      </w:r>
    </w:p>
    <w:p w:rsidR="00236B91" w:rsidRPr="00236B91" w:rsidRDefault="00236B91" w:rsidP="00236B91">
      <w:pPr>
        <w:rPr>
          <w:rFonts w:ascii="Calibri" w:eastAsia="Calibri" w:hAnsi="Calibri" w:cs="Times New Roman"/>
          <w:b/>
          <w:sz w:val="24"/>
          <w:szCs w:val="24"/>
        </w:rPr>
      </w:pPr>
      <w:r w:rsidRPr="00236B91">
        <w:rPr>
          <w:rFonts w:ascii="Calibri" w:eastAsia="Times New Roman" w:hAnsi="Calibri" w:cs="Times New Roman"/>
          <w:b/>
          <w:sz w:val="24"/>
          <w:szCs w:val="24"/>
          <w:lang w:eastAsia="en-US"/>
        </w:rPr>
        <w:t xml:space="preserve">Opole, maj </w:t>
      </w:r>
      <w:r w:rsidRPr="00236B91">
        <w:rPr>
          <w:rFonts w:ascii="Calibri" w:eastAsia="Calibri" w:hAnsi="Calibri" w:cs="Times New Roman"/>
          <w:b/>
          <w:sz w:val="24"/>
          <w:szCs w:val="24"/>
        </w:rPr>
        <w:t>2019 r.</w:t>
      </w: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DF2D9B" w:rsidRDefault="00DF2D9B">
      <w:pPr>
        <w:rPr>
          <w:b/>
        </w:rPr>
      </w:pPr>
    </w:p>
    <w:p w:rsidR="001E4C2E" w:rsidRDefault="001E4C2E">
      <w:pPr>
        <w:rPr>
          <w:b/>
        </w:rPr>
      </w:pPr>
    </w:p>
    <w:p w:rsidR="00DF2D9B" w:rsidRDefault="00DF2D9B">
      <w:pPr>
        <w:rPr>
          <w:b/>
        </w:rPr>
      </w:pPr>
    </w:p>
    <w:p w:rsidR="00D74914" w:rsidRDefault="00D74914">
      <w:pPr>
        <w:rPr>
          <w:b/>
        </w:rPr>
      </w:pPr>
    </w:p>
    <w:p w:rsidR="00D74914" w:rsidRPr="00236B91" w:rsidRDefault="00D74914">
      <w:pPr>
        <w:rPr>
          <w:b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E252C7" w:rsidRPr="00236B91" w:rsidRDefault="00E252C7" w:rsidP="00F122C5">
      <w:pPr>
        <w:spacing w:after="0"/>
        <w:rPr>
          <w:b/>
          <w:sz w:val="18"/>
          <w:u w:val="single"/>
        </w:rPr>
      </w:pPr>
    </w:p>
    <w:p w:rsidR="00236B91" w:rsidRPr="00236B91" w:rsidRDefault="00236B91" w:rsidP="00F122C5">
      <w:pPr>
        <w:spacing w:after="0"/>
        <w:rPr>
          <w:b/>
          <w:sz w:val="18"/>
          <w:u w:val="single"/>
        </w:rPr>
      </w:pPr>
    </w:p>
    <w:p w:rsidR="00236B91" w:rsidRPr="00236B91" w:rsidRDefault="00236B91" w:rsidP="00F122C5">
      <w:pPr>
        <w:spacing w:after="0"/>
        <w:rPr>
          <w:b/>
          <w:sz w:val="18"/>
          <w:u w:val="single"/>
        </w:rPr>
      </w:pPr>
    </w:p>
    <w:p w:rsidR="00236B91" w:rsidRPr="00236B91" w:rsidRDefault="00236B91" w:rsidP="00F122C5">
      <w:pPr>
        <w:spacing w:after="0"/>
        <w:rPr>
          <w:b/>
          <w:sz w:val="18"/>
          <w:u w:val="single"/>
        </w:rPr>
      </w:pPr>
    </w:p>
    <w:p w:rsidR="00236B91" w:rsidRPr="00236B91" w:rsidRDefault="00236B91" w:rsidP="00F122C5">
      <w:pPr>
        <w:spacing w:after="0"/>
        <w:rPr>
          <w:b/>
          <w:sz w:val="18"/>
          <w:u w:val="single"/>
        </w:rPr>
      </w:pPr>
    </w:p>
    <w:p w:rsidR="00236B91" w:rsidRPr="00236B91" w:rsidRDefault="00236B91" w:rsidP="00F122C5">
      <w:pPr>
        <w:spacing w:after="0"/>
        <w:rPr>
          <w:b/>
          <w:sz w:val="18"/>
          <w:u w:val="single"/>
        </w:rPr>
      </w:pPr>
    </w:p>
    <w:p w:rsidR="00236B91" w:rsidRPr="00236B91" w:rsidRDefault="00236B91" w:rsidP="00F122C5">
      <w:pPr>
        <w:spacing w:after="0"/>
        <w:rPr>
          <w:b/>
          <w:sz w:val="18"/>
          <w:u w:val="single"/>
        </w:rPr>
      </w:pPr>
    </w:p>
    <w:p w:rsidR="00F122C5" w:rsidRPr="00236B91" w:rsidRDefault="00F122C5" w:rsidP="00F122C5">
      <w:pPr>
        <w:spacing w:after="0"/>
        <w:rPr>
          <w:b/>
          <w:u w:val="single"/>
        </w:rPr>
      </w:pPr>
      <w:r w:rsidRPr="00236B91">
        <w:rPr>
          <w:b/>
          <w:u w:val="single"/>
        </w:rPr>
        <w:t>Opracowanie:</w:t>
      </w:r>
    </w:p>
    <w:p w:rsidR="00F122C5" w:rsidRPr="00236B91" w:rsidRDefault="00F122C5" w:rsidP="000E521A">
      <w:pPr>
        <w:tabs>
          <w:tab w:val="center" w:pos="7001"/>
        </w:tabs>
        <w:spacing w:after="0"/>
      </w:pPr>
      <w:r w:rsidRPr="00236B91">
        <w:t>Departament Koordynacji Programów Operacyjnych</w:t>
      </w:r>
      <w:r w:rsidR="000E521A" w:rsidRPr="00236B91">
        <w:tab/>
      </w:r>
    </w:p>
    <w:p w:rsidR="00F122C5" w:rsidRPr="00236B91" w:rsidRDefault="00F122C5" w:rsidP="00F122C5">
      <w:pPr>
        <w:spacing w:after="0"/>
      </w:pPr>
      <w:r w:rsidRPr="00236B91">
        <w:t>Urząd Marszałkowski Województwa Opolskiego</w:t>
      </w:r>
    </w:p>
    <w:p w:rsidR="00F122C5" w:rsidRPr="004A2391" w:rsidRDefault="00AA17E8" w:rsidP="00F122C5">
      <w:pPr>
        <w:spacing w:after="0"/>
        <w:rPr>
          <w:b/>
        </w:rPr>
      </w:pPr>
      <w:r w:rsidRPr="00236B91">
        <w:t>Opole</w:t>
      </w:r>
      <w:r w:rsidR="00864144" w:rsidRPr="00236B91">
        <w:t xml:space="preserve">, </w:t>
      </w:r>
      <w:r w:rsidR="0065536F" w:rsidRPr="00236B91">
        <w:t xml:space="preserve">maj 2019 </w:t>
      </w:r>
      <w:bookmarkStart w:id="0" w:name="_GoBack"/>
      <w:bookmarkEnd w:id="0"/>
      <w:r w:rsidR="00F122C5" w:rsidRPr="00236B91">
        <w:t>r.</w:t>
      </w:r>
      <w:r w:rsidR="00F122C5" w:rsidRPr="004A2391">
        <w:rPr>
          <w:b/>
        </w:rPr>
        <w:br w:type="page"/>
      </w:r>
    </w:p>
    <w:p w:rsidR="00512467" w:rsidRPr="0065536F" w:rsidRDefault="006D162A" w:rsidP="00CE7C94">
      <w:pPr>
        <w:spacing w:after="60"/>
        <w:rPr>
          <w:i/>
          <w:sz w:val="24"/>
        </w:rPr>
      </w:pPr>
      <w:r w:rsidRPr="0065536F">
        <w:rPr>
          <w:b/>
          <w:sz w:val="24"/>
        </w:rPr>
        <w:lastRenderedPageBreak/>
        <w:t>Tabela 1</w:t>
      </w:r>
      <w:r w:rsidR="00CE7C94" w:rsidRPr="0065536F">
        <w:rPr>
          <w:b/>
          <w:sz w:val="24"/>
        </w:rPr>
        <w:t xml:space="preserve"> </w:t>
      </w:r>
      <w:r w:rsidR="00055EE7" w:rsidRPr="0065536F">
        <w:rPr>
          <w:i/>
          <w:sz w:val="24"/>
        </w:rPr>
        <w:t>Zestawieni</w:t>
      </w:r>
      <w:r w:rsidR="00F5104E" w:rsidRPr="0065536F">
        <w:rPr>
          <w:i/>
          <w:sz w:val="24"/>
        </w:rPr>
        <w:t>e</w:t>
      </w:r>
      <w:r w:rsidR="00055EE7" w:rsidRPr="0065536F">
        <w:rPr>
          <w:i/>
          <w:sz w:val="24"/>
        </w:rPr>
        <w:t xml:space="preserve"> wskaźników </w:t>
      </w:r>
      <w:r w:rsidR="007435C8" w:rsidRPr="0065536F">
        <w:rPr>
          <w:i/>
          <w:sz w:val="24"/>
        </w:rPr>
        <w:t xml:space="preserve">EFRR </w:t>
      </w:r>
      <w:r w:rsidR="00055EE7" w:rsidRPr="0065536F">
        <w:rPr>
          <w:i/>
          <w:sz w:val="24"/>
        </w:rPr>
        <w:t xml:space="preserve">na poziomie projektu </w:t>
      </w:r>
      <w:r w:rsidR="00881689" w:rsidRPr="0065536F">
        <w:rPr>
          <w:i/>
          <w:sz w:val="24"/>
        </w:rPr>
        <w:t>RPO WO 2014-2020</w:t>
      </w:r>
    </w:p>
    <w:tbl>
      <w:tblPr>
        <w:tblStyle w:val="Tabela-Siatka"/>
        <w:tblW w:w="14586" w:type="dxa"/>
        <w:tblBorders>
          <w:top w:val="single" w:sz="12" w:space="0" w:color="33CC33"/>
          <w:left w:val="single" w:sz="12" w:space="0" w:color="33CC33"/>
          <w:bottom w:val="single" w:sz="12" w:space="0" w:color="33CC33"/>
          <w:right w:val="single" w:sz="12" w:space="0" w:color="33CC33"/>
          <w:insideH w:val="single" w:sz="4" w:space="0" w:color="33CC33"/>
          <w:insideV w:val="single" w:sz="4" w:space="0" w:color="33CC33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977"/>
        <w:gridCol w:w="1276"/>
        <w:gridCol w:w="1276"/>
        <w:gridCol w:w="1275"/>
        <w:gridCol w:w="1276"/>
        <w:gridCol w:w="5954"/>
      </w:tblGrid>
      <w:tr w:rsidR="0065536F" w:rsidRPr="004A2391" w:rsidTr="009B2729">
        <w:trPr>
          <w:tblHeader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Lp.</w:t>
            </w:r>
          </w:p>
        </w:tc>
        <w:tc>
          <w:tcPr>
            <w:tcW w:w="2977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Nazwa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Jednostka miary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Rodzaj wskaźnika</w:t>
            </w:r>
          </w:p>
        </w:tc>
        <w:tc>
          <w:tcPr>
            <w:tcW w:w="1275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Typ wskaźnika</w:t>
            </w:r>
          </w:p>
        </w:tc>
        <w:tc>
          <w:tcPr>
            <w:tcW w:w="1276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  <w:right w:val="single" w:sz="12" w:space="0" w:color="33CC33"/>
            </w:tcBorders>
            <w:shd w:val="clear" w:color="auto" w:fill="F2F2F2"/>
            <w:vAlign w:val="center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Inne uwagi</w:t>
            </w:r>
          </w:p>
        </w:tc>
        <w:tc>
          <w:tcPr>
            <w:tcW w:w="5954" w:type="dxa"/>
            <w:tcBorders>
              <w:top w:val="single" w:sz="8" w:space="0" w:color="33CC33"/>
              <w:left w:val="single" w:sz="12" w:space="0" w:color="33CC33"/>
              <w:bottom w:val="single" w:sz="12" w:space="0" w:color="33CC33"/>
            </w:tcBorders>
            <w:shd w:val="clear" w:color="auto" w:fill="F2F2F2"/>
            <w:vAlign w:val="center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A635F2">
              <w:rPr>
                <w:b/>
                <w:color w:val="000099"/>
                <w:sz w:val="24"/>
                <w:szCs w:val="24"/>
              </w:rPr>
              <w:t>Definicja</w:t>
            </w:r>
          </w:p>
        </w:tc>
      </w:tr>
      <w:tr w:rsidR="0065536F" w:rsidRPr="004A2391" w:rsidTr="009B2729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FFFFFF" w:themeFill="background1"/>
          </w:tcPr>
          <w:p w:rsidR="0065536F" w:rsidRPr="00A635F2" w:rsidRDefault="0065536F" w:rsidP="009B2729">
            <w:pPr>
              <w:spacing w:before="80" w:after="80"/>
              <w:rPr>
                <w:b/>
                <w:color w:val="000099"/>
                <w:sz w:val="24"/>
                <w:szCs w:val="24"/>
              </w:rPr>
            </w:pPr>
            <w:r w:rsidRPr="005046F5">
              <w:rPr>
                <w:b/>
                <w:color w:val="000099"/>
                <w:sz w:val="28"/>
                <w:szCs w:val="24"/>
              </w:rPr>
              <w:t>Wskaźniki horyzontalne</w:t>
            </w:r>
          </w:p>
        </w:tc>
      </w:tr>
      <w:tr w:rsidR="0065536F" w:rsidRPr="004A2391" w:rsidTr="009B2729">
        <w:tc>
          <w:tcPr>
            <w:tcW w:w="552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obiektów dostosowanych</w:t>
            </w:r>
            <w:r>
              <w:rPr>
                <w:i/>
                <w:sz w:val="24"/>
                <w:szCs w:val="24"/>
              </w:rPr>
              <w:t xml:space="preserve"> do potrzeb osób </w:t>
            </w:r>
            <w:r w:rsidRPr="00A635F2">
              <w:rPr>
                <w:i/>
                <w:sz w:val="24"/>
                <w:szCs w:val="24"/>
              </w:rPr>
              <w:t>z niepełnosprawnościami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  <w:p w:rsidR="0065536F" w:rsidRPr="00A635F2" w:rsidRDefault="0065536F" w:rsidP="009B2729">
            <w:pPr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odnosi się do liczby obiektów, które zaopatrzono w specjalne podjazdy, windy, urządzenia głośnomówiące, bądź inne </w:t>
            </w:r>
            <w:r w:rsidRPr="00A635F2">
              <w:rPr>
                <w:sz w:val="24"/>
                <w:szCs w:val="24"/>
              </w:rPr>
              <w:t>rozwiązania umożliwiające dostęp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(tj. usunięcie barier w dostępie, w szczególności barier archi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tektonicznych) do tych obiektów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poruszanie się po nich osobom 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niepełnosprawnościami ruchowymi czy sensorycznymi.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Jako obiekty budowlane należy rozumieć konstrukcje połączone z gruntem w sposób trwały, wykonane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materiałów budowlanych i elementów składowych, będące wynikiem prac budowlanych (wg. def. PKOB).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Należy podać liczbę obiektów, w których zastosowano rozwiązania umożliwiające dostęp osobom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niepełnosprawnościami ruchowymi czy sensorycznymi lub zaopatrzonych w sprzęt, a nie liczbę sprzętów, urządzeń itp.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Jeśli instytucja, zakład itp. składa się z kilku obiektów, należy zliczyć wszystkie, które dostosowano do potrzeb osób z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niepełnosprawnościami.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mierzony w momencie rozliczenia wydatku związanego z dostosowaniem obiektów do potrzeb osób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br/>
              <w:t>z niepełnosprawnościami w ramach danego projektu.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Do wskaźnika powinny zostać wliczone zarówno obiekty dostosowane w projektach ogólnodostępnych, jak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i dedykowanych (zgodnie z kategoryzacją projektów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 w:rsidR="0023435D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dostępności dla osób </w:t>
            </w:r>
            <w:r w:rsidR="0023435D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</w:tc>
      </w:tr>
      <w:tr w:rsidR="0065536F" w:rsidRPr="004A2391" w:rsidTr="009B2729">
        <w:trPr>
          <w:trHeight w:val="1481"/>
        </w:trPr>
        <w:tc>
          <w:tcPr>
            <w:tcW w:w="552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osób objętych szkoleniami / doradztwem w zakresie nabywania / doskonalenia umiejętności warunkujących efektywne korzystanie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mediów elektronicznych tj. m.in. korzystania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komputera, różnych rodzajów oprogramowania, </w:t>
            </w:r>
            <w:proofErr w:type="spellStart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internetu</w:t>
            </w:r>
            <w:proofErr w:type="spellEnd"/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oraz kompetencji ściśle informatycznych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(np. programowanie, zarządzanie bazami danych, administracja sieciami, administracja witrynami internetowymi).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ma agregować wszystkie osoby, które skorzystały ze wsparcia w zakresie TIK we wszystkich programach i projektach, także tych, gdzie szkolenie dotycz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y obsługi specyficznego systemu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teleinformatycznego, którego wdrożenia dotyczy projekt. 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6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powinni zostać wliczeni wszyscy uczestnicy projektów zawierających określony rodzaj wsparcia, w tym również np. uczniowie nabywający kompetencje w ramach zajęć szkolnych, jeśli wsparcie to dotyczy technologii informacyjno-komunikacyjnych.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Identyfikacja charakteru i zakresu nabywanych kompetencji będzie możliwa dzięki możliwości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pogrupowania wskaźnika według programów, osi priorytetowych i priorytetów inwestycyjnych.</w:t>
            </w:r>
          </w:p>
        </w:tc>
      </w:tr>
      <w:tr w:rsidR="0065536F" w:rsidRPr="004A2391" w:rsidTr="009B2729">
        <w:trPr>
          <w:trHeight w:val="1828"/>
        </w:trPr>
        <w:tc>
          <w:tcPr>
            <w:tcW w:w="552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2a.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kobiety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65536F" w:rsidRPr="004A2391" w:rsidTr="009B2729">
        <w:tc>
          <w:tcPr>
            <w:tcW w:w="552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2b.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osób objętych szkoleniami / doradztwem w zakresie kompetencji cyfrowych</w:t>
            </w:r>
            <w:r w:rsidRPr="00A635F2">
              <w:rPr>
                <w:i/>
                <w:sz w:val="24"/>
                <w:szCs w:val="24"/>
              </w:rPr>
              <w:br/>
              <w:t>- mężczyźni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osoby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65536F" w:rsidRPr="004A2391" w:rsidTr="009B2729">
        <w:trPr>
          <w:trHeight w:val="3184"/>
        </w:trPr>
        <w:tc>
          <w:tcPr>
            <w:tcW w:w="552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Liczba projektów, w których sfinansowano koszty racjonalnych usprawnień dla osób </w:t>
            </w:r>
            <w:r w:rsidRPr="00A635F2">
              <w:rPr>
                <w:i/>
                <w:sz w:val="24"/>
                <w:szCs w:val="24"/>
              </w:rPr>
              <w:br/>
              <w:t>z niepełnosprawnościami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Racjonalne usprawnienie oznacza konieczne i odpowiednie zmiany oraz dostosowania, nie nakładające nieproporcjonaln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ego lub nadmiernego obciążenia,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rozpatrywane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osobno dla każdego konkretnego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przypadku, w celu zapewnienia osobom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niepełnosprawnościami możliwości korzystania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z wszelkich praw człowieka i podstawowych wolności oraz ich wykonywania na zasadzie równości z innymi osobami.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Wskaźnik mierzony w momencie rozliczenia wydatku związanego z racjonalnymi usprawnieniami w ramach danego projektu.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Przykłady racjonalnych usprawnień: tłumacz języka migowego, transport niskopodłogowy, dostosowanie infrastruktury (nie tylko budynku, ale też dostosowanie infrastruktury komputerowej np. programy powiększające, mówiące, drukarki materiałów w alfabecie Braille'a), osoby asystujące, odpowiednie dostosowanie wyżywienia.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Do wskaźnika powinny zostać wliczone zarówno projekty ogólnodostępne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w których sfinansowano koszty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racjonalnych usprawnień, jak i dedykowane (zgodnie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kategoryzacją projektów z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Wytycznych w zakresie realizacji zasady równości szans </w:t>
            </w:r>
            <w:r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 xml:space="preserve">i niedyskryminacji, w tym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dostępności dla osób z niepełnosprawnościami oraz zasady równości szans kobiet i mężczyzn w ramach funduszy unijnych na lata 2014-2020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).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Theme="minorHAnsi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Definicja na podstawie: </w:t>
            </w:r>
            <w:r w:rsidRPr="00A635F2">
              <w:rPr>
                <w:rFonts w:eastAsia="Times New Roman" w:cs="Times New Roman"/>
                <w:i/>
                <w:sz w:val="24"/>
                <w:szCs w:val="24"/>
                <w:lang w:eastAsia="en-US"/>
              </w:rPr>
              <w:t>Wytyczne w zakresie realizacji zasady równości szans i niedyskryminacji, w tym dostępności dla osób z niepełnosprawnościami oraz równości szans kobiet i mężczyzn w ramach funduszy unijnych na lata 2014-</w:t>
            </w: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2020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Theme="minorHAnsi"/>
                <w:i/>
                <w:sz w:val="24"/>
                <w:szCs w:val="24"/>
                <w:lang w:eastAsia="en-US"/>
              </w:rPr>
              <w:t>Wyjaśnienie:</w:t>
            </w:r>
            <w:r w:rsidRPr="00A635F2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</w:t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Jeśli projekt spełnia kryteria w/w definicji wnioskodawca powinien wykazać wartość „1”, </w:t>
            </w:r>
            <w:r w:rsidR="0023435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 xml:space="preserve">w przeciwnym wypadku „0”. W przypadku projektów partnerskich wskaźnik powinien być wykazany wyłącznie przez lidera projektu, bez względu na liczbę partnerów  </w:t>
            </w:r>
            <w:r w:rsidR="0023435D">
              <w:rPr>
                <w:rFonts w:eastAsiaTheme="minorHAnsi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Theme="minorHAnsi"/>
                <w:sz w:val="24"/>
                <w:szCs w:val="24"/>
                <w:lang w:eastAsia="en-US"/>
              </w:rPr>
              <w:t>w projekcie realizujących wskaźnik.</w:t>
            </w:r>
          </w:p>
        </w:tc>
      </w:tr>
      <w:tr w:rsidR="0065536F" w:rsidRPr="004A2391" w:rsidTr="009B2729">
        <w:tc>
          <w:tcPr>
            <w:tcW w:w="552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podmiotów wykorzystujących technologie informacyjno-komunikacyjne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Wskaźnik mierzy liczbę podmiotów, które w celu realizacji projektu, zainwestowały w technologie informacyjno-komunikacyjne, a w przypadku projektów edukacyjno-szkoleniowych, również podmiotów, które podjęły działania upowszechniające wykorzystanie TIK. 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Przez technologie informacyjno-komunikacyjne (ang. ITC – Information and Communications Technology) należy rozumieć technologie pozyskiwania/ produkcji, gromadzenia /przechowywania, przesyłania, przetwarzania i rozpowszechniania informacji w formie elektronicznej z wykorzystaniem technik cyfrowych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i wszelkich narzędzi komunikacji elektronicznej oraz wszelkie działania związane z produkcją i wykorzystaniem urządzeń telekomunikacyjnych i informatycznych oraz usług im towarzy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szących; działania edukacyjne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i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szkoleniowe. 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zakresie EFS podmioty wykorzystujące TIK należy rozumieć jako podmioty (beneficjenci/partnerzy beneficjentów), które w ramach realizowanego przez nie projektu wspierają wykorzystywanie technik poprzez: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np. propagowanie / szkolenie / zakup TIK lub podmioty, które otrzymują wsparcie w tym zakresie (uczestnicy projektów). Podmiotu, do którego odnosi się wskaźnik,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przypadku gdy nie spełnia definicji uczestnika projektu zgodnie z rozdziałem 3.3 Wytycznych w zakresie monitorowania postępu rzeczowego realizacji programów operacyjnych na lata 2014-2020, nie należy wykazywać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module Uczestnicy projektów w SL2014. 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Podmiotami realizującymi projekty TIK mogą być m.in. MŚP, duże przedsiębiorstwa, administracja publiczna,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tym jednostki samorządu terytorialnego, NGO, jednostki naukowe, szkoły, które będą wykorzystywać TIK do usprawnienia swojego działania i do prowadzenia relacji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z innymi podmiotami. </w:t>
            </w:r>
          </w:p>
          <w:p w:rsidR="0065536F" w:rsidRPr="00A635F2" w:rsidRDefault="0065536F" w:rsidP="009B2729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W przypadku, gdy beneficjentem pozostaje jeden podmiot, we wskaź</w:t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niku należy ująć wartość „1”. </w:t>
            </w:r>
            <w:r w:rsidR="0023435D">
              <w:rPr>
                <w:rFonts w:eastAsia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W </w:t>
            </w:r>
            <w:r w:rsidRPr="00A635F2">
              <w:rPr>
                <w:rFonts w:eastAsia="Times New Roman" w:cs="Times New Roman"/>
                <w:sz w:val="24"/>
                <w:szCs w:val="24"/>
                <w:lang w:eastAsia="en-US"/>
              </w:rPr>
              <w:t>przypadku gdy projekt jest realizowany przez partnerstwo podmiotów, w wartości wskaźnika należy ująć każdy z podmiotów wchodzących w skład partnerstwa, który wdrożył w swojej działalności narzędzia TIK.</w:t>
            </w:r>
          </w:p>
        </w:tc>
      </w:tr>
      <w:tr w:rsidR="0065536F" w:rsidRPr="004A2391" w:rsidTr="009B2729">
        <w:trPr>
          <w:trHeight w:val="6161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Style w:val="Odwoanieprzypisudolnego"/>
                <w:rFonts w:cs="Arial"/>
                <w:i/>
                <w:sz w:val="24"/>
                <w:szCs w:val="24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 w:val="restart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Liczba brutto nowych miejsc pracy we wspieranych przedsiębiorstwach w przeliczeniu na pełne etaty na podstawie umowy o pracę (nie dotyczy umów cywilnoprawnych). Zasadniczo wskaźnik "przed-po", który oddaje część wzrostu zatrudnienia będącą bezpośrednią konsekwencją realizacji projektu (pracownicy zatrudnieni do realizacji projektu nie są liczeni). Stanowiska muszą być wypełnione (wolne stanowiska nie są liczone) oraz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 xml:space="preserve">zwiększać całkowitą liczbę miejsc pracy </w:t>
            </w:r>
            <w:r w:rsidR="0023435D">
              <w:rPr>
                <w:rFonts w:cs="Times New Roman"/>
                <w:sz w:val="24"/>
                <w:szCs w:val="24"/>
              </w:rPr>
              <w:br/>
            </w:r>
            <w:r>
              <w:rPr>
                <w:rFonts w:cs="Times New Roman"/>
                <w:sz w:val="24"/>
                <w:szCs w:val="24"/>
              </w:rPr>
              <w:t xml:space="preserve">w </w:t>
            </w:r>
            <w:r w:rsidRPr="00A635F2">
              <w:rPr>
                <w:rFonts w:cs="Times New Roman"/>
                <w:sz w:val="24"/>
                <w:szCs w:val="24"/>
              </w:rPr>
              <w:t xml:space="preserve">przedsiębiorstwie. Jeśli łączne zatrudnienie </w:t>
            </w:r>
            <w:r w:rsidR="0023435D"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 xml:space="preserve">w przedsiębiorstwie nie zwiększa się, wartość jest równa zero - to wskaźnik jest traktowany jako wyregulowanie, </w:t>
            </w:r>
            <w:r w:rsidR="0023435D"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a nie zwiększenie. Zagwarantowane itp. miejsca pracy nie są wliczone.</w:t>
            </w:r>
          </w:p>
          <w:p w:rsidR="0065536F" w:rsidRPr="00A635F2" w:rsidRDefault="0065536F" w:rsidP="00234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pacing w:val="-1"/>
                <w:sz w:val="24"/>
                <w:szCs w:val="24"/>
              </w:rPr>
              <w:t>Brutto: Nie licząc pochodzenia zatrudnionego dopóki bezpośrednio przyczynia się do wzrostu całkowitej liczby zatrudnionych w organizacji. Wskaźnik powinien być stosowany, jeśli wzrost zatrudnienia może być wiarygodnie przypisany do wsparcia.</w:t>
            </w:r>
          </w:p>
          <w:p w:rsidR="0065536F" w:rsidRPr="00A635F2" w:rsidRDefault="0065536F" w:rsidP="00234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Ekwiwalent pełnego czasu pracy: stanowiska mogą być pełnymi etatami, pracą w niepełnym wymiarze czasu pracy lub pracą sezonową. Sezonowe i niepełne etaty zostaną przeliczone na ekwiwalenty pełnego czasu pracy za pomocą standardów ILO/statystycznych/innych.</w:t>
            </w:r>
          </w:p>
          <w:p w:rsidR="0065536F" w:rsidRPr="00A635F2" w:rsidRDefault="0065536F" w:rsidP="00234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ind w:right="34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>Trwałość: oczekuje się, że stanowiska będą stałe tj. będą trwały odpowiednio długo, w zależności od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A635F2">
              <w:rPr>
                <w:rFonts w:cs="Times New Roman"/>
                <w:sz w:val="24"/>
                <w:szCs w:val="24"/>
              </w:rPr>
              <w:t>charakterystyki przemysłowo-technologicznej: prace sezonowe powinny być cykliczne. Dane liczbowe przedsiębiorstw, które zbankrutowały są zapisywane jako zerowy wzrost zatrudnienia.</w:t>
            </w:r>
          </w:p>
          <w:p w:rsidR="0065536F" w:rsidRPr="00A635F2" w:rsidRDefault="0065536F" w:rsidP="00234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cs="Times New Roman"/>
                <w:sz w:val="24"/>
                <w:szCs w:val="24"/>
              </w:rPr>
            </w:pPr>
            <w:r w:rsidRPr="00A635F2">
              <w:rPr>
                <w:rFonts w:cs="Times New Roman"/>
                <w:sz w:val="24"/>
                <w:szCs w:val="24"/>
              </w:rPr>
              <w:t xml:space="preserve">Czas: Dane są zbierane przed rozpoczęciem projektu i po jego zakończeniu; Instytucje Zarządzające mają swobodę </w:t>
            </w:r>
            <w:r w:rsidRPr="00A635F2">
              <w:rPr>
                <w:rFonts w:cs="Times New Roman"/>
                <w:sz w:val="24"/>
                <w:szCs w:val="24"/>
              </w:rPr>
              <w:br/>
              <w:t xml:space="preserve">w określaniu dokładnego czasu. Preferowane jest stosowanie średniego zatrudnienia w oparciu o dane </w:t>
            </w:r>
            <w:r w:rsidR="0023435D">
              <w:rPr>
                <w:rFonts w:cs="Times New Roman"/>
                <w:sz w:val="24"/>
                <w:szCs w:val="24"/>
              </w:rPr>
              <w:br/>
            </w:r>
            <w:r w:rsidRPr="00A635F2">
              <w:rPr>
                <w:rFonts w:cs="Times New Roman"/>
                <w:sz w:val="24"/>
                <w:szCs w:val="24"/>
              </w:rPr>
              <w:t>z 6 miesięcy lub z roku, dla danych dotyczących zatrudnienia w określonych terminach.</w:t>
            </w:r>
          </w:p>
          <w:p w:rsidR="0065536F" w:rsidRPr="00A635F2" w:rsidRDefault="0065536F" w:rsidP="0023435D">
            <w:pPr>
              <w:tabs>
                <w:tab w:val="left" w:pos="3402"/>
                <w:tab w:val="left" w:pos="5103"/>
              </w:tabs>
              <w:spacing w:before="60" w:after="60"/>
              <w:ind w:left="-8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>Dla celów monitoringowych Beneficjent w opisie metodologii wskaźnika (w wierszu pod wskaźnikiem) powinien przedstawić dane dotyczące stanu zatrudnienia w przedsiębiorstwie przed rozpoczęciem realizacji projektu.</w:t>
            </w:r>
          </w:p>
          <w:p w:rsidR="0065536F" w:rsidRPr="00A635F2" w:rsidRDefault="0065536F" w:rsidP="0023435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80" w:after="80"/>
              <w:rPr>
                <w:rFonts w:cs="Times New Roman"/>
                <w:b/>
                <w:sz w:val="24"/>
                <w:szCs w:val="24"/>
              </w:rPr>
            </w:pPr>
            <w:r w:rsidRPr="00A635F2">
              <w:rPr>
                <w:rFonts w:cs="Times New Roman"/>
                <w:b/>
                <w:sz w:val="24"/>
                <w:szCs w:val="24"/>
              </w:rPr>
              <w:t xml:space="preserve">W ramach działania 2.2 </w:t>
            </w:r>
            <w:r w:rsidRPr="00A635F2">
              <w:rPr>
                <w:rFonts w:cs="Times New Roman"/>
                <w:b/>
                <w:i/>
                <w:sz w:val="24"/>
                <w:szCs w:val="24"/>
              </w:rPr>
              <w:t>Przygotowanie terenów inwestycyjnych na rzecz gospodarki</w:t>
            </w:r>
            <w:r w:rsidRPr="00A635F2">
              <w:rPr>
                <w:rFonts w:cs="Times New Roman"/>
                <w:b/>
                <w:sz w:val="24"/>
                <w:szCs w:val="24"/>
              </w:rPr>
              <w:t xml:space="preserve"> zgodnie z zapisami RPO WO 2014-2020 wartość docelowa wskaźnika musi być większa niż „0”.</w:t>
            </w:r>
          </w:p>
        </w:tc>
      </w:tr>
      <w:tr w:rsidR="0065536F" w:rsidRPr="004A2391" w:rsidTr="009B2729">
        <w:trPr>
          <w:trHeight w:val="1543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5a.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 xml:space="preserve"> – kobiety 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65536F" w:rsidRPr="004A2391" w:rsidTr="009B2729">
        <w:tc>
          <w:tcPr>
            <w:tcW w:w="552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rFonts w:cs="Arial"/>
                <w:i/>
                <w:sz w:val="24"/>
                <w:szCs w:val="24"/>
              </w:rPr>
              <w:t xml:space="preserve">Wzrost zatrudnienia we wspieranych przedsiębiorstwach </w:t>
            </w:r>
            <w:r w:rsidRPr="00A635F2">
              <w:rPr>
                <w:rFonts w:cs="Arial"/>
                <w:i/>
                <w:sz w:val="24"/>
                <w:szCs w:val="24"/>
              </w:rPr>
              <w:br/>
              <w:t>– mężczyźni</w:t>
            </w:r>
            <w:r w:rsidRPr="00A635F2">
              <w:rPr>
                <w:rFonts w:cs="Arial"/>
                <w:i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proofErr w:type="spellStart"/>
            <w:r w:rsidRPr="00A635F2">
              <w:rPr>
                <w:sz w:val="24"/>
                <w:szCs w:val="24"/>
              </w:rPr>
              <w:t>Common</w:t>
            </w:r>
            <w:proofErr w:type="spellEnd"/>
            <w:r w:rsidRPr="00A635F2">
              <w:rPr>
                <w:sz w:val="24"/>
                <w:szCs w:val="24"/>
              </w:rPr>
              <w:t xml:space="preserve"> </w:t>
            </w:r>
            <w:proofErr w:type="spellStart"/>
            <w:r w:rsidRPr="00A635F2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Merge/>
            <w:tcBorders>
              <w:top w:val="single" w:sz="4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tabs>
                <w:tab w:val="left" w:pos="3402"/>
                <w:tab w:val="left" w:pos="5103"/>
              </w:tabs>
              <w:ind w:left="-8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</w:p>
        </w:tc>
      </w:tr>
      <w:tr w:rsidR="0065536F" w:rsidRPr="004A2391" w:rsidTr="009B2729">
        <w:trPr>
          <w:trHeight w:val="1692"/>
        </w:trPr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  <w:highlight w:val="red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 xml:space="preserve">Wzrost zatrudnienia we wspieranych podmiotach (innych </w:t>
            </w:r>
            <w:r>
              <w:rPr>
                <w:i/>
                <w:sz w:val="24"/>
                <w:szCs w:val="24"/>
              </w:rPr>
              <w:t xml:space="preserve">niż </w:t>
            </w:r>
            <w:r w:rsidRPr="00A635F2">
              <w:rPr>
                <w:i/>
                <w:sz w:val="24"/>
                <w:szCs w:val="24"/>
              </w:rPr>
              <w:t>przedsiębiorstwa)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spacing w:before="80" w:after="80"/>
              <w:rPr>
                <w:color w:val="C00000"/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Należy stosować analogiczną definicję jak we wskaźniku „</w:t>
            </w:r>
            <w:r w:rsidRPr="00A635F2">
              <w:rPr>
                <w:i/>
                <w:sz w:val="24"/>
                <w:szCs w:val="24"/>
              </w:rPr>
              <w:t>Wzrost zatrudnienia we wspieranych przedsiębiorstwach</w:t>
            </w:r>
            <w:r w:rsidRPr="00A635F2">
              <w:rPr>
                <w:sz w:val="24"/>
                <w:szCs w:val="24"/>
              </w:rPr>
              <w:t xml:space="preserve">” w odniesieniu do podmiotów innych niż przedsiębiorstwa. </w:t>
            </w:r>
          </w:p>
        </w:tc>
      </w:tr>
      <w:tr w:rsidR="0065536F" w:rsidRPr="004A2391" w:rsidTr="009B2729">
        <w:trPr>
          <w:trHeight w:val="1747"/>
        </w:trPr>
        <w:tc>
          <w:tcPr>
            <w:tcW w:w="552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6a.</w:t>
            </w:r>
          </w:p>
        </w:tc>
        <w:tc>
          <w:tcPr>
            <w:tcW w:w="2977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65536F" w:rsidRPr="00A635F2" w:rsidRDefault="0065536F" w:rsidP="009B2729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top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65536F" w:rsidRPr="004A2391" w:rsidTr="009B2729">
        <w:trPr>
          <w:trHeight w:val="1706"/>
        </w:trPr>
        <w:tc>
          <w:tcPr>
            <w:tcW w:w="552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6b.</w:t>
            </w:r>
          </w:p>
        </w:tc>
        <w:tc>
          <w:tcPr>
            <w:tcW w:w="2977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Wzrost zatrudnienia we wspieranych podmiotach (innych niż przedsiębiorstwa)</w:t>
            </w:r>
          </w:p>
          <w:p w:rsidR="0065536F" w:rsidRPr="00A635F2" w:rsidRDefault="0065536F" w:rsidP="009B2729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tabs>
                <w:tab w:val="center" w:pos="4536"/>
                <w:tab w:val="right" w:pos="9072"/>
              </w:tabs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  <w:bottom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65536F" w:rsidRPr="004A2391" w:rsidTr="009B2729">
        <w:trPr>
          <w:trHeight w:val="1484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miejsc pracy, które zostały utrzymane w wyniku wsparcia, w ciągu pełnego roku kalendarzowego od zakończenia realizacji projektu, </w:t>
            </w:r>
            <w:r w:rsidR="0023435D"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a które byłyby zlikwidowane, gdyby tego wsparcia Beneficjent nie uzyskał. Etaty muszą być obsadzone (nieobsadzonych etatów się nie wlicza). Prace sezonowe </w:t>
            </w:r>
            <w:r w:rsidR="0023435D"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niepełnowymiarowe należy przeliczyć na ekwiwalent pełnego czasu pracy. </w:t>
            </w:r>
          </w:p>
          <w:p w:rsidR="0065536F" w:rsidRPr="00A635F2" w:rsidRDefault="0065536F" w:rsidP="0023435D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Zatrudnienie w ekwiwalentach pełnego czasu pracy ustala się na podstawie proporcji czasu przepracowanego przez poszczególnych pracowników w ciągu roku sprawozdawczego w stosunku do pełnego czasu pracy obowiązującego w danej instytucji. </w:t>
            </w:r>
          </w:p>
          <w:p w:rsidR="0065536F" w:rsidRPr="00A635F2" w:rsidRDefault="0065536F" w:rsidP="0023435D">
            <w:pPr>
              <w:pStyle w:val="Default"/>
              <w:spacing w:before="60" w:after="60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 </w:t>
            </w:r>
          </w:p>
          <w:p w:rsidR="0065536F" w:rsidRPr="00A635F2" w:rsidRDefault="0065536F" w:rsidP="0023435D">
            <w:pPr>
              <w:spacing w:before="60" w:after="6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celu weryfikacji, czy utrzymano wymaganą liczbę nowych miejsc pracy, należy porównać poziom wyjściowy zatrudnienia (na moment złożenia wniosku aplikacyjnego), z poziomem zatrudnienia w okresie utrzymania nowych miejsc pracy.</w:t>
            </w:r>
          </w:p>
          <w:p w:rsidR="0065536F" w:rsidRPr="00A635F2" w:rsidRDefault="0065536F" w:rsidP="0023435D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65536F" w:rsidRPr="004A2391" w:rsidTr="009B2729">
        <w:trPr>
          <w:trHeight w:val="1185"/>
        </w:trPr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7a.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65536F" w:rsidRPr="00A635F2" w:rsidRDefault="0065536F" w:rsidP="009B2729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65536F" w:rsidRPr="004A2391" w:rsidTr="009B2729">
        <w:tc>
          <w:tcPr>
            <w:tcW w:w="552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7b.</w:t>
            </w:r>
          </w:p>
        </w:tc>
        <w:tc>
          <w:tcPr>
            <w:tcW w:w="2977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utrzymanych miejsc pracy</w:t>
            </w:r>
          </w:p>
          <w:p w:rsidR="0065536F" w:rsidRPr="00A635F2" w:rsidRDefault="0065536F" w:rsidP="009B2729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65536F" w:rsidRPr="004A2391" w:rsidTr="009B2729">
        <w:trPr>
          <w:trHeight w:val="1162"/>
        </w:trPr>
        <w:tc>
          <w:tcPr>
            <w:tcW w:w="552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 w:val="restart"/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 xml:space="preserve">Wskaźnik służy do pomiaru liczby pracowników zatrudnionych bezpośrednio w efekcie realizacji projektu, pracujących </w:t>
            </w:r>
            <w:r w:rsidRPr="00A635F2">
              <w:rPr>
                <w:rFonts w:asciiTheme="minorHAnsi" w:hAnsiTheme="minorHAnsi"/>
                <w:b/>
                <w:bCs/>
              </w:rPr>
              <w:t xml:space="preserve">na podstawie umów cywilnoprawnych </w:t>
            </w:r>
            <w:r w:rsidR="0023435D">
              <w:rPr>
                <w:rFonts w:asciiTheme="minorHAnsi" w:hAnsiTheme="minorHAnsi"/>
                <w:b/>
                <w:bCs/>
              </w:rPr>
              <w:br/>
            </w:r>
            <w:r w:rsidRPr="00A635F2">
              <w:rPr>
                <w:rFonts w:asciiTheme="minorHAnsi" w:hAnsiTheme="minorHAnsi"/>
              </w:rPr>
              <w:t xml:space="preserve">tj.: umów o dzieło, umów zlecenia </w:t>
            </w:r>
            <w:r w:rsidRPr="00A635F2">
              <w:rPr>
                <w:rFonts w:asciiTheme="minorHAnsi" w:hAnsiTheme="minorHAnsi"/>
                <w:b/>
                <w:bCs/>
              </w:rPr>
              <w:t xml:space="preserve">czy samozatrudnienia </w:t>
            </w:r>
            <w:r w:rsidRPr="00A635F2">
              <w:rPr>
                <w:rFonts w:asciiTheme="minorHAnsi" w:hAnsiTheme="minorHAnsi"/>
              </w:rPr>
              <w:t xml:space="preserve">– kontraktu, jak i pracujących </w:t>
            </w:r>
            <w:r w:rsidRPr="00A635F2">
              <w:rPr>
                <w:rFonts w:asciiTheme="minorHAnsi" w:hAnsiTheme="minorHAnsi"/>
                <w:b/>
                <w:bCs/>
              </w:rPr>
              <w:t>na podstawie umów o pracę na czas określony</w:t>
            </w:r>
            <w:r w:rsidRPr="00A635F2">
              <w:rPr>
                <w:rFonts w:asciiTheme="minorHAnsi" w:hAnsiTheme="minorHAnsi"/>
              </w:rPr>
              <w:t xml:space="preserve">, </w:t>
            </w:r>
            <w:r w:rsidRPr="00A635F2">
              <w:rPr>
                <w:rFonts w:asciiTheme="minorHAnsi" w:hAnsiTheme="minorHAnsi"/>
                <w:b/>
                <w:bCs/>
              </w:rPr>
              <w:t xml:space="preserve">zarówno w przedsiębiorstwach </w:t>
            </w:r>
            <w:r w:rsidRPr="00A635F2">
              <w:rPr>
                <w:rFonts w:asciiTheme="minorHAnsi" w:hAnsiTheme="minorHAnsi"/>
              </w:rPr>
              <w:t xml:space="preserve">jak </w:t>
            </w:r>
            <w:r w:rsidR="0023435D">
              <w:rPr>
                <w:rFonts w:asciiTheme="minorHAnsi" w:hAnsiTheme="minorHAnsi"/>
              </w:rPr>
              <w:br/>
            </w:r>
            <w:r w:rsidRPr="00A635F2">
              <w:rPr>
                <w:rFonts w:asciiTheme="minorHAnsi" w:hAnsiTheme="minorHAnsi"/>
              </w:rPr>
              <w:t xml:space="preserve">i pozostałych </w:t>
            </w:r>
            <w:r w:rsidRPr="00A635F2">
              <w:rPr>
                <w:rFonts w:asciiTheme="minorHAnsi" w:hAnsiTheme="minorHAnsi"/>
                <w:b/>
                <w:bCs/>
              </w:rPr>
              <w:t>podmiotach niebędących przedsiębiorstwami</w:t>
            </w:r>
            <w:r w:rsidRPr="00A635F2">
              <w:rPr>
                <w:rFonts w:asciiTheme="minorHAnsi" w:hAnsiTheme="minorHAnsi"/>
              </w:rPr>
              <w:t xml:space="preserve">. </w:t>
            </w:r>
          </w:p>
          <w:p w:rsidR="0065536F" w:rsidRPr="00A635F2" w:rsidRDefault="0065536F" w:rsidP="0023435D">
            <w:pPr>
              <w:pStyle w:val="Default"/>
              <w:rPr>
                <w:rFonts w:asciiTheme="minorHAnsi" w:hAnsiTheme="minorHAnsi"/>
              </w:rPr>
            </w:pPr>
            <w:r w:rsidRPr="00A635F2">
              <w:rPr>
                <w:rFonts w:asciiTheme="minorHAnsi" w:hAnsiTheme="minorHAnsi"/>
              </w:rPr>
              <w:t>Zatrudnienie w ekwiwalentach pełnego czasu pracy ustala się na podstawie proporcji czasu przepracowanego przez poszczególnych pracowników w ciągu roku sprawozdawczego w stosunku do pełnego czasu pracy obowiązującego w danej instytucji.</w:t>
            </w:r>
          </w:p>
          <w:p w:rsidR="0065536F" w:rsidRPr="00A635F2" w:rsidRDefault="0065536F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W przypadku osób wykonujących daną działalność na podstawie umowy zlecenia, umowy o dzieło lub samozatrudnienia – do wyliczenia EPC podajemy: pełny, faktyczny czas pracy w roku sprawozdawczym „ze wszystkich umów”, podany, jako odpowiedni ułamek rocznego czasu pracy.</w:t>
            </w:r>
          </w:p>
          <w:p w:rsidR="0065536F" w:rsidRPr="00A635F2" w:rsidRDefault="0065536F" w:rsidP="0023435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[Definicja opracowana przez IZ RPO WO 2014-2020]</w:t>
            </w:r>
          </w:p>
        </w:tc>
      </w:tr>
      <w:tr w:rsidR="0065536F" w:rsidRPr="004A2391" w:rsidTr="009B2729">
        <w:trPr>
          <w:trHeight w:val="1395"/>
        </w:trPr>
        <w:tc>
          <w:tcPr>
            <w:tcW w:w="552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8a.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8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65536F" w:rsidRPr="00A635F2" w:rsidRDefault="0065536F" w:rsidP="009B2729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kobiety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65536F" w:rsidRPr="004A2391" w:rsidTr="009B2729">
        <w:tc>
          <w:tcPr>
            <w:tcW w:w="552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8b.</w:t>
            </w:r>
          </w:p>
        </w:tc>
        <w:tc>
          <w:tcPr>
            <w:tcW w:w="2977" w:type="dxa"/>
            <w:tcBorders>
              <w:top w:val="single" w:sz="8" w:space="0" w:color="33CC33"/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Liczba nowo utworzonych miejsc pracy - pozostałe formy</w:t>
            </w:r>
          </w:p>
          <w:p w:rsidR="0065536F" w:rsidRPr="00A635F2" w:rsidRDefault="0065536F" w:rsidP="009B2729">
            <w:pPr>
              <w:spacing w:before="40"/>
              <w:rPr>
                <w:i/>
                <w:sz w:val="24"/>
                <w:szCs w:val="24"/>
              </w:rPr>
            </w:pPr>
            <w:r w:rsidRPr="00A635F2">
              <w:rPr>
                <w:i/>
                <w:sz w:val="24"/>
                <w:szCs w:val="24"/>
              </w:rPr>
              <w:t>- mężczyźni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EPC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4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9B2729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Merge/>
            <w:tcBorders>
              <w:bottom w:val="single" w:sz="12" w:space="0" w:color="33CC33"/>
            </w:tcBorders>
            <w:shd w:val="clear" w:color="auto" w:fill="FFFFFF" w:themeFill="background1"/>
            <w:vAlign w:val="center"/>
          </w:tcPr>
          <w:p w:rsidR="0065536F" w:rsidRPr="00A635F2" w:rsidRDefault="0065536F" w:rsidP="0023435D">
            <w:pPr>
              <w:spacing w:before="80" w:after="80"/>
              <w:rPr>
                <w:i/>
                <w:color w:val="C00000"/>
                <w:sz w:val="24"/>
                <w:szCs w:val="24"/>
              </w:rPr>
            </w:pPr>
          </w:p>
        </w:tc>
      </w:tr>
      <w:tr w:rsidR="0023435D" w:rsidRPr="004A2391" w:rsidTr="009B2729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D9D9D9" w:themeFill="background1" w:themeFillShade="D9"/>
            <w:vAlign w:val="center"/>
          </w:tcPr>
          <w:p w:rsidR="0023435D" w:rsidRPr="0023435D" w:rsidRDefault="0023435D" w:rsidP="0023435D">
            <w:pPr>
              <w:spacing w:before="80" w:after="80"/>
              <w:rPr>
                <w:i/>
                <w:color w:val="000099"/>
                <w:sz w:val="28"/>
              </w:rPr>
            </w:pPr>
            <w:r w:rsidRPr="0023435D">
              <w:rPr>
                <w:i/>
                <w:color w:val="000099"/>
                <w:sz w:val="28"/>
              </w:rPr>
              <w:t xml:space="preserve">Oś priorytetowa X </w:t>
            </w:r>
            <w:r w:rsidRPr="0023435D">
              <w:rPr>
                <w:rFonts w:cs="Arial"/>
                <w:b/>
                <w:i/>
                <w:color w:val="000099"/>
                <w:sz w:val="28"/>
              </w:rPr>
              <w:t>Inwestycje w infrastrukturę społeczną</w:t>
            </w:r>
          </w:p>
        </w:tc>
      </w:tr>
      <w:tr w:rsidR="0023435D" w:rsidRPr="004A2391" w:rsidTr="009B2729">
        <w:tc>
          <w:tcPr>
            <w:tcW w:w="14586" w:type="dxa"/>
            <w:gridSpan w:val="7"/>
            <w:tcBorders>
              <w:top w:val="single" w:sz="12" w:space="0" w:color="33CC33"/>
              <w:bottom w:val="single" w:sz="12" w:space="0" w:color="33CC33"/>
            </w:tcBorders>
            <w:shd w:val="clear" w:color="auto" w:fill="EAF1DD"/>
            <w:vAlign w:val="center"/>
          </w:tcPr>
          <w:p w:rsidR="0023435D" w:rsidRPr="0023435D" w:rsidRDefault="0023435D" w:rsidP="0023435D">
            <w:pPr>
              <w:spacing w:before="80" w:after="80"/>
              <w:rPr>
                <w:i/>
                <w:color w:val="000099"/>
                <w:sz w:val="28"/>
              </w:rPr>
            </w:pPr>
            <w:r w:rsidRPr="0023435D">
              <w:rPr>
                <w:rFonts w:ascii="Calibri" w:eastAsia="Times New Roman" w:hAnsi="Calibri" w:cs="Times New Roman"/>
                <w:i/>
                <w:iCs/>
                <w:color w:val="000099"/>
                <w:sz w:val="28"/>
                <w:szCs w:val="24"/>
              </w:rPr>
              <w:t>Poddziałanie 10.1.1</w:t>
            </w:r>
            <w:r w:rsidRPr="0023435D">
              <w:rPr>
                <w:rFonts w:ascii="Calibri" w:eastAsia="Times New Roman" w:hAnsi="Calibri" w:cs="Times New Roman"/>
                <w:b/>
                <w:i/>
                <w:iCs/>
                <w:color w:val="000099"/>
                <w:sz w:val="28"/>
                <w:szCs w:val="24"/>
              </w:rPr>
              <w:t xml:space="preserve"> Infrastruktura ochrony zdrowia w zakresie profilaktyki zdrowotnej mieszkańców regionu</w:t>
            </w:r>
          </w:p>
        </w:tc>
      </w:tr>
      <w:tr w:rsidR="0023435D" w:rsidRPr="004A2391" w:rsidTr="009B2729">
        <w:tc>
          <w:tcPr>
            <w:tcW w:w="552" w:type="dxa"/>
            <w:tcBorders>
              <w:top w:val="single" w:sz="12" w:space="0" w:color="33CC33"/>
            </w:tcBorders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12" w:space="0" w:color="33CC33"/>
            </w:tcBorders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Liczba wspartych podmiotów leczniczych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tcBorders>
              <w:top w:val="single" w:sz="12" w:space="0" w:color="33CC33"/>
            </w:tcBorders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tcBorders>
              <w:top w:val="single" w:sz="12" w:space="0" w:color="33CC33"/>
            </w:tcBorders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tcBorders>
              <w:top w:val="single" w:sz="12" w:space="0" w:color="33CC33"/>
            </w:tcBorders>
            <w:vAlign w:val="center"/>
          </w:tcPr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Wskaźnik odnosi się do podmiotów leczniczych objętych robotami budowlanymi oraz doposażonych w aparaturę medyczną oraz techniczną niezbędną do udzielania świadczeń medycznych. </w:t>
            </w:r>
          </w:p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W ramach wskaźnika należy wykazać: </w:t>
            </w:r>
          </w:p>
          <w:p w:rsidR="0023435D" w:rsidRPr="0023435D" w:rsidRDefault="0023435D" w:rsidP="0023435D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doposażone podmioty lecznicze</w:t>
            </w:r>
          </w:p>
          <w:p w:rsidR="0023435D" w:rsidRPr="0023435D" w:rsidRDefault="0023435D" w:rsidP="0023435D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podmioty lecznicze, w których wykonano roboty budowlane</w:t>
            </w:r>
          </w:p>
          <w:p w:rsidR="0023435D" w:rsidRPr="0023435D" w:rsidRDefault="0023435D" w:rsidP="0023435D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doposażone podmioty lecznicze, w których wykonano roboty budowlane. </w:t>
            </w:r>
          </w:p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Podmioty lecznicze, godnie z zapisami linii demarkacyjnej, zostały wybrane w oparciu o organ założycielski:</w:t>
            </w:r>
          </w:p>
          <w:p w:rsidR="0023435D" w:rsidRPr="0023435D" w:rsidRDefault="0023435D" w:rsidP="0023435D">
            <w:pPr>
              <w:numPr>
                <w:ilvl w:val="0"/>
                <w:numId w:val="23"/>
              </w:numPr>
              <w:spacing w:before="60" w:after="60"/>
              <w:ind w:left="459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na poziomie krajowym - podmioty lecznicze (a także przedsiębiorcy powstali z ich przekształcenia) utworzone przez ministra lub centralny organ administracji rządowej, publiczną uczelnię medyczną lub publiczną uczelnię prowadzącą działalność dydaktyczną i badawczą w dziedzinie nauk medycznych, instytuty badawcze prowadzące badania naukowe i prace rozwojowe w dziedzinie nauk medycznych, uczestniczące w systemie ochrony;</w:t>
            </w:r>
          </w:p>
          <w:p w:rsidR="0023435D" w:rsidRPr="0023435D" w:rsidRDefault="0023435D" w:rsidP="0023435D">
            <w:pPr>
              <w:pStyle w:val="Akapitzlist"/>
              <w:numPr>
                <w:ilvl w:val="0"/>
                <w:numId w:val="25"/>
              </w:numPr>
              <w:spacing w:before="60" w:after="60"/>
              <w:ind w:left="459"/>
              <w:rPr>
                <w:color w:val="C00000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na poziomie regionalnym – jednostki samorządu terytorialnego z wyłączeniem Państwowego Ratownictwa Medycznego.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Nakłady inwestycyjne na zakup aparatury medycznej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PLN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Nakłady poniesione przez beneficjenta na zakup aparatury medycznej w związku z realizowanym projektem. Nakłady obejmują dofinansowanie i wkład własny.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Liczba leczonych w podmiotach leczniczych objętych wsparciem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osoby/rok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Liczba osób korzystających w ciągu roku z usług zdrowotnych świadczonych przez podmioty lecznicze wsparte w ramach projektu (dotyczy usług zdrowotnych objętych projektem).</w:t>
            </w:r>
          </w:p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Podmioty lecznicze wsparte w ramach projektu rozumiane są zgodnie z definicją wskaźnika „Liczba wspartych podmiotów leczniczych”. </w:t>
            </w:r>
          </w:p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i/>
                <w:color w:val="000000" w:themeColor="text1"/>
                <w:sz w:val="24"/>
                <w:szCs w:val="24"/>
              </w:rPr>
              <w:t>[Definicja opracowana przez IZ RPO WO 2014-2020]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 xml:space="preserve">Liczba podmiotów leczniczych objętych wsparciem w programie świadczących usługi zdrowotne </w:t>
            </w:r>
            <w:r w:rsidRPr="0023435D">
              <w:rPr>
                <w:rFonts w:cs="Arial"/>
                <w:i/>
                <w:sz w:val="24"/>
                <w:szCs w:val="24"/>
              </w:rPr>
              <w:br/>
              <w:t xml:space="preserve">z zakresu Ambulatoryjnej Opieki Specjalistycznej (AOS) 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Podmioty lecznicze w świetle ustawy o działalności leczniczej z dnia 15 kwietnia 2011r. (</w:t>
            </w:r>
            <w:r w:rsidRPr="0023435D">
              <w:rPr>
                <w:rFonts w:cs="Arial"/>
                <w:bCs/>
                <w:sz w:val="24"/>
                <w:szCs w:val="24"/>
              </w:rPr>
              <w:t>Dz.U. 2011 Nr 112 poz. 654) uznaje się: przedsiębiorców, samodzielne publiczne zakłady opieki zdrowotnej, jednostki budżetowe, instytuty badawcze, fundacje i stowarzyszenia, posiadające osobowość prawna jednostki organizacyjne stowarzyszeń, osoby prawne i jednostki organizacyjne działające na podstawie przepisów o stosunku Państwa do Kościoła Katolickiego w Rzeczypospolitej Polskiej, jednostki wojskowe – w zakresie, w jakim wykonują działalność leczniczą.</w:t>
            </w:r>
          </w:p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Kwestie ambulatoryjnej opieki zdrowotnej reguluje </w:t>
            </w:r>
            <w:r w:rsidRPr="0023435D">
              <w:rPr>
                <w:rFonts w:cs="Arial"/>
                <w:i/>
                <w:iCs/>
                <w:sz w:val="24"/>
                <w:szCs w:val="24"/>
              </w:rPr>
              <w:t xml:space="preserve">rozporządzenie Ministra Zdrowia z dnia 6 listopada 2013 r. w sprawie świadczeń gwarantowanych z zakresu ambulatoryjnej opieki specjalistycznej </w:t>
            </w:r>
            <w:r w:rsidRPr="0023435D">
              <w:rPr>
                <w:rFonts w:cs="Arial"/>
                <w:sz w:val="24"/>
                <w:szCs w:val="24"/>
              </w:rPr>
              <w:t xml:space="preserve">(Dz. U. poz. 1413, </w:t>
            </w:r>
            <w:r>
              <w:rPr>
                <w:rFonts w:cs="Arial"/>
                <w:sz w:val="24"/>
                <w:szCs w:val="24"/>
              </w:rPr>
              <w:br/>
            </w:r>
            <w:r w:rsidRPr="0023435D">
              <w:rPr>
                <w:rFonts w:cs="Arial"/>
                <w:sz w:val="24"/>
                <w:szCs w:val="24"/>
              </w:rPr>
              <w:t xml:space="preserve">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  <w:p w:rsidR="0023435D" w:rsidRPr="0023435D" w:rsidRDefault="0023435D" w:rsidP="0023435D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</w:t>
            </w:r>
            <w:r w:rsidRPr="0023435D">
              <w:rPr>
                <w:rFonts w:cs="Arial"/>
                <w:sz w:val="24"/>
                <w:szCs w:val="24"/>
              </w:rPr>
              <w:br/>
              <w:t xml:space="preserve">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 xml:space="preserve">Liczba podmiotów leczniczych objętych wsparciem w programie świadczących usługi zdrowotne </w:t>
            </w:r>
            <w:r w:rsidRPr="0023435D">
              <w:rPr>
                <w:rFonts w:cs="Arial"/>
                <w:i/>
                <w:sz w:val="24"/>
                <w:szCs w:val="24"/>
              </w:rPr>
              <w:br/>
              <w:t xml:space="preserve">z zakresu Podstawowej Opieki Zdrowotnej (POZ) 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Podmioty lecznicze w świetle </w:t>
            </w:r>
            <w:r w:rsidRPr="0023435D">
              <w:rPr>
                <w:rFonts w:cs="Arial"/>
                <w:i/>
                <w:sz w:val="24"/>
                <w:szCs w:val="24"/>
              </w:rPr>
              <w:t>ustawy o działalności leczniczej z dnia 15 kwietnia 2011r. (</w:t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>Dz.U. 2011 Nr 112 poz. 654</w:t>
            </w:r>
            <w:r w:rsidRPr="0023435D">
              <w:rPr>
                <w:rFonts w:cs="Arial"/>
                <w:bCs/>
                <w:sz w:val="24"/>
                <w:szCs w:val="24"/>
              </w:rPr>
              <w:t>) uznaje się: przedsiębiorców, samodzielne publiczne zakłady opieki zdrowotnej, jednostki budżetowe, instytuty badawcze, fundacje i stowarzyszenia, posiadające osobowość prawna jednostki organizacyjne stowarzyszeń, osoby prawne i jednostki organizacyjne działające na podstawie przepisów o stosunku Państwa do Kościoła Katolickiego w Rzeczypospolitej Polskiej, jednostki wojskowe – w zakresie, w jakim wykonują działalność leczniczą.</w:t>
            </w:r>
          </w:p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bCs/>
                <w:sz w:val="24"/>
                <w:szCs w:val="24"/>
              </w:rPr>
              <w:t xml:space="preserve">Podstawową opiekę zdrowotną w świetle </w:t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 xml:space="preserve">ustawy </w:t>
            </w:r>
            <w:r>
              <w:rPr>
                <w:rFonts w:cs="Arial"/>
                <w:bCs/>
                <w:i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 xml:space="preserve">o świadczeniach opieki zdrowotnej finansowanych ze środków publicznych z dnia 27 sierpnia 2004r. 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uznaje się świadczenia zdrowotne profilaktyczne, diagnostyczne, lecznicze, rehabilitacyjne oraz pielęgnacyjne z zakresu medycyny ogólnej, rodzinnej, chorób wewnętrznych </w:t>
            </w:r>
            <w:r w:rsidRPr="0023435D">
              <w:rPr>
                <w:rFonts w:cs="Arial"/>
                <w:bCs/>
                <w:sz w:val="24"/>
                <w:szCs w:val="24"/>
              </w:rPr>
              <w:br/>
              <w:t>i pediatrii, udzielane w ramach ambulatoryjnej opieki zdrowotnej.</w:t>
            </w:r>
            <w:r w:rsidRPr="0023435D">
              <w:rPr>
                <w:rFonts w:cs="Arial"/>
                <w:sz w:val="24"/>
                <w:szCs w:val="24"/>
              </w:rPr>
              <w:t xml:space="preserve"> 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Kwestie podstawowej opieki zdrowotnej reguluje </w:t>
            </w:r>
            <w:r w:rsidRPr="0023435D">
              <w:rPr>
                <w:rFonts w:cs="Arial"/>
                <w:bCs/>
                <w:i/>
                <w:iCs/>
                <w:sz w:val="24"/>
                <w:szCs w:val="24"/>
              </w:rPr>
              <w:t xml:space="preserve">rozporządzenie Ministra Zdrowia z dnia </w:t>
            </w:r>
            <w:r>
              <w:rPr>
                <w:rFonts w:cs="Arial"/>
                <w:bCs/>
                <w:i/>
                <w:i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i/>
                <w:iCs/>
                <w:sz w:val="24"/>
                <w:szCs w:val="24"/>
              </w:rPr>
              <w:t xml:space="preserve">29 grudnia 2014 r. zmieniające rozporządzenie w sprawie świadczeń gwarantowanych z zakresu podstawowej opieki zdrowotnej  </w:t>
            </w:r>
            <w:r w:rsidRPr="0023435D">
              <w:rPr>
                <w:rFonts w:cs="Arial"/>
                <w:bCs/>
                <w:sz w:val="24"/>
                <w:szCs w:val="24"/>
              </w:rPr>
              <w:t>(Dz. U. poz. 1440).</w:t>
            </w:r>
          </w:p>
          <w:p w:rsidR="0023435D" w:rsidRPr="0023435D" w:rsidRDefault="0023435D" w:rsidP="0023435D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</w:t>
            </w:r>
            <w:r w:rsidRPr="0023435D">
              <w:rPr>
                <w:rFonts w:cs="Arial"/>
                <w:sz w:val="24"/>
                <w:szCs w:val="24"/>
              </w:rPr>
              <w:br/>
              <w:t xml:space="preserve">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Liczba szpitali objętych wsparciem w programie świadczących usługi zdrowotne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Szpital w świetle </w:t>
            </w:r>
            <w:r w:rsidRPr="0023435D">
              <w:rPr>
                <w:rFonts w:cs="Arial"/>
                <w:i/>
                <w:sz w:val="24"/>
                <w:szCs w:val="24"/>
              </w:rPr>
              <w:t xml:space="preserve">ustawy o działalności leczniczej z dnia </w:t>
            </w:r>
            <w:r>
              <w:rPr>
                <w:rFonts w:cs="Arial"/>
                <w:i/>
                <w:sz w:val="24"/>
                <w:szCs w:val="24"/>
              </w:rPr>
              <w:br/>
            </w:r>
            <w:r w:rsidRPr="0023435D">
              <w:rPr>
                <w:rFonts w:cs="Arial"/>
                <w:i/>
                <w:sz w:val="24"/>
                <w:szCs w:val="24"/>
              </w:rPr>
              <w:t>15 kwietnia 2011r. (</w:t>
            </w:r>
            <w:r w:rsidRPr="0023435D">
              <w:rPr>
                <w:rFonts w:cs="Arial"/>
                <w:bCs/>
                <w:i/>
                <w:sz w:val="24"/>
                <w:szCs w:val="24"/>
              </w:rPr>
              <w:t>Dz.U. 2011 Nr 112 poz. 654)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 uznaje się przedsiębiorstwo podmiotu leczniczego, w którym podmiot ten wykonuje działalność leczniczą w rodzaju świadczenia szpitalne.</w:t>
            </w:r>
          </w:p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Podmiot leczniczy w świetle </w:t>
            </w:r>
            <w:r w:rsidRPr="0023435D">
              <w:rPr>
                <w:rFonts w:cs="Arial"/>
                <w:i/>
                <w:sz w:val="24"/>
                <w:szCs w:val="24"/>
              </w:rPr>
              <w:t>ww. ustawy</w:t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 uznaje się: przedsiębiorców, samodzielne publiczne zakłady opieki zdrowotnej, jednostki budżetowe, instytuty badawcze, fundacje i stowarzyszenia, posiadające osobowość prawna jednostki organizacyjne stowarzyszeń, osoby prawne </w:t>
            </w:r>
            <w:r>
              <w:rPr>
                <w:rFonts w:cs="Arial"/>
                <w:b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i jednostki organizacyjne działające na podstawie przepisów o stosunku Państwa do Kościoła Katolickiego </w:t>
            </w:r>
            <w:r>
              <w:rPr>
                <w:rFonts w:cs="Arial"/>
                <w:b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sz w:val="24"/>
                <w:szCs w:val="24"/>
              </w:rPr>
              <w:t xml:space="preserve">w Rzeczypospolitej Polskiej, jednostki wojskowe </w:t>
            </w:r>
            <w:r>
              <w:rPr>
                <w:rFonts w:cs="Arial"/>
                <w:bCs/>
                <w:sz w:val="24"/>
                <w:szCs w:val="24"/>
              </w:rPr>
              <w:br/>
            </w:r>
            <w:r w:rsidRPr="0023435D">
              <w:rPr>
                <w:rFonts w:cs="Arial"/>
                <w:bCs/>
                <w:sz w:val="24"/>
                <w:szCs w:val="24"/>
              </w:rPr>
              <w:t>– w zakresie, w jakim wykonują działalność leczniczą.</w:t>
            </w:r>
          </w:p>
          <w:p w:rsidR="0023435D" w:rsidRPr="0023435D" w:rsidRDefault="0023435D" w:rsidP="0023435D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 xml:space="preserve">Liczba innych podmiotów leczniczych objętych wsparciem </w:t>
            </w:r>
            <w:r w:rsidRPr="0023435D">
              <w:rPr>
                <w:rFonts w:cs="Arial"/>
                <w:i/>
                <w:sz w:val="24"/>
                <w:szCs w:val="24"/>
              </w:rPr>
              <w:br/>
              <w:t>w programie świadczących usługi zdrowotne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3"/>
                <w:szCs w:val="23"/>
              </w:rPr>
            </w:pPr>
            <w:r w:rsidRPr="0023435D">
              <w:rPr>
                <w:szCs w:val="23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rFonts w:cs="Calibri"/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Podmioty lecznicze w świetle ustawy o działalności leczniczej z dnia 15 kwietnia 2011r. (</w:t>
            </w:r>
            <w:r w:rsidRPr="0023435D">
              <w:rPr>
                <w:rFonts w:cs="Arial"/>
                <w:bCs/>
                <w:sz w:val="24"/>
                <w:szCs w:val="24"/>
              </w:rPr>
              <w:t>Dz.U. 2011 Nr 112 poz. 654) uznaje się: przedsiębiorców, samodzielne publiczne zakłady opieki zdrowotnej, jednostki budżetowe, instytuty badawcze, fundacje i stowarzyszenia, posiadające osobowość prawna jednostki organizacyjne stowarzyszeń, osoby prawne i jednostki organizacyjne działające na podstawie przepisów o stosunku Państwa do Kościoła Katolickiego w Rzeczypospolitej Polskiej, jednostki wojskowe – w zakresie, w jakim wykonują działalność leczniczą.</w:t>
            </w:r>
          </w:p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 xml:space="preserve">Za usługę zdrowotną należy rozumieć każde świadczenie opieki zdrowotnej zgodnie z definicją wskazaną w ustawie </w:t>
            </w:r>
            <w:r w:rsidRPr="0023435D">
              <w:rPr>
                <w:rFonts w:cs="Arial"/>
                <w:sz w:val="24"/>
                <w:szCs w:val="24"/>
              </w:rPr>
              <w:br/>
              <w:t xml:space="preserve">o świadczeniach opieki zdrowotnej finansowanych ze środków publicznych z dnia 27 sierpnia 2004 r. (Dz. U. 2008 Nr 164 poz. 1027 z </w:t>
            </w:r>
            <w:proofErr w:type="spellStart"/>
            <w:r w:rsidRPr="0023435D">
              <w:rPr>
                <w:rFonts w:cs="Arial"/>
                <w:sz w:val="24"/>
                <w:szCs w:val="24"/>
              </w:rPr>
              <w:t>późn</w:t>
            </w:r>
            <w:proofErr w:type="spellEnd"/>
            <w:r w:rsidRPr="0023435D">
              <w:rPr>
                <w:rFonts w:cs="Arial"/>
                <w:sz w:val="24"/>
                <w:szCs w:val="24"/>
              </w:rPr>
              <w:t>. zm.).</w:t>
            </w:r>
          </w:p>
          <w:p w:rsidR="0023435D" w:rsidRPr="0023435D" w:rsidRDefault="0023435D" w:rsidP="0023435D">
            <w:pPr>
              <w:pStyle w:val="Akapitzlist"/>
              <w:spacing w:before="60"/>
              <w:ind w:left="0"/>
              <w:rPr>
                <w:rFonts w:cs="Arial"/>
                <w:bCs/>
                <w:sz w:val="24"/>
                <w:szCs w:val="24"/>
              </w:rPr>
            </w:pPr>
            <w:r w:rsidRPr="0023435D">
              <w:rPr>
                <w:rFonts w:cs="Arial"/>
                <w:bCs/>
                <w:sz w:val="24"/>
                <w:szCs w:val="24"/>
              </w:rPr>
              <w:t xml:space="preserve">UWAGA: </w:t>
            </w:r>
          </w:p>
          <w:p w:rsidR="0023435D" w:rsidRPr="0023435D" w:rsidRDefault="0023435D" w:rsidP="0023435D">
            <w:pPr>
              <w:spacing w:before="60" w:after="60"/>
              <w:rPr>
                <w:i/>
                <w:color w:val="C00000"/>
                <w:sz w:val="24"/>
                <w:szCs w:val="24"/>
              </w:rPr>
            </w:pPr>
            <w:r w:rsidRPr="0023435D">
              <w:rPr>
                <w:rFonts w:cs="Arial"/>
                <w:bCs/>
                <w:sz w:val="24"/>
                <w:szCs w:val="24"/>
              </w:rPr>
              <w:t>We wskaźniku nie należy wykazywać podmiotów świadczących usługi z zakresu POZ i AOS oraz szpitali.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Udział projektu w odniesieniu do obszaru objętego programem rewitalizacji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produkt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rFonts w:cs="Calibri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Wskaźnik obrazuje w jakim stopniu (%) projekt dotyczy części rewitalizacyjnej projektu. Jeżeli projekt w całości wynika z programu rewitalizacji lub ma zasięg horyzontalny, ale w całości sprofilowany jest na obszary objęte rewitalizacją to wartość wskaźnika będzie wynosiła 100%.</w:t>
            </w:r>
          </w:p>
          <w:p w:rsidR="0023435D" w:rsidRPr="0023435D" w:rsidRDefault="0023435D" w:rsidP="0023435D">
            <w:pPr>
              <w:shd w:val="clear" w:color="auto" w:fill="FFFFFF"/>
              <w:spacing w:before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W przypadku projektów, które dotyczą obszarów objętych programami rewitalizacyjnymi tylko w części (np. projekty </w:t>
            </w:r>
            <w:r w:rsidRPr="0023435D">
              <w:rPr>
                <w:sz w:val="24"/>
                <w:szCs w:val="24"/>
              </w:rPr>
              <w:br/>
              <w:t>o szerszym charakterze takie jak projekty „miękkie” nakierowane na specyficzne grupy odbiorców efektów tych projektów), udział projektu w odniesieniu do obszaru programu rewitalizacji należy oszacować proporcjonalnie do wydatków planowanych do poniesienia/ lub poniesionych na tym obszarze.</w:t>
            </w:r>
          </w:p>
          <w:p w:rsidR="0023435D" w:rsidRPr="0023435D" w:rsidRDefault="0023435D" w:rsidP="0023435D">
            <w:pPr>
              <w:autoSpaceDE w:val="0"/>
              <w:autoSpaceDN w:val="0"/>
              <w:adjustRightInd w:val="0"/>
              <w:spacing w:before="60"/>
              <w:rPr>
                <w:rFonts w:cs="Arial"/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Definicja programu rewitalizacji zgodnie z </w:t>
            </w:r>
            <w:r w:rsidRPr="0023435D">
              <w:rPr>
                <w:i/>
                <w:sz w:val="24"/>
                <w:szCs w:val="24"/>
              </w:rPr>
              <w:t xml:space="preserve">Wytycznymi </w:t>
            </w:r>
            <w:r>
              <w:rPr>
                <w:i/>
                <w:sz w:val="24"/>
                <w:szCs w:val="24"/>
              </w:rPr>
              <w:br/>
            </w:r>
            <w:r w:rsidRPr="0023435D">
              <w:rPr>
                <w:i/>
                <w:sz w:val="24"/>
                <w:szCs w:val="24"/>
              </w:rPr>
              <w:t>w zakresie rewitalizacji w programach operacyjnych na lata 2014-2020</w:t>
            </w:r>
            <w:r w:rsidRPr="0023435D">
              <w:rPr>
                <w:sz w:val="24"/>
                <w:szCs w:val="24"/>
              </w:rPr>
              <w:t>.</w:t>
            </w:r>
          </w:p>
        </w:tc>
      </w:tr>
      <w:tr w:rsidR="0023435D" w:rsidRPr="004A2391" w:rsidTr="009B2729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cs="Arial"/>
                <w:i/>
                <w:sz w:val="24"/>
                <w:szCs w:val="24"/>
              </w:rPr>
              <w:t>Ludność objęta ulepszonymi usługami zdrowotnymi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osoby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kluczowy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proofErr w:type="spellStart"/>
            <w:r w:rsidRPr="0023435D">
              <w:rPr>
                <w:sz w:val="24"/>
                <w:szCs w:val="24"/>
              </w:rPr>
              <w:t>Common</w:t>
            </w:r>
            <w:proofErr w:type="spellEnd"/>
            <w:r w:rsidRPr="0023435D">
              <w:rPr>
                <w:sz w:val="24"/>
                <w:szCs w:val="24"/>
              </w:rPr>
              <w:t xml:space="preserve"> </w:t>
            </w:r>
            <w:proofErr w:type="spellStart"/>
            <w:r w:rsidRPr="0023435D">
              <w:rPr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5954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 xml:space="preserve">Ludność określonego obszaru, który ma skorzystać z usług zdrowotnych wspieranych przez projekt. Obejmuje to nowych lub ulepszonych budynków albo nowego sprzętu dla różnego rodzaju usług zdrowotnych (profilaktyka, leczenie ambulatoryjne lub szpitalne, opieka </w:t>
            </w:r>
            <w:proofErr w:type="spellStart"/>
            <w:r w:rsidRPr="0023435D">
              <w:rPr>
                <w:sz w:val="24"/>
                <w:szCs w:val="24"/>
              </w:rPr>
              <w:t>pozabiegowa</w:t>
            </w:r>
            <w:proofErr w:type="spellEnd"/>
            <w:r w:rsidRPr="0023435D">
              <w:rPr>
                <w:sz w:val="24"/>
                <w:szCs w:val="24"/>
              </w:rPr>
              <w:t>).</w:t>
            </w:r>
          </w:p>
          <w:p w:rsidR="0023435D" w:rsidRPr="0023435D" w:rsidRDefault="0023435D" w:rsidP="0023435D">
            <w:pPr>
              <w:spacing w:before="60" w:after="60"/>
              <w:rPr>
                <w:color w:val="C00000"/>
                <w:sz w:val="24"/>
                <w:szCs w:val="24"/>
                <w:highlight w:val="yellow"/>
              </w:rPr>
            </w:pPr>
            <w:r w:rsidRPr="0023435D">
              <w:rPr>
                <w:sz w:val="24"/>
                <w:szCs w:val="24"/>
              </w:rPr>
              <w:t xml:space="preserve">Wskaźnik wyklucza wielokrotne zliczanie, nawet jeśli interwencja daje kilka usług skierowanych do tej samej osoby: jedna osoba wciąż liczy się jako jedna osoba, nawet jeśli będzie korzystać z wielu usług, które były wspierane przez fundusze strukturalne. Na przykład, obiekt opieki </w:t>
            </w:r>
            <w:proofErr w:type="spellStart"/>
            <w:r w:rsidRPr="0023435D">
              <w:rPr>
                <w:sz w:val="24"/>
                <w:szCs w:val="24"/>
              </w:rPr>
              <w:t>pozabiegowej</w:t>
            </w:r>
            <w:proofErr w:type="spellEnd"/>
            <w:r w:rsidRPr="0023435D">
              <w:rPr>
                <w:sz w:val="24"/>
                <w:szCs w:val="24"/>
              </w:rPr>
              <w:t xml:space="preserve"> jest budowany w mieście o populacji </w:t>
            </w:r>
            <w:r>
              <w:rPr>
                <w:sz w:val="24"/>
                <w:szCs w:val="24"/>
              </w:rPr>
              <w:br/>
            </w:r>
            <w:r w:rsidRPr="0023435D">
              <w:rPr>
                <w:sz w:val="24"/>
                <w:szCs w:val="24"/>
              </w:rPr>
              <w:t xml:space="preserve">100 tysięcy mieszkańców. Będzie służyć połowie ludności miasta, a tym samym wartość wskaźnika wzrośnie </w:t>
            </w:r>
            <w:r w:rsidRPr="0023435D">
              <w:rPr>
                <w:sz w:val="24"/>
                <w:szCs w:val="24"/>
              </w:rPr>
              <w:br/>
              <w:t xml:space="preserve">o 50.000. Jeśli później usługi profilaktyczne zostaną rozwinięte </w:t>
            </w:r>
            <w:r w:rsidRPr="0023435D">
              <w:rPr>
                <w:sz w:val="24"/>
                <w:szCs w:val="24"/>
              </w:rPr>
              <w:br/>
              <w:t>w tym samym mieście i będą służyć całej populacji, wartość wskaźnika wzrośnie o kolejne 50.000.</w:t>
            </w:r>
          </w:p>
        </w:tc>
      </w:tr>
      <w:tr w:rsidR="0023435D" w:rsidRPr="004A2391" w:rsidTr="005D2F62">
        <w:tc>
          <w:tcPr>
            <w:tcW w:w="552" w:type="dxa"/>
            <w:vAlign w:val="center"/>
          </w:tcPr>
          <w:p w:rsidR="0023435D" w:rsidRPr="00A635F2" w:rsidRDefault="0023435D" w:rsidP="0023435D">
            <w:pPr>
              <w:spacing w:before="80" w:after="80"/>
              <w:rPr>
                <w:sz w:val="24"/>
                <w:szCs w:val="24"/>
              </w:rPr>
            </w:pPr>
            <w:r w:rsidRPr="00A635F2">
              <w:rPr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23435D" w:rsidRPr="0023435D" w:rsidRDefault="0023435D" w:rsidP="0023435D">
            <w:pPr>
              <w:spacing w:before="60" w:after="60"/>
              <w:rPr>
                <w:rFonts w:cs="Arial"/>
                <w:i/>
                <w:sz w:val="24"/>
                <w:szCs w:val="24"/>
              </w:rPr>
            </w:pPr>
            <w:r w:rsidRPr="0023435D">
              <w:rPr>
                <w:rFonts w:eastAsia="Times New Roman" w:cs="Times New Roman"/>
                <w:bCs/>
                <w:i/>
                <w:sz w:val="24"/>
                <w:szCs w:val="24"/>
              </w:rPr>
              <w:t>Liczba nowoutworzonych miejsc opieki paliatywnej i/lub hospicyjnej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60" w:after="60"/>
              <w:jc w:val="center"/>
              <w:rPr>
                <w:rFonts w:cs="Arial"/>
                <w:sz w:val="24"/>
                <w:szCs w:val="24"/>
              </w:rPr>
            </w:pPr>
            <w:r w:rsidRPr="0023435D">
              <w:rPr>
                <w:rFonts w:cs="Arial"/>
                <w:sz w:val="24"/>
                <w:szCs w:val="24"/>
              </w:rPr>
              <w:t>szt.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rezultat</w:t>
            </w:r>
          </w:p>
        </w:tc>
        <w:tc>
          <w:tcPr>
            <w:tcW w:w="1275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Cs w:val="24"/>
              </w:rPr>
              <w:t>specyficzny</w:t>
            </w:r>
          </w:p>
        </w:tc>
        <w:tc>
          <w:tcPr>
            <w:tcW w:w="1276" w:type="dxa"/>
            <w:vAlign w:val="center"/>
          </w:tcPr>
          <w:p w:rsidR="0023435D" w:rsidRPr="0023435D" w:rsidRDefault="0023435D" w:rsidP="0023435D">
            <w:pPr>
              <w:spacing w:before="80" w:after="80"/>
              <w:jc w:val="center"/>
              <w:rPr>
                <w:sz w:val="24"/>
                <w:szCs w:val="24"/>
              </w:rPr>
            </w:pPr>
            <w:r w:rsidRPr="0023435D">
              <w:rPr>
                <w:sz w:val="24"/>
                <w:szCs w:val="24"/>
              </w:rPr>
              <w:t>-</w:t>
            </w:r>
          </w:p>
        </w:tc>
        <w:tc>
          <w:tcPr>
            <w:tcW w:w="5954" w:type="dxa"/>
          </w:tcPr>
          <w:p w:rsidR="0023435D" w:rsidRPr="0023435D" w:rsidRDefault="0023435D" w:rsidP="0023435D">
            <w:pPr>
              <w:spacing w:before="60" w:after="60"/>
              <w:rPr>
                <w:sz w:val="24"/>
                <w:szCs w:val="24"/>
              </w:rPr>
            </w:pPr>
            <w:r w:rsidRPr="0023435D">
              <w:rPr>
                <w:rFonts w:eastAsia="Calibri" w:cs="Times New Roman"/>
                <w:bCs/>
                <w:sz w:val="24"/>
                <w:szCs w:val="24"/>
                <w:lang w:eastAsia="en-US"/>
              </w:rPr>
              <w:t>Liczba nowopowstałych miejsc opieki paliatywnej i/lub hospicyjnej świadczonej w warunkach stacjonarnych i/lub domowych objętych wsparciem w ramach projektu.</w:t>
            </w:r>
          </w:p>
        </w:tc>
      </w:tr>
    </w:tbl>
    <w:p w:rsidR="0065536F" w:rsidRDefault="0065536F" w:rsidP="00CE7C94">
      <w:pPr>
        <w:spacing w:after="60"/>
        <w:rPr>
          <w:i/>
        </w:rPr>
      </w:pPr>
    </w:p>
    <w:p w:rsidR="0065536F" w:rsidRPr="004A2391" w:rsidRDefault="0065536F" w:rsidP="00CE7C94">
      <w:pPr>
        <w:spacing w:after="60"/>
        <w:rPr>
          <w:i/>
        </w:rPr>
      </w:pPr>
    </w:p>
    <w:p w:rsidR="001D3621" w:rsidRPr="00E151AB" w:rsidRDefault="00355D2E" w:rsidP="00E151AB">
      <w:pPr>
        <w:spacing w:after="0" w:line="240" w:lineRule="auto"/>
        <w:jc w:val="both"/>
        <w:rPr>
          <w:sz w:val="18"/>
          <w:szCs w:val="18"/>
        </w:rPr>
      </w:pPr>
      <w:r>
        <w:rPr>
          <w:b/>
          <w:sz w:val="20"/>
        </w:rPr>
        <w:t>UWAGA:</w:t>
      </w:r>
      <w:r w:rsidR="00E151AB" w:rsidRPr="00E151AB">
        <w:rPr>
          <w:sz w:val="18"/>
          <w:szCs w:val="18"/>
        </w:rPr>
        <w:t xml:space="preserve"> Dla wskaźników </w:t>
      </w:r>
      <w:proofErr w:type="spellStart"/>
      <w:r w:rsidR="00E151AB" w:rsidRPr="00E151AB">
        <w:rPr>
          <w:i/>
          <w:sz w:val="18"/>
          <w:szCs w:val="18"/>
        </w:rPr>
        <w:t>Common</w:t>
      </w:r>
      <w:proofErr w:type="spellEnd"/>
      <w:r w:rsidR="00E151AB" w:rsidRPr="00E151AB">
        <w:rPr>
          <w:i/>
          <w:sz w:val="18"/>
          <w:szCs w:val="18"/>
        </w:rPr>
        <w:t xml:space="preserve"> </w:t>
      </w:r>
      <w:proofErr w:type="spellStart"/>
      <w:r w:rsidR="00E151AB" w:rsidRPr="00E151AB">
        <w:rPr>
          <w:i/>
          <w:sz w:val="18"/>
          <w:szCs w:val="18"/>
        </w:rPr>
        <w:t>Indicators</w:t>
      </w:r>
      <w:proofErr w:type="spellEnd"/>
      <w:r w:rsidR="00E151AB" w:rsidRPr="00E151AB">
        <w:rPr>
          <w:rStyle w:val="Odwoanieprzypisudolnego"/>
          <w:sz w:val="18"/>
          <w:szCs w:val="18"/>
        </w:rPr>
        <w:footnoteReference w:id="2"/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przedstawione definicje są roboczym tłumaczeniem IZ RPO WO 2014-2020. Oryginalne definicje (w języku angielskim) znajdują się </w:t>
      </w:r>
      <w:r w:rsidR="00E151AB" w:rsidRPr="00E151AB">
        <w:rPr>
          <w:sz w:val="18"/>
          <w:szCs w:val="18"/>
        </w:rPr>
        <w:br/>
        <w:t xml:space="preserve">w dokumencie </w:t>
      </w:r>
      <w:r w:rsidR="00E151AB" w:rsidRPr="00E151AB">
        <w:rPr>
          <w:i/>
          <w:sz w:val="18"/>
          <w:szCs w:val="18"/>
        </w:rPr>
        <w:t xml:space="preserve">The </w:t>
      </w:r>
      <w:proofErr w:type="spellStart"/>
      <w:r w:rsidR="00E151AB" w:rsidRPr="00E151AB">
        <w:rPr>
          <w:i/>
          <w:sz w:val="18"/>
          <w:szCs w:val="18"/>
        </w:rPr>
        <w:t>programming</w:t>
      </w:r>
      <w:proofErr w:type="spellEnd"/>
      <w:r w:rsidR="00E151AB" w:rsidRPr="00E151AB">
        <w:rPr>
          <w:i/>
          <w:sz w:val="18"/>
          <w:szCs w:val="18"/>
        </w:rPr>
        <w:t xml:space="preserve"> period 2014-2020. </w:t>
      </w:r>
      <w:r w:rsidR="00E151AB" w:rsidRPr="00E151AB">
        <w:rPr>
          <w:i/>
          <w:sz w:val="18"/>
          <w:szCs w:val="18"/>
          <w:lang w:val="en-US"/>
        </w:rPr>
        <w:t xml:space="preserve">Guidance document on monitoring and evaluation. European Cohesion Fund. European Regional Development Fund. </w:t>
      </w:r>
      <w:proofErr w:type="spellStart"/>
      <w:r w:rsidR="00E151AB" w:rsidRPr="00E151AB">
        <w:rPr>
          <w:i/>
          <w:sz w:val="18"/>
          <w:szCs w:val="18"/>
        </w:rPr>
        <w:t>Concepts</w:t>
      </w:r>
      <w:proofErr w:type="spellEnd"/>
      <w:r w:rsidR="00E151AB" w:rsidRPr="00E151AB">
        <w:rPr>
          <w:i/>
          <w:sz w:val="18"/>
          <w:szCs w:val="18"/>
        </w:rPr>
        <w:t xml:space="preserve"> and </w:t>
      </w:r>
      <w:proofErr w:type="spellStart"/>
      <w:r w:rsidR="00E151AB" w:rsidRPr="00E151AB">
        <w:rPr>
          <w:i/>
          <w:sz w:val="18"/>
          <w:szCs w:val="18"/>
        </w:rPr>
        <w:t>Recommendations</w:t>
      </w:r>
      <w:proofErr w:type="spellEnd"/>
      <w:r w:rsidR="00E151AB" w:rsidRPr="00E151AB">
        <w:rPr>
          <w:i/>
          <w:sz w:val="18"/>
          <w:szCs w:val="18"/>
        </w:rPr>
        <w:t>. March 2014</w:t>
      </w:r>
      <w:r w:rsidR="00E151AB" w:rsidRPr="00E151AB">
        <w:rPr>
          <w:sz w:val="18"/>
          <w:szCs w:val="18"/>
        </w:rPr>
        <w:t>,</w:t>
      </w:r>
      <w:r w:rsidR="00E151AB" w:rsidRPr="00E151AB">
        <w:rPr>
          <w:i/>
          <w:sz w:val="18"/>
          <w:szCs w:val="18"/>
        </w:rPr>
        <w:t xml:space="preserve"> </w:t>
      </w:r>
      <w:r w:rsidR="00E151AB" w:rsidRPr="00E151AB">
        <w:rPr>
          <w:sz w:val="18"/>
          <w:szCs w:val="18"/>
        </w:rPr>
        <w:t xml:space="preserve">dostępnym na stronie internetowej Komisji Europejskiej: </w:t>
      </w:r>
      <w:hyperlink r:id="rId9" w:anchor="1" w:history="1">
        <w:r w:rsidR="00E151AB" w:rsidRPr="00E151AB">
          <w:rPr>
            <w:rStyle w:val="Hipercze"/>
            <w:i/>
            <w:sz w:val="18"/>
            <w:szCs w:val="18"/>
          </w:rPr>
          <w:t>http://ec.europa.eu/regional_policy/pl/policy/evaluations/guidance/#1</w:t>
        </w:r>
      </w:hyperlink>
    </w:p>
    <w:sectPr w:rsidR="001D3621" w:rsidRPr="00E151AB" w:rsidSect="00E151AB">
      <w:headerReference w:type="default" r:id="rId10"/>
      <w:footerReference w:type="default" r:id="rId11"/>
      <w:headerReference w:type="first" r:id="rId12"/>
      <w:pgSz w:w="16838" w:h="11906" w:orient="landscape"/>
      <w:pgMar w:top="1418" w:right="962" w:bottom="1276" w:left="1418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011" w:rsidRDefault="007A6011" w:rsidP="00A11280">
      <w:pPr>
        <w:spacing w:after="0" w:line="240" w:lineRule="auto"/>
      </w:pPr>
      <w:r>
        <w:separator/>
      </w:r>
    </w:p>
  </w:endnote>
  <w:endnote w:type="continuationSeparator" w:id="0">
    <w:p w:rsidR="007A6011" w:rsidRDefault="007A6011" w:rsidP="00A11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-286665848"/>
      <w:docPartObj>
        <w:docPartGallery w:val="Page Numbers (Bottom of Page)"/>
        <w:docPartUnique/>
      </w:docPartObj>
    </w:sdtPr>
    <w:sdtEndPr/>
    <w:sdtContent>
      <w:p w:rsidR="007A6011" w:rsidRPr="00D47A5A" w:rsidRDefault="007A6011">
        <w:pPr>
          <w:pStyle w:val="Stopka"/>
          <w:jc w:val="center"/>
          <w:rPr>
            <w:sz w:val="20"/>
          </w:rPr>
        </w:pPr>
        <w:r w:rsidRPr="00D47A5A">
          <w:rPr>
            <w:sz w:val="20"/>
          </w:rPr>
          <w:fldChar w:fldCharType="begin"/>
        </w:r>
        <w:r w:rsidRPr="00D47A5A">
          <w:rPr>
            <w:sz w:val="20"/>
          </w:rPr>
          <w:instrText xml:space="preserve"> PAGE   \* MERGEFORMAT </w:instrText>
        </w:r>
        <w:r w:rsidRPr="00D47A5A">
          <w:rPr>
            <w:sz w:val="20"/>
          </w:rPr>
          <w:fldChar w:fldCharType="separate"/>
        </w:r>
        <w:r w:rsidR="00236B91">
          <w:rPr>
            <w:noProof/>
            <w:sz w:val="20"/>
          </w:rPr>
          <w:t>5</w:t>
        </w:r>
        <w:r w:rsidRPr="00D47A5A">
          <w:rPr>
            <w:sz w:val="20"/>
          </w:rPr>
          <w:fldChar w:fldCharType="end"/>
        </w:r>
      </w:p>
    </w:sdtContent>
  </w:sdt>
  <w:p w:rsidR="007A6011" w:rsidRDefault="007A60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011" w:rsidRDefault="007A6011" w:rsidP="00A11280">
      <w:pPr>
        <w:spacing w:after="0" w:line="240" w:lineRule="auto"/>
      </w:pPr>
      <w:r>
        <w:separator/>
      </w:r>
    </w:p>
  </w:footnote>
  <w:footnote w:type="continuationSeparator" w:id="0">
    <w:p w:rsidR="007A6011" w:rsidRDefault="007A6011" w:rsidP="00A11280">
      <w:pPr>
        <w:spacing w:after="0" w:line="240" w:lineRule="auto"/>
      </w:pPr>
      <w:r>
        <w:continuationSeparator/>
      </w:r>
    </w:p>
  </w:footnote>
  <w:footnote w:id="1">
    <w:p w:rsidR="0065536F" w:rsidRPr="00137AD2" w:rsidRDefault="0065536F" w:rsidP="0065536F">
      <w:pPr>
        <w:pStyle w:val="Tekstprzypisudolnego"/>
      </w:pPr>
      <w:r>
        <w:rPr>
          <w:rStyle w:val="Odwoanieprzypisudolnego"/>
        </w:rPr>
        <w:footnoteRef/>
      </w:r>
      <w:r>
        <w:t xml:space="preserve"> Wskaźniki 5, 5a i 5b nie dotyczą działania 1.2 </w:t>
      </w:r>
      <w:r>
        <w:rPr>
          <w:i/>
        </w:rPr>
        <w:t xml:space="preserve">Infrastruktura B + R </w:t>
      </w:r>
      <w:r>
        <w:t xml:space="preserve">oraz działania 6.1 </w:t>
      </w:r>
      <w:r>
        <w:rPr>
          <w:i/>
        </w:rPr>
        <w:t xml:space="preserve">Infrastruktura drogowa </w:t>
      </w:r>
      <w:r>
        <w:t>RPO WO 2014-2020</w:t>
      </w:r>
    </w:p>
  </w:footnote>
  <w:footnote w:id="2">
    <w:p w:rsidR="007A6011" w:rsidRDefault="007A6011" w:rsidP="00E151AB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8"/>
          <w:szCs w:val="16"/>
        </w:rPr>
        <w:footnoteRef/>
      </w:r>
      <w:r>
        <w:rPr>
          <w:sz w:val="18"/>
          <w:szCs w:val="16"/>
        </w:rPr>
        <w:t xml:space="preserve"> Są to wskaźniki określone w Załączniku I do </w:t>
      </w:r>
      <w:r>
        <w:rPr>
          <w:i/>
          <w:sz w:val="18"/>
          <w:szCs w:val="16"/>
        </w:rPr>
        <w:t xml:space="preserve">Rozporządzenia Parlamentu Europejskiego i Rady (UE) nr 1301/2013 z dnia 13 grudnia 2013 r. w sprawie Europejskiego Funduszu Rozwoju Regionalnego i przepisów szczególnych dotyczących celu „Inwestycje na rzecz wzrostu i zatrudnienia” oraz w sprawie uchylenia rozporządzenia (WE) nr 1080/2006.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6011" w:rsidRDefault="007A6011" w:rsidP="00964523">
    <w:pPr>
      <w:pStyle w:val="Nagwek"/>
      <w:jc w:val="right"/>
    </w:pPr>
    <w:r w:rsidRPr="0035163A">
      <w:rPr>
        <w:i/>
        <w:iCs/>
      </w:rPr>
      <w:t xml:space="preserve">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2C7" w:rsidRPr="00802A82" w:rsidRDefault="00E252C7" w:rsidP="00E252C7">
    <w:pPr>
      <w:spacing w:after="0" w:line="240" w:lineRule="auto"/>
      <w:jc w:val="right"/>
      <w:rPr>
        <w:rFonts w:ascii="Calibri" w:eastAsia="Calibri" w:hAnsi="Calibri" w:cs="Times New Roman"/>
        <w:i/>
        <w:sz w:val="20"/>
        <w:szCs w:val="24"/>
      </w:rPr>
    </w:pPr>
    <w:r>
      <w:rPr>
        <w:rFonts w:ascii="Calibri" w:eastAsia="Calibri" w:hAnsi="Calibri" w:cs="Times New Roman"/>
        <w:b/>
        <w:i/>
        <w:noProof/>
        <w:sz w:val="20"/>
        <w:szCs w:val="24"/>
      </w:rPr>
      <w:t>Załącznik nr 8</w:t>
    </w:r>
    <w:r w:rsidRPr="00802A82">
      <w:rPr>
        <w:rFonts w:ascii="Calibri" w:eastAsia="Calibri" w:hAnsi="Calibri" w:cs="Times New Roman"/>
        <w:b/>
        <w:i/>
        <w:noProof/>
        <w:sz w:val="20"/>
        <w:szCs w:val="24"/>
      </w:rPr>
      <w:t xml:space="preserve"> </w:t>
    </w:r>
    <w:r w:rsidRPr="00802A82">
      <w:rPr>
        <w:rFonts w:ascii="Calibri" w:eastAsia="Calibri" w:hAnsi="Calibri" w:cs="Times New Roman"/>
        <w:i/>
        <w:noProof/>
        <w:sz w:val="20"/>
        <w:szCs w:val="24"/>
      </w:rPr>
      <w:t>do Regulaminu konkursu</w:t>
    </w:r>
  </w:p>
  <w:p w:rsidR="00E252C7" w:rsidRPr="00802A82" w:rsidRDefault="00E252C7" w:rsidP="00E252C7">
    <w:pPr>
      <w:spacing w:after="0" w:line="240" w:lineRule="auto"/>
      <w:jc w:val="right"/>
      <w:rPr>
        <w:rFonts w:ascii="Calibri" w:eastAsia="Calibri" w:hAnsi="Calibri" w:cs="Times New Roman"/>
        <w:i/>
        <w:noProof/>
        <w:sz w:val="20"/>
        <w:szCs w:val="24"/>
      </w:rPr>
    </w:pPr>
    <w:r w:rsidRPr="00802A82">
      <w:rPr>
        <w:rFonts w:ascii="Calibri" w:eastAsia="Calibri" w:hAnsi="Calibri" w:cs="Times New Roman"/>
        <w:i/>
        <w:noProof/>
        <w:sz w:val="20"/>
        <w:szCs w:val="24"/>
      </w:rPr>
      <w:t xml:space="preserve">Poddziałanie 10.1.1 Infrastruktura ochrony zdrowia w zakresie </w:t>
    </w:r>
  </w:p>
  <w:p w:rsidR="00E252C7" w:rsidRDefault="00E252C7" w:rsidP="0065536F">
    <w:pPr>
      <w:spacing w:after="0" w:line="240" w:lineRule="auto"/>
      <w:jc w:val="right"/>
      <w:rPr>
        <w:rFonts w:ascii="Calibri" w:eastAsia="Calibri" w:hAnsi="Calibri" w:cs="Times New Roman"/>
        <w:i/>
        <w:noProof/>
        <w:sz w:val="20"/>
        <w:szCs w:val="24"/>
      </w:rPr>
    </w:pPr>
    <w:r w:rsidRPr="00802A82">
      <w:rPr>
        <w:rFonts w:ascii="Calibri" w:eastAsia="Calibri" w:hAnsi="Calibri" w:cs="Times New Roman"/>
        <w:i/>
        <w:noProof/>
        <w:sz w:val="20"/>
        <w:szCs w:val="24"/>
      </w:rPr>
      <w:t>profilaktyki zdrowotnej mieszkańców regionu</w:t>
    </w:r>
    <w:r w:rsidRPr="00802A82">
      <w:rPr>
        <w:rFonts w:ascii="Calibri" w:eastAsia="Calibri" w:hAnsi="Calibri" w:cs="Calibri"/>
        <w:noProof/>
      </w:rPr>
      <w:t xml:space="preserve"> </w:t>
    </w:r>
    <w:r w:rsidRPr="00802A82">
      <w:rPr>
        <w:rFonts w:ascii="Calibri" w:eastAsia="Calibri" w:hAnsi="Calibri" w:cs="Times New Roman"/>
        <w:i/>
        <w:noProof/>
        <w:sz w:val="20"/>
        <w:szCs w:val="24"/>
      </w:rPr>
      <w:t>RPO WO 2014-2020</w:t>
    </w:r>
  </w:p>
  <w:p w:rsidR="007A6011" w:rsidRPr="00236B91" w:rsidRDefault="0065536F" w:rsidP="00236B91">
    <w:pPr>
      <w:spacing w:after="0" w:line="240" w:lineRule="auto"/>
      <w:jc w:val="right"/>
      <w:rPr>
        <w:rFonts w:ascii="Calibri" w:eastAsia="Calibri" w:hAnsi="Calibri" w:cs="Times New Roman"/>
        <w:i/>
        <w:noProof/>
        <w:sz w:val="20"/>
        <w:szCs w:val="24"/>
      </w:rPr>
    </w:pPr>
    <w:r>
      <w:rPr>
        <w:rFonts w:ascii="Calibri" w:eastAsia="Calibri" w:hAnsi="Calibri" w:cs="Times New Roman"/>
        <w:i/>
        <w:noProof/>
        <w:sz w:val="20"/>
        <w:szCs w:val="24"/>
      </w:rPr>
      <w:t xml:space="preserve">Wersja n r 1, </w:t>
    </w:r>
    <w:r w:rsidR="00236B91">
      <w:rPr>
        <w:rFonts w:ascii="Calibri" w:eastAsia="Calibri" w:hAnsi="Calibri" w:cs="Times New Roman"/>
        <w:i/>
        <w:noProof/>
        <w:sz w:val="20"/>
        <w:szCs w:val="24"/>
      </w:rPr>
      <w:t xml:space="preserve">maj </w:t>
    </w:r>
    <w:r>
      <w:rPr>
        <w:rFonts w:ascii="Calibri" w:eastAsia="Calibri" w:hAnsi="Calibri" w:cs="Times New Roman"/>
        <w:i/>
        <w:noProof/>
        <w:sz w:val="20"/>
        <w:szCs w:val="24"/>
      </w:rPr>
      <w:t>2019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F3400"/>
    <w:multiLevelType w:val="hybridMultilevel"/>
    <w:tmpl w:val="251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D5F02"/>
    <w:multiLevelType w:val="hybridMultilevel"/>
    <w:tmpl w:val="3F40CF4C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C5D93"/>
    <w:multiLevelType w:val="hybridMultilevel"/>
    <w:tmpl w:val="3BDA9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7924"/>
    <w:multiLevelType w:val="hybridMultilevel"/>
    <w:tmpl w:val="8850CCB6"/>
    <w:lvl w:ilvl="0" w:tplc="D6C83EB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56F3C"/>
    <w:multiLevelType w:val="hybridMultilevel"/>
    <w:tmpl w:val="202EEB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11222"/>
    <w:multiLevelType w:val="hybridMultilevel"/>
    <w:tmpl w:val="C1E26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3357"/>
    <w:multiLevelType w:val="hybridMultilevel"/>
    <w:tmpl w:val="C0FAE4B6"/>
    <w:lvl w:ilvl="0" w:tplc="D3E81B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0765"/>
    <w:multiLevelType w:val="hybridMultilevel"/>
    <w:tmpl w:val="CB029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42B65"/>
    <w:multiLevelType w:val="hybridMultilevel"/>
    <w:tmpl w:val="E6A83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14F80"/>
    <w:multiLevelType w:val="hybridMultilevel"/>
    <w:tmpl w:val="CB2CD416"/>
    <w:lvl w:ilvl="0" w:tplc="BD88C1D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EF764E"/>
    <w:multiLevelType w:val="hybridMultilevel"/>
    <w:tmpl w:val="5D96A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910BA"/>
    <w:multiLevelType w:val="hybridMultilevel"/>
    <w:tmpl w:val="E50C8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5FE5"/>
    <w:multiLevelType w:val="hybridMultilevel"/>
    <w:tmpl w:val="4A90F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C0952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16DC0"/>
    <w:multiLevelType w:val="hybridMultilevel"/>
    <w:tmpl w:val="7DAC8F4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9515398"/>
    <w:multiLevelType w:val="hybridMultilevel"/>
    <w:tmpl w:val="6AB06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7A2F62"/>
    <w:multiLevelType w:val="hybridMultilevel"/>
    <w:tmpl w:val="2AF2E0A4"/>
    <w:lvl w:ilvl="0" w:tplc="7A36CC9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95BFA"/>
    <w:multiLevelType w:val="hybridMultilevel"/>
    <w:tmpl w:val="811C8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B34991"/>
    <w:multiLevelType w:val="hybridMultilevel"/>
    <w:tmpl w:val="DF52E54C"/>
    <w:lvl w:ilvl="0" w:tplc="2DEAC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57E86"/>
    <w:multiLevelType w:val="hybridMultilevel"/>
    <w:tmpl w:val="7C1CD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446DF"/>
    <w:multiLevelType w:val="hybridMultilevel"/>
    <w:tmpl w:val="22907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95CDE"/>
    <w:multiLevelType w:val="hybridMultilevel"/>
    <w:tmpl w:val="0C00DE92"/>
    <w:lvl w:ilvl="0" w:tplc="8F343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B91093"/>
    <w:multiLevelType w:val="hybridMultilevel"/>
    <w:tmpl w:val="DFCE6316"/>
    <w:lvl w:ilvl="0" w:tplc="ABEC2F2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6FC8"/>
    <w:multiLevelType w:val="hybridMultilevel"/>
    <w:tmpl w:val="06B46B00"/>
    <w:lvl w:ilvl="0" w:tplc="7FD81E6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BD495D"/>
    <w:multiLevelType w:val="hybridMultilevel"/>
    <w:tmpl w:val="71D6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6"/>
  </w:num>
  <w:num w:numId="4">
    <w:abstractNumId w:val="23"/>
  </w:num>
  <w:num w:numId="5">
    <w:abstractNumId w:val="22"/>
  </w:num>
  <w:num w:numId="6">
    <w:abstractNumId w:val="20"/>
  </w:num>
  <w:num w:numId="7">
    <w:abstractNumId w:val="17"/>
  </w:num>
  <w:num w:numId="8">
    <w:abstractNumId w:val="9"/>
  </w:num>
  <w:num w:numId="9">
    <w:abstractNumId w:val="11"/>
  </w:num>
  <w:num w:numId="10">
    <w:abstractNumId w:val="7"/>
  </w:num>
  <w:num w:numId="11">
    <w:abstractNumId w:val="15"/>
  </w:num>
  <w:num w:numId="12">
    <w:abstractNumId w:val="16"/>
  </w:num>
  <w:num w:numId="13">
    <w:abstractNumId w:val="3"/>
  </w:num>
  <w:num w:numId="14">
    <w:abstractNumId w:val="4"/>
  </w:num>
  <w:num w:numId="15">
    <w:abstractNumId w:val="0"/>
  </w:num>
  <w:num w:numId="16">
    <w:abstractNumId w:val="14"/>
  </w:num>
  <w:num w:numId="17">
    <w:abstractNumId w:val="5"/>
  </w:num>
  <w:num w:numId="18">
    <w:abstractNumId w:val="10"/>
  </w:num>
  <w:num w:numId="19">
    <w:abstractNumId w:val="2"/>
  </w:num>
  <w:num w:numId="20">
    <w:abstractNumId w:val="8"/>
  </w:num>
  <w:num w:numId="21">
    <w:abstractNumId w:val="19"/>
  </w:num>
  <w:num w:numId="22">
    <w:abstractNumId w:val="12"/>
  </w:num>
  <w:num w:numId="23">
    <w:abstractNumId w:val="1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621"/>
    <w:rsid w:val="00002989"/>
    <w:rsid w:val="00003A52"/>
    <w:rsid w:val="00005649"/>
    <w:rsid w:val="00006354"/>
    <w:rsid w:val="00007B56"/>
    <w:rsid w:val="00011494"/>
    <w:rsid w:val="00011B8E"/>
    <w:rsid w:val="00015583"/>
    <w:rsid w:val="00015782"/>
    <w:rsid w:val="00015DEA"/>
    <w:rsid w:val="000168FD"/>
    <w:rsid w:val="00016AEA"/>
    <w:rsid w:val="0001705E"/>
    <w:rsid w:val="0002289B"/>
    <w:rsid w:val="00031554"/>
    <w:rsid w:val="000319A0"/>
    <w:rsid w:val="0003254D"/>
    <w:rsid w:val="00033A13"/>
    <w:rsid w:val="00033DB6"/>
    <w:rsid w:val="00035BDD"/>
    <w:rsid w:val="00035EA1"/>
    <w:rsid w:val="00041C35"/>
    <w:rsid w:val="000513EE"/>
    <w:rsid w:val="0005308B"/>
    <w:rsid w:val="00055EE7"/>
    <w:rsid w:val="000563D0"/>
    <w:rsid w:val="00056BBD"/>
    <w:rsid w:val="00057063"/>
    <w:rsid w:val="00057CCC"/>
    <w:rsid w:val="00062C8B"/>
    <w:rsid w:val="00063C1C"/>
    <w:rsid w:val="00063E65"/>
    <w:rsid w:val="000653E0"/>
    <w:rsid w:val="00070958"/>
    <w:rsid w:val="00083072"/>
    <w:rsid w:val="00083B3C"/>
    <w:rsid w:val="00086315"/>
    <w:rsid w:val="000908A9"/>
    <w:rsid w:val="00092958"/>
    <w:rsid w:val="000A0476"/>
    <w:rsid w:val="000A34FA"/>
    <w:rsid w:val="000A4AD5"/>
    <w:rsid w:val="000B2A7F"/>
    <w:rsid w:val="000B6D33"/>
    <w:rsid w:val="000C10F8"/>
    <w:rsid w:val="000C3CA1"/>
    <w:rsid w:val="000C624D"/>
    <w:rsid w:val="000C7B3F"/>
    <w:rsid w:val="000D0CAC"/>
    <w:rsid w:val="000D1802"/>
    <w:rsid w:val="000D4701"/>
    <w:rsid w:val="000D53AC"/>
    <w:rsid w:val="000D589C"/>
    <w:rsid w:val="000E1053"/>
    <w:rsid w:val="000E521A"/>
    <w:rsid w:val="000E5944"/>
    <w:rsid w:val="000E67E8"/>
    <w:rsid w:val="000E7D3B"/>
    <w:rsid w:val="000F6829"/>
    <w:rsid w:val="000F7226"/>
    <w:rsid w:val="00104C40"/>
    <w:rsid w:val="00112769"/>
    <w:rsid w:val="001137A4"/>
    <w:rsid w:val="00113F1F"/>
    <w:rsid w:val="001140C9"/>
    <w:rsid w:val="00114285"/>
    <w:rsid w:val="00114A0B"/>
    <w:rsid w:val="00116F45"/>
    <w:rsid w:val="001304E2"/>
    <w:rsid w:val="00136E1A"/>
    <w:rsid w:val="00137AD2"/>
    <w:rsid w:val="00140962"/>
    <w:rsid w:val="00140E83"/>
    <w:rsid w:val="00142E61"/>
    <w:rsid w:val="00143417"/>
    <w:rsid w:val="00144712"/>
    <w:rsid w:val="001455D7"/>
    <w:rsid w:val="00151AFA"/>
    <w:rsid w:val="00152204"/>
    <w:rsid w:val="001534AE"/>
    <w:rsid w:val="0015374E"/>
    <w:rsid w:val="00153BE9"/>
    <w:rsid w:val="00157848"/>
    <w:rsid w:val="00157ED6"/>
    <w:rsid w:val="001657A9"/>
    <w:rsid w:val="0016785D"/>
    <w:rsid w:val="0017178D"/>
    <w:rsid w:val="00173EA5"/>
    <w:rsid w:val="0018259B"/>
    <w:rsid w:val="00195DF3"/>
    <w:rsid w:val="00195E0A"/>
    <w:rsid w:val="001A2230"/>
    <w:rsid w:val="001A32D2"/>
    <w:rsid w:val="001A7097"/>
    <w:rsid w:val="001A7713"/>
    <w:rsid w:val="001C0B0B"/>
    <w:rsid w:val="001D2995"/>
    <w:rsid w:val="001D2DFD"/>
    <w:rsid w:val="001D3621"/>
    <w:rsid w:val="001D577F"/>
    <w:rsid w:val="001D5EF7"/>
    <w:rsid w:val="001E3C79"/>
    <w:rsid w:val="001E4C2E"/>
    <w:rsid w:val="001F4CDD"/>
    <w:rsid w:val="002000C8"/>
    <w:rsid w:val="00203C38"/>
    <w:rsid w:val="0020483D"/>
    <w:rsid w:val="00205CB0"/>
    <w:rsid w:val="00207688"/>
    <w:rsid w:val="00207D6F"/>
    <w:rsid w:val="00215234"/>
    <w:rsid w:val="002165B4"/>
    <w:rsid w:val="002165FB"/>
    <w:rsid w:val="00216A64"/>
    <w:rsid w:val="002174D7"/>
    <w:rsid w:val="00223C52"/>
    <w:rsid w:val="00223F9A"/>
    <w:rsid w:val="00225398"/>
    <w:rsid w:val="0022603F"/>
    <w:rsid w:val="00227418"/>
    <w:rsid w:val="0022788D"/>
    <w:rsid w:val="00231CD3"/>
    <w:rsid w:val="0023435D"/>
    <w:rsid w:val="00235E84"/>
    <w:rsid w:val="00236B91"/>
    <w:rsid w:val="00237CA0"/>
    <w:rsid w:val="00241BB5"/>
    <w:rsid w:val="002444C3"/>
    <w:rsid w:val="00246DE0"/>
    <w:rsid w:val="00250FC1"/>
    <w:rsid w:val="0025416E"/>
    <w:rsid w:val="00255D75"/>
    <w:rsid w:val="0025693C"/>
    <w:rsid w:val="002619FC"/>
    <w:rsid w:val="00261C22"/>
    <w:rsid w:val="00270DF7"/>
    <w:rsid w:val="00271825"/>
    <w:rsid w:val="00272A56"/>
    <w:rsid w:val="00273954"/>
    <w:rsid w:val="00274732"/>
    <w:rsid w:val="00274A5D"/>
    <w:rsid w:val="00281EF9"/>
    <w:rsid w:val="00286A51"/>
    <w:rsid w:val="00286FEE"/>
    <w:rsid w:val="00291F0A"/>
    <w:rsid w:val="0029232B"/>
    <w:rsid w:val="00292A71"/>
    <w:rsid w:val="00293876"/>
    <w:rsid w:val="002A05B4"/>
    <w:rsid w:val="002A05D6"/>
    <w:rsid w:val="002A2D17"/>
    <w:rsid w:val="002A3708"/>
    <w:rsid w:val="002A4294"/>
    <w:rsid w:val="002A5161"/>
    <w:rsid w:val="002B6EAB"/>
    <w:rsid w:val="002B74DE"/>
    <w:rsid w:val="002C02F8"/>
    <w:rsid w:val="002C166D"/>
    <w:rsid w:val="002D1FFD"/>
    <w:rsid w:val="002E195D"/>
    <w:rsid w:val="002E41A2"/>
    <w:rsid w:val="002E44DF"/>
    <w:rsid w:val="002E46F4"/>
    <w:rsid w:val="002F24F9"/>
    <w:rsid w:val="002F3149"/>
    <w:rsid w:val="002F33BC"/>
    <w:rsid w:val="003073B4"/>
    <w:rsid w:val="00307EDB"/>
    <w:rsid w:val="00312D4D"/>
    <w:rsid w:val="003139D0"/>
    <w:rsid w:val="00320459"/>
    <w:rsid w:val="003317C9"/>
    <w:rsid w:val="0033221C"/>
    <w:rsid w:val="00335B0D"/>
    <w:rsid w:val="003414F1"/>
    <w:rsid w:val="00342EC8"/>
    <w:rsid w:val="00350F73"/>
    <w:rsid w:val="0035163A"/>
    <w:rsid w:val="00355D2E"/>
    <w:rsid w:val="00357688"/>
    <w:rsid w:val="0036037A"/>
    <w:rsid w:val="00365665"/>
    <w:rsid w:val="00367BF2"/>
    <w:rsid w:val="00370E0C"/>
    <w:rsid w:val="00377C57"/>
    <w:rsid w:val="00386AE6"/>
    <w:rsid w:val="00392470"/>
    <w:rsid w:val="00392E28"/>
    <w:rsid w:val="00394920"/>
    <w:rsid w:val="00396A00"/>
    <w:rsid w:val="003A0EBC"/>
    <w:rsid w:val="003A1F2D"/>
    <w:rsid w:val="003B30A8"/>
    <w:rsid w:val="003B3940"/>
    <w:rsid w:val="003B4F9A"/>
    <w:rsid w:val="003C02D6"/>
    <w:rsid w:val="003C6DBA"/>
    <w:rsid w:val="003D0C3B"/>
    <w:rsid w:val="003D2FB7"/>
    <w:rsid w:val="003D4DB5"/>
    <w:rsid w:val="003E24A3"/>
    <w:rsid w:val="003E6FA5"/>
    <w:rsid w:val="003F1C14"/>
    <w:rsid w:val="003F6F05"/>
    <w:rsid w:val="003F72FA"/>
    <w:rsid w:val="0040005D"/>
    <w:rsid w:val="004013E2"/>
    <w:rsid w:val="00401E7A"/>
    <w:rsid w:val="0041762F"/>
    <w:rsid w:val="00423636"/>
    <w:rsid w:val="00423AD3"/>
    <w:rsid w:val="0042589E"/>
    <w:rsid w:val="00433964"/>
    <w:rsid w:val="00436C1C"/>
    <w:rsid w:val="004456DF"/>
    <w:rsid w:val="0044584A"/>
    <w:rsid w:val="00447214"/>
    <w:rsid w:val="00447566"/>
    <w:rsid w:val="004515CA"/>
    <w:rsid w:val="004578AB"/>
    <w:rsid w:val="00460BDF"/>
    <w:rsid w:val="00461960"/>
    <w:rsid w:val="004620F2"/>
    <w:rsid w:val="0046343A"/>
    <w:rsid w:val="004637E9"/>
    <w:rsid w:val="004659A1"/>
    <w:rsid w:val="00465E01"/>
    <w:rsid w:val="00471C14"/>
    <w:rsid w:val="00472925"/>
    <w:rsid w:val="004778B0"/>
    <w:rsid w:val="00477BEF"/>
    <w:rsid w:val="004804E3"/>
    <w:rsid w:val="0048092C"/>
    <w:rsid w:val="00482E2D"/>
    <w:rsid w:val="00485CA1"/>
    <w:rsid w:val="0048606E"/>
    <w:rsid w:val="004932C9"/>
    <w:rsid w:val="00495F8C"/>
    <w:rsid w:val="00497185"/>
    <w:rsid w:val="004A0D76"/>
    <w:rsid w:val="004A2391"/>
    <w:rsid w:val="004A6707"/>
    <w:rsid w:val="004B158F"/>
    <w:rsid w:val="004B3AB1"/>
    <w:rsid w:val="004B6AE1"/>
    <w:rsid w:val="004B7BA6"/>
    <w:rsid w:val="004C32D9"/>
    <w:rsid w:val="004C3662"/>
    <w:rsid w:val="004D3FEA"/>
    <w:rsid w:val="004D48D9"/>
    <w:rsid w:val="004E1993"/>
    <w:rsid w:val="004E311C"/>
    <w:rsid w:val="004E5215"/>
    <w:rsid w:val="004E5F90"/>
    <w:rsid w:val="004F4063"/>
    <w:rsid w:val="004F6E63"/>
    <w:rsid w:val="004F6F1C"/>
    <w:rsid w:val="004F7079"/>
    <w:rsid w:val="004F79CB"/>
    <w:rsid w:val="00502D55"/>
    <w:rsid w:val="005111F8"/>
    <w:rsid w:val="00512467"/>
    <w:rsid w:val="00514EDC"/>
    <w:rsid w:val="00517B7D"/>
    <w:rsid w:val="00520916"/>
    <w:rsid w:val="005213CE"/>
    <w:rsid w:val="00530513"/>
    <w:rsid w:val="00540C82"/>
    <w:rsid w:val="00541616"/>
    <w:rsid w:val="005425C2"/>
    <w:rsid w:val="005436B1"/>
    <w:rsid w:val="00543EC3"/>
    <w:rsid w:val="00547178"/>
    <w:rsid w:val="0054723E"/>
    <w:rsid w:val="00552E0D"/>
    <w:rsid w:val="0056038C"/>
    <w:rsid w:val="00562F75"/>
    <w:rsid w:val="00566264"/>
    <w:rsid w:val="00566E22"/>
    <w:rsid w:val="0057438E"/>
    <w:rsid w:val="00575609"/>
    <w:rsid w:val="00576345"/>
    <w:rsid w:val="00582F36"/>
    <w:rsid w:val="00584FD2"/>
    <w:rsid w:val="005870AE"/>
    <w:rsid w:val="00587391"/>
    <w:rsid w:val="005900E5"/>
    <w:rsid w:val="00594165"/>
    <w:rsid w:val="00596D0D"/>
    <w:rsid w:val="005A14CC"/>
    <w:rsid w:val="005A482D"/>
    <w:rsid w:val="005A6868"/>
    <w:rsid w:val="005B053A"/>
    <w:rsid w:val="005B10D2"/>
    <w:rsid w:val="005B1FDC"/>
    <w:rsid w:val="005B23E6"/>
    <w:rsid w:val="005C2170"/>
    <w:rsid w:val="005C418D"/>
    <w:rsid w:val="005D05E1"/>
    <w:rsid w:val="005D30DE"/>
    <w:rsid w:val="005D7AA5"/>
    <w:rsid w:val="005E2761"/>
    <w:rsid w:val="005E27C3"/>
    <w:rsid w:val="005E30B8"/>
    <w:rsid w:val="005E3578"/>
    <w:rsid w:val="005E7406"/>
    <w:rsid w:val="005F112B"/>
    <w:rsid w:val="005F1948"/>
    <w:rsid w:val="005F64F6"/>
    <w:rsid w:val="005F6616"/>
    <w:rsid w:val="00601958"/>
    <w:rsid w:val="00601A79"/>
    <w:rsid w:val="00601E76"/>
    <w:rsid w:val="00612750"/>
    <w:rsid w:val="00617E85"/>
    <w:rsid w:val="00625468"/>
    <w:rsid w:val="00627DDB"/>
    <w:rsid w:val="0063106F"/>
    <w:rsid w:val="0063254B"/>
    <w:rsid w:val="00635E43"/>
    <w:rsid w:val="00640991"/>
    <w:rsid w:val="0064192E"/>
    <w:rsid w:val="00641F8D"/>
    <w:rsid w:val="0065404E"/>
    <w:rsid w:val="0065536F"/>
    <w:rsid w:val="00657EC9"/>
    <w:rsid w:val="006621DF"/>
    <w:rsid w:val="00662786"/>
    <w:rsid w:val="00662B00"/>
    <w:rsid w:val="00670B55"/>
    <w:rsid w:val="006733B1"/>
    <w:rsid w:val="0067563E"/>
    <w:rsid w:val="00677E9F"/>
    <w:rsid w:val="00682236"/>
    <w:rsid w:val="0068373D"/>
    <w:rsid w:val="00685D96"/>
    <w:rsid w:val="00687E5A"/>
    <w:rsid w:val="00691091"/>
    <w:rsid w:val="00691C14"/>
    <w:rsid w:val="006A1730"/>
    <w:rsid w:val="006A3A60"/>
    <w:rsid w:val="006A44E5"/>
    <w:rsid w:val="006A6510"/>
    <w:rsid w:val="006A7698"/>
    <w:rsid w:val="006A7E5A"/>
    <w:rsid w:val="006B0AD6"/>
    <w:rsid w:val="006B0EDE"/>
    <w:rsid w:val="006B13AA"/>
    <w:rsid w:val="006B6D0A"/>
    <w:rsid w:val="006B6E11"/>
    <w:rsid w:val="006B6E44"/>
    <w:rsid w:val="006C1039"/>
    <w:rsid w:val="006C178D"/>
    <w:rsid w:val="006C452F"/>
    <w:rsid w:val="006C54F1"/>
    <w:rsid w:val="006D162A"/>
    <w:rsid w:val="006D307B"/>
    <w:rsid w:val="006D6C70"/>
    <w:rsid w:val="006F1B2C"/>
    <w:rsid w:val="006F42E6"/>
    <w:rsid w:val="006F57DD"/>
    <w:rsid w:val="006F5963"/>
    <w:rsid w:val="00700637"/>
    <w:rsid w:val="00702EF1"/>
    <w:rsid w:val="007055BC"/>
    <w:rsid w:val="00706A63"/>
    <w:rsid w:val="00707207"/>
    <w:rsid w:val="00707B16"/>
    <w:rsid w:val="007109A7"/>
    <w:rsid w:val="00711603"/>
    <w:rsid w:val="00712637"/>
    <w:rsid w:val="007132A9"/>
    <w:rsid w:val="00713693"/>
    <w:rsid w:val="0072197A"/>
    <w:rsid w:val="00722E29"/>
    <w:rsid w:val="00723497"/>
    <w:rsid w:val="00725343"/>
    <w:rsid w:val="007315C9"/>
    <w:rsid w:val="007317B9"/>
    <w:rsid w:val="00733355"/>
    <w:rsid w:val="00735B8E"/>
    <w:rsid w:val="0074087F"/>
    <w:rsid w:val="007411F6"/>
    <w:rsid w:val="00742DC9"/>
    <w:rsid w:val="00743327"/>
    <w:rsid w:val="007435C8"/>
    <w:rsid w:val="0075259A"/>
    <w:rsid w:val="00753583"/>
    <w:rsid w:val="00761C40"/>
    <w:rsid w:val="00761E9C"/>
    <w:rsid w:val="007622B2"/>
    <w:rsid w:val="0076425E"/>
    <w:rsid w:val="0077585D"/>
    <w:rsid w:val="00775F46"/>
    <w:rsid w:val="00776B74"/>
    <w:rsid w:val="00776FBF"/>
    <w:rsid w:val="00777501"/>
    <w:rsid w:val="0078220F"/>
    <w:rsid w:val="0078315A"/>
    <w:rsid w:val="00783598"/>
    <w:rsid w:val="0079238A"/>
    <w:rsid w:val="00792C28"/>
    <w:rsid w:val="007966C1"/>
    <w:rsid w:val="007A0CC2"/>
    <w:rsid w:val="007A3259"/>
    <w:rsid w:val="007A6011"/>
    <w:rsid w:val="007C1739"/>
    <w:rsid w:val="007D2154"/>
    <w:rsid w:val="007D2C0A"/>
    <w:rsid w:val="007D4131"/>
    <w:rsid w:val="007D4C96"/>
    <w:rsid w:val="007D57BB"/>
    <w:rsid w:val="007D6614"/>
    <w:rsid w:val="007D70C6"/>
    <w:rsid w:val="007E0180"/>
    <w:rsid w:val="007E22E7"/>
    <w:rsid w:val="007E258D"/>
    <w:rsid w:val="007E36C2"/>
    <w:rsid w:val="007E57EC"/>
    <w:rsid w:val="007F44C2"/>
    <w:rsid w:val="007F7D1D"/>
    <w:rsid w:val="00800FA4"/>
    <w:rsid w:val="0080194C"/>
    <w:rsid w:val="00803732"/>
    <w:rsid w:val="008054D4"/>
    <w:rsid w:val="00810701"/>
    <w:rsid w:val="00813E26"/>
    <w:rsid w:val="00823069"/>
    <w:rsid w:val="008245BD"/>
    <w:rsid w:val="0082495A"/>
    <w:rsid w:val="00831BFC"/>
    <w:rsid w:val="00842F3A"/>
    <w:rsid w:val="008455F7"/>
    <w:rsid w:val="00846033"/>
    <w:rsid w:val="008465CF"/>
    <w:rsid w:val="008478D9"/>
    <w:rsid w:val="00856D21"/>
    <w:rsid w:val="00856DFC"/>
    <w:rsid w:val="00857429"/>
    <w:rsid w:val="0086008B"/>
    <w:rsid w:val="008601B4"/>
    <w:rsid w:val="00860C57"/>
    <w:rsid w:val="00861EFF"/>
    <w:rsid w:val="00864144"/>
    <w:rsid w:val="00864AC8"/>
    <w:rsid w:val="00876AB5"/>
    <w:rsid w:val="00881365"/>
    <w:rsid w:val="00881689"/>
    <w:rsid w:val="00883C42"/>
    <w:rsid w:val="008854C0"/>
    <w:rsid w:val="00886741"/>
    <w:rsid w:val="00892C10"/>
    <w:rsid w:val="00892C4D"/>
    <w:rsid w:val="008950B0"/>
    <w:rsid w:val="008971CC"/>
    <w:rsid w:val="008974AB"/>
    <w:rsid w:val="00897C75"/>
    <w:rsid w:val="008A025F"/>
    <w:rsid w:val="008A243D"/>
    <w:rsid w:val="008A2D2C"/>
    <w:rsid w:val="008B1998"/>
    <w:rsid w:val="008B24BB"/>
    <w:rsid w:val="008B46A5"/>
    <w:rsid w:val="008B5374"/>
    <w:rsid w:val="008B712F"/>
    <w:rsid w:val="008B7F87"/>
    <w:rsid w:val="008C3081"/>
    <w:rsid w:val="008D3539"/>
    <w:rsid w:val="008D3658"/>
    <w:rsid w:val="008D6830"/>
    <w:rsid w:val="008D7B42"/>
    <w:rsid w:val="008E155A"/>
    <w:rsid w:val="008E2352"/>
    <w:rsid w:val="008E4863"/>
    <w:rsid w:val="008F5666"/>
    <w:rsid w:val="0091369F"/>
    <w:rsid w:val="00914AB9"/>
    <w:rsid w:val="009225BC"/>
    <w:rsid w:val="00926866"/>
    <w:rsid w:val="00931CC6"/>
    <w:rsid w:val="00933DF1"/>
    <w:rsid w:val="009344F5"/>
    <w:rsid w:val="00935463"/>
    <w:rsid w:val="00936AE6"/>
    <w:rsid w:val="00943756"/>
    <w:rsid w:val="009513F8"/>
    <w:rsid w:val="0095216E"/>
    <w:rsid w:val="009536C3"/>
    <w:rsid w:val="00955A24"/>
    <w:rsid w:val="009566FF"/>
    <w:rsid w:val="00956722"/>
    <w:rsid w:val="00956B26"/>
    <w:rsid w:val="00964523"/>
    <w:rsid w:val="009731A6"/>
    <w:rsid w:val="0097558C"/>
    <w:rsid w:val="009757CF"/>
    <w:rsid w:val="00975C0F"/>
    <w:rsid w:val="00975D45"/>
    <w:rsid w:val="00977EB6"/>
    <w:rsid w:val="00980388"/>
    <w:rsid w:val="009820C9"/>
    <w:rsid w:val="00983378"/>
    <w:rsid w:val="00983E81"/>
    <w:rsid w:val="00985C49"/>
    <w:rsid w:val="00987B6C"/>
    <w:rsid w:val="009902EE"/>
    <w:rsid w:val="00992F7F"/>
    <w:rsid w:val="00994397"/>
    <w:rsid w:val="00994568"/>
    <w:rsid w:val="00994A01"/>
    <w:rsid w:val="00994ABE"/>
    <w:rsid w:val="009A000A"/>
    <w:rsid w:val="009A10EC"/>
    <w:rsid w:val="009A4E00"/>
    <w:rsid w:val="009A4E3E"/>
    <w:rsid w:val="009B1058"/>
    <w:rsid w:val="009B42E2"/>
    <w:rsid w:val="009B43AE"/>
    <w:rsid w:val="009C02A6"/>
    <w:rsid w:val="009C0422"/>
    <w:rsid w:val="009C1D1E"/>
    <w:rsid w:val="009C6017"/>
    <w:rsid w:val="009C7267"/>
    <w:rsid w:val="009D2DA4"/>
    <w:rsid w:val="009D4AA7"/>
    <w:rsid w:val="009D5E42"/>
    <w:rsid w:val="009E1121"/>
    <w:rsid w:val="009E3C4A"/>
    <w:rsid w:val="009E3E20"/>
    <w:rsid w:val="009E429B"/>
    <w:rsid w:val="009E43B9"/>
    <w:rsid w:val="009F0E49"/>
    <w:rsid w:val="009F2FB4"/>
    <w:rsid w:val="009F465D"/>
    <w:rsid w:val="00A0026A"/>
    <w:rsid w:val="00A0238A"/>
    <w:rsid w:val="00A0361E"/>
    <w:rsid w:val="00A063E4"/>
    <w:rsid w:val="00A11280"/>
    <w:rsid w:val="00A146A3"/>
    <w:rsid w:val="00A1537D"/>
    <w:rsid w:val="00A166D4"/>
    <w:rsid w:val="00A21B3F"/>
    <w:rsid w:val="00A21E6D"/>
    <w:rsid w:val="00A22820"/>
    <w:rsid w:val="00A2382C"/>
    <w:rsid w:val="00A305EB"/>
    <w:rsid w:val="00A30643"/>
    <w:rsid w:val="00A30932"/>
    <w:rsid w:val="00A326AC"/>
    <w:rsid w:val="00A335D1"/>
    <w:rsid w:val="00A36F99"/>
    <w:rsid w:val="00A37C82"/>
    <w:rsid w:val="00A41F51"/>
    <w:rsid w:val="00A425B6"/>
    <w:rsid w:val="00A42BB9"/>
    <w:rsid w:val="00A44759"/>
    <w:rsid w:val="00A46E50"/>
    <w:rsid w:val="00A5460C"/>
    <w:rsid w:val="00A5539C"/>
    <w:rsid w:val="00A55607"/>
    <w:rsid w:val="00A566FE"/>
    <w:rsid w:val="00A56BFA"/>
    <w:rsid w:val="00A610C3"/>
    <w:rsid w:val="00A622FF"/>
    <w:rsid w:val="00A64DF5"/>
    <w:rsid w:val="00A67684"/>
    <w:rsid w:val="00A67B81"/>
    <w:rsid w:val="00A717A6"/>
    <w:rsid w:val="00A71CF0"/>
    <w:rsid w:val="00A729B2"/>
    <w:rsid w:val="00A73517"/>
    <w:rsid w:val="00A73F94"/>
    <w:rsid w:val="00A74410"/>
    <w:rsid w:val="00A74978"/>
    <w:rsid w:val="00A77BAB"/>
    <w:rsid w:val="00A91E48"/>
    <w:rsid w:val="00A92156"/>
    <w:rsid w:val="00A93409"/>
    <w:rsid w:val="00A93EDF"/>
    <w:rsid w:val="00AA02ED"/>
    <w:rsid w:val="00AA16EA"/>
    <w:rsid w:val="00AA17E8"/>
    <w:rsid w:val="00AA2DA2"/>
    <w:rsid w:val="00AA5ABD"/>
    <w:rsid w:val="00AA6D21"/>
    <w:rsid w:val="00AA7891"/>
    <w:rsid w:val="00AA7AA1"/>
    <w:rsid w:val="00AB1813"/>
    <w:rsid w:val="00AB5598"/>
    <w:rsid w:val="00AC40E9"/>
    <w:rsid w:val="00AC42C2"/>
    <w:rsid w:val="00AC7D5D"/>
    <w:rsid w:val="00AD36BA"/>
    <w:rsid w:val="00AD561C"/>
    <w:rsid w:val="00AD7BF3"/>
    <w:rsid w:val="00AE20BA"/>
    <w:rsid w:val="00AE29BF"/>
    <w:rsid w:val="00AE492F"/>
    <w:rsid w:val="00AE6A13"/>
    <w:rsid w:val="00AF6E20"/>
    <w:rsid w:val="00AF7918"/>
    <w:rsid w:val="00B02F25"/>
    <w:rsid w:val="00B0456B"/>
    <w:rsid w:val="00B07132"/>
    <w:rsid w:val="00B07428"/>
    <w:rsid w:val="00B11FE6"/>
    <w:rsid w:val="00B14D1A"/>
    <w:rsid w:val="00B23042"/>
    <w:rsid w:val="00B24153"/>
    <w:rsid w:val="00B24B36"/>
    <w:rsid w:val="00B2752C"/>
    <w:rsid w:val="00B300BB"/>
    <w:rsid w:val="00B30223"/>
    <w:rsid w:val="00B30275"/>
    <w:rsid w:val="00B400E3"/>
    <w:rsid w:val="00B42BF9"/>
    <w:rsid w:val="00B43D17"/>
    <w:rsid w:val="00B47991"/>
    <w:rsid w:val="00B50A44"/>
    <w:rsid w:val="00B5189D"/>
    <w:rsid w:val="00B5464B"/>
    <w:rsid w:val="00B54AF4"/>
    <w:rsid w:val="00B56563"/>
    <w:rsid w:val="00B627EE"/>
    <w:rsid w:val="00B67239"/>
    <w:rsid w:val="00B70521"/>
    <w:rsid w:val="00B7401B"/>
    <w:rsid w:val="00B8092F"/>
    <w:rsid w:val="00B816C0"/>
    <w:rsid w:val="00B86856"/>
    <w:rsid w:val="00B901DE"/>
    <w:rsid w:val="00B9288D"/>
    <w:rsid w:val="00B95CC5"/>
    <w:rsid w:val="00BA057E"/>
    <w:rsid w:val="00BA3F96"/>
    <w:rsid w:val="00BB359B"/>
    <w:rsid w:val="00BB3B5A"/>
    <w:rsid w:val="00BC14B8"/>
    <w:rsid w:val="00BC52C6"/>
    <w:rsid w:val="00BC6511"/>
    <w:rsid w:val="00BC7EE3"/>
    <w:rsid w:val="00BD1809"/>
    <w:rsid w:val="00BD312C"/>
    <w:rsid w:val="00BD3741"/>
    <w:rsid w:val="00BD623F"/>
    <w:rsid w:val="00BE1108"/>
    <w:rsid w:val="00BE34E0"/>
    <w:rsid w:val="00BE78D2"/>
    <w:rsid w:val="00BF0CA3"/>
    <w:rsid w:val="00BF3654"/>
    <w:rsid w:val="00BF5BE4"/>
    <w:rsid w:val="00C013F9"/>
    <w:rsid w:val="00C04951"/>
    <w:rsid w:val="00C05E3B"/>
    <w:rsid w:val="00C13E93"/>
    <w:rsid w:val="00C169AD"/>
    <w:rsid w:val="00C229BF"/>
    <w:rsid w:val="00C23DD6"/>
    <w:rsid w:val="00C3041C"/>
    <w:rsid w:val="00C41080"/>
    <w:rsid w:val="00C417EC"/>
    <w:rsid w:val="00C43015"/>
    <w:rsid w:val="00C44151"/>
    <w:rsid w:val="00C46439"/>
    <w:rsid w:val="00C501E4"/>
    <w:rsid w:val="00C50F59"/>
    <w:rsid w:val="00C51F3F"/>
    <w:rsid w:val="00C53D87"/>
    <w:rsid w:val="00C63E43"/>
    <w:rsid w:val="00C64505"/>
    <w:rsid w:val="00C65C99"/>
    <w:rsid w:val="00C666B5"/>
    <w:rsid w:val="00C67D59"/>
    <w:rsid w:val="00C71130"/>
    <w:rsid w:val="00C71AEF"/>
    <w:rsid w:val="00C77EF3"/>
    <w:rsid w:val="00C83731"/>
    <w:rsid w:val="00C8445E"/>
    <w:rsid w:val="00C92AB6"/>
    <w:rsid w:val="00C95296"/>
    <w:rsid w:val="00C961C7"/>
    <w:rsid w:val="00CA0118"/>
    <w:rsid w:val="00CA1A8B"/>
    <w:rsid w:val="00CA46CD"/>
    <w:rsid w:val="00CA4F1D"/>
    <w:rsid w:val="00CA717F"/>
    <w:rsid w:val="00CB07A2"/>
    <w:rsid w:val="00CB4183"/>
    <w:rsid w:val="00CB63F2"/>
    <w:rsid w:val="00CB7CC5"/>
    <w:rsid w:val="00CC3D02"/>
    <w:rsid w:val="00CD24D6"/>
    <w:rsid w:val="00CD4756"/>
    <w:rsid w:val="00CD784C"/>
    <w:rsid w:val="00CE045F"/>
    <w:rsid w:val="00CE0CF8"/>
    <w:rsid w:val="00CE1D03"/>
    <w:rsid w:val="00CE24BD"/>
    <w:rsid w:val="00CE4515"/>
    <w:rsid w:val="00CE7C90"/>
    <w:rsid w:val="00CE7C94"/>
    <w:rsid w:val="00CF1305"/>
    <w:rsid w:val="00CF3A1F"/>
    <w:rsid w:val="00CF63B0"/>
    <w:rsid w:val="00D01C11"/>
    <w:rsid w:val="00D06A27"/>
    <w:rsid w:val="00D07AF4"/>
    <w:rsid w:val="00D10227"/>
    <w:rsid w:val="00D109D2"/>
    <w:rsid w:val="00D15791"/>
    <w:rsid w:val="00D21207"/>
    <w:rsid w:val="00D26BE8"/>
    <w:rsid w:val="00D27432"/>
    <w:rsid w:val="00D307DB"/>
    <w:rsid w:val="00D30972"/>
    <w:rsid w:val="00D34A8D"/>
    <w:rsid w:val="00D36A60"/>
    <w:rsid w:val="00D4097D"/>
    <w:rsid w:val="00D456E9"/>
    <w:rsid w:val="00D46577"/>
    <w:rsid w:val="00D46775"/>
    <w:rsid w:val="00D47691"/>
    <w:rsid w:val="00D47A5A"/>
    <w:rsid w:val="00D57462"/>
    <w:rsid w:val="00D57F43"/>
    <w:rsid w:val="00D60A01"/>
    <w:rsid w:val="00D62B0D"/>
    <w:rsid w:val="00D70A31"/>
    <w:rsid w:val="00D71325"/>
    <w:rsid w:val="00D74914"/>
    <w:rsid w:val="00D80AAE"/>
    <w:rsid w:val="00D80C14"/>
    <w:rsid w:val="00D83E2E"/>
    <w:rsid w:val="00D84269"/>
    <w:rsid w:val="00D84B6C"/>
    <w:rsid w:val="00D91C0E"/>
    <w:rsid w:val="00D96AEF"/>
    <w:rsid w:val="00D96C0B"/>
    <w:rsid w:val="00D96CA8"/>
    <w:rsid w:val="00D97AE5"/>
    <w:rsid w:val="00DA1CBC"/>
    <w:rsid w:val="00DA64DA"/>
    <w:rsid w:val="00DB3CE8"/>
    <w:rsid w:val="00DB5184"/>
    <w:rsid w:val="00DB5AA4"/>
    <w:rsid w:val="00DB5E30"/>
    <w:rsid w:val="00DD29D8"/>
    <w:rsid w:val="00DD77C6"/>
    <w:rsid w:val="00DD7F68"/>
    <w:rsid w:val="00DE039B"/>
    <w:rsid w:val="00DE29A8"/>
    <w:rsid w:val="00DE744D"/>
    <w:rsid w:val="00DE7C8E"/>
    <w:rsid w:val="00DF2D9B"/>
    <w:rsid w:val="00DF3CDE"/>
    <w:rsid w:val="00DF4679"/>
    <w:rsid w:val="00DF5A0A"/>
    <w:rsid w:val="00E00A28"/>
    <w:rsid w:val="00E018AE"/>
    <w:rsid w:val="00E12D31"/>
    <w:rsid w:val="00E151AB"/>
    <w:rsid w:val="00E152F7"/>
    <w:rsid w:val="00E1605C"/>
    <w:rsid w:val="00E21CC8"/>
    <w:rsid w:val="00E2310F"/>
    <w:rsid w:val="00E24B44"/>
    <w:rsid w:val="00E252C7"/>
    <w:rsid w:val="00E267B7"/>
    <w:rsid w:val="00E26B68"/>
    <w:rsid w:val="00E27129"/>
    <w:rsid w:val="00E30318"/>
    <w:rsid w:val="00E31654"/>
    <w:rsid w:val="00E32317"/>
    <w:rsid w:val="00E34FD6"/>
    <w:rsid w:val="00E41444"/>
    <w:rsid w:val="00E43283"/>
    <w:rsid w:val="00E43E7A"/>
    <w:rsid w:val="00E47908"/>
    <w:rsid w:val="00E503EA"/>
    <w:rsid w:val="00E50DE7"/>
    <w:rsid w:val="00E51454"/>
    <w:rsid w:val="00E572EF"/>
    <w:rsid w:val="00E63D0A"/>
    <w:rsid w:val="00E652A8"/>
    <w:rsid w:val="00E76D66"/>
    <w:rsid w:val="00E80B69"/>
    <w:rsid w:val="00E858A9"/>
    <w:rsid w:val="00E907E9"/>
    <w:rsid w:val="00E91CF9"/>
    <w:rsid w:val="00E937B1"/>
    <w:rsid w:val="00E95D47"/>
    <w:rsid w:val="00E9729C"/>
    <w:rsid w:val="00E97FDF"/>
    <w:rsid w:val="00EC77B0"/>
    <w:rsid w:val="00ED1091"/>
    <w:rsid w:val="00ED2D0B"/>
    <w:rsid w:val="00ED303E"/>
    <w:rsid w:val="00EF2909"/>
    <w:rsid w:val="00EF3F8F"/>
    <w:rsid w:val="00EF46B8"/>
    <w:rsid w:val="00F00ADF"/>
    <w:rsid w:val="00F122C5"/>
    <w:rsid w:val="00F149AD"/>
    <w:rsid w:val="00F174E4"/>
    <w:rsid w:val="00F26B43"/>
    <w:rsid w:val="00F304F8"/>
    <w:rsid w:val="00F308AB"/>
    <w:rsid w:val="00F340A2"/>
    <w:rsid w:val="00F353FE"/>
    <w:rsid w:val="00F41DFA"/>
    <w:rsid w:val="00F4348E"/>
    <w:rsid w:val="00F45E49"/>
    <w:rsid w:val="00F5104E"/>
    <w:rsid w:val="00F51C2E"/>
    <w:rsid w:val="00F633AE"/>
    <w:rsid w:val="00F64BD9"/>
    <w:rsid w:val="00F66EF8"/>
    <w:rsid w:val="00F6744A"/>
    <w:rsid w:val="00F71A63"/>
    <w:rsid w:val="00F71F5D"/>
    <w:rsid w:val="00F76C8B"/>
    <w:rsid w:val="00F82B6A"/>
    <w:rsid w:val="00F830CC"/>
    <w:rsid w:val="00F841E4"/>
    <w:rsid w:val="00F85758"/>
    <w:rsid w:val="00F90331"/>
    <w:rsid w:val="00FA0889"/>
    <w:rsid w:val="00FA1A10"/>
    <w:rsid w:val="00FA4398"/>
    <w:rsid w:val="00FB3A48"/>
    <w:rsid w:val="00FB3CFD"/>
    <w:rsid w:val="00FB43CA"/>
    <w:rsid w:val="00FD3825"/>
    <w:rsid w:val="00FD3D46"/>
    <w:rsid w:val="00FD4489"/>
    <w:rsid w:val="00FD5BA3"/>
    <w:rsid w:val="00FE40F7"/>
    <w:rsid w:val="00FE5B82"/>
    <w:rsid w:val="00FE5CFF"/>
    <w:rsid w:val="00FE6610"/>
    <w:rsid w:val="00FE6B66"/>
    <w:rsid w:val="00FF7006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5:docId w15:val="{E41277B3-A5C3-4362-997D-6660EAB97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23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280"/>
  </w:style>
  <w:style w:type="paragraph" w:styleId="Stopka">
    <w:name w:val="footer"/>
    <w:basedOn w:val="Normalny"/>
    <w:link w:val="StopkaZnak"/>
    <w:uiPriority w:val="99"/>
    <w:unhideWhenUsed/>
    <w:rsid w:val="00A11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280"/>
  </w:style>
  <w:style w:type="paragraph" w:styleId="Akapitzlist">
    <w:name w:val="List Paragraph"/>
    <w:aliases w:val="Akapit z listą BS,Akapit z listą3,Akapit z listą31,Akapit z listą2"/>
    <w:basedOn w:val="Normalny"/>
    <w:link w:val="AkapitzlistZnak"/>
    <w:uiPriority w:val="34"/>
    <w:qFormat/>
    <w:rsid w:val="007A0C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2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92156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A1F2D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3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365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A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A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A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6F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6F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6F1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6F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6F1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D7491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Akapit z listą3 Znak,Akapit z listą31 Znak,Akapit z listą2 Znak"/>
    <w:link w:val="Akapitzlist"/>
    <w:uiPriority w:val="34"/>
    <w:locked/>
    <w:rsid w:val="004C32D9"/>
  </w:style>
  <w:style w:type="paragraph" w:customStyle="1" w:styleId="Default">
    <w:name w:val="Default"/>
    <w:rsid w:val="0065536F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regional_policy/pl/policy/evaluations/guidanc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09135-A820-48B6-BCA0-4171AD10F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3234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BARCZ</dc:creator>
  <cp:lastModifiedBy>Joanna Dybała-Walecko</cp:lastModifiedBy>
  <cp:revision>3</cp:revision>
  <cp:lastPrinted>2017-01-10T08:14:00Z</cp:lastPrinted>
  <dcterms:created xsi:type="dcterms:W3CDTF">2019-05-17T07:30:00Z</dcterms:created>
  <dcterms:modified xsi:type="dcterms:W3CDTF">2019-05-17T08:38:00Z</dcterms:modified>
</cp:coreProperties>
</file>