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D560" w14:textId="77777777" w:rsidR="00842F3A" w:rsidRPr="004A2391" w:rsidRDefault="00842F3A" w:rsidP="00F122C5">
      <w:pPr>
        <w:jc w:val="center"/>
        <w:rPr>
          <w:b/>
          <w:i/>
          <w:color w:val="000099"/>
          <w:sz w:val="44"/>
          <w:szCs w:val="28"/>
        </w:rPr>
      </w:pPr>
      <w:bookmarkStart w:id="0" w:name="_GoBack"/>
      <w:bookmarkEnd w:id="0"/>
    </w:p>
    <w:p w14:paraId="131FB595" w14:textId="77777777" w:rsidR="00F122C5" w:rsidRDefault="006F7A2D" w:rsidP="006F7A2D">
      <w:pPr>
        <w:jc w:val="center"/>
        <w:rPr>
          <w:b/>
        </w:rPr>
      </w:pPr>
      <w:r w:rsidRPr="001C3958">
        <w:rPr>
          <w:noProof/>
        </w:rPr>
        <w:drawing>
          <wp:inline distT="0" distB="0" distL="0" distR="0" wp14:anchorId="1E409521" wp14:editId="2EA5CC62">
            <wp:extent cx="5756910" cy="564515"/>
            <wp:effectExtent l="0" t="0" r="0" b="698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14:paraId="4285CDED" w14:textId="77777777" w:rsidR="00F41DFA" w:rsidRPr="004A2391" w:rsidRDefault="00F41DFA">
      <w:pPr>
        <w:rPr>
          <w:b/>
        </w:rPr>
      </w:pPr>
    </w:p>
    <w:p w14:paraId="2239CACD" w14:textId="77777777" w:rsidR="00F122C5" w:rsidRPr="004A2391" w:rsidRDefault="00F122C5">
      <w:pPr>
        <w:rPr>
          <w:b/>
        </w:rPr>
      </w:pPr>
    </w:p>
    <w:p w14:paraId="1E25DBD0" w14:textId="77777777" w:rsidR="0009185C" w:rsidRDefault="0009185C" w:rsidP="00D74914">
      <w:pPr>
        <w:jc w:val="center"/>
        <w:rPr>
          <w:rFonts w:ascii="Calibri" w:eastAsia="Times New Roman" w:hAnsi="Calibri" w:cs="Times New Roman"/>
          <w:b/>
          <w:color w:val="000099"/>
          <w:sz w:val="44"/>
          <w:szCs w:val="28"/>
        </w:rPr>
      </w:pPr>
    </w:p>
    <w:p w14:paraId="2D6E7D06" w14:textId="77777777" w:rsidR="00111909" w:rsidRPr="00111909" w:rsidRDefault="00111909" w:rsidP="00D74914">
      <w:pPr>
        <w:jc w:val="center"/>
        <w:rPr>
          <w:rFonts w:ascii="Calibri" w:eastAsia="Times New Roman" w:hAnsi="Calibri" w:cs="Times New Roman"/>
          <w:b/>
          <w:sz w:val="44"/>
          <w:szCs w:val="28"/>
        </w:rPr>
      </w:pPr>
      <w:r w:rsidRPr="00111909">
        <w:rPr>
          <w:rFonts w:ascii="Calibri" w:eastAsia="Times New Roman" w:hAnsi="Calibri" w:cs="Times New Roman"/>
          <w:b/>
          <w:sz w:val="44"/>
          <w:szCs w:val="28"/>
        </w:rPr>
        <w:t>ZAŁĄCZNIK NR 8</w:t>
      </w:r>
    </w:p>
    <w:p w14:paraId="02BF2D72" w14:textId="77777777" w:rsidR="00E80877" w:rsidRPr="00111909" w:rsidRDefault="00D74914" w:rsidP="00D74914">
      <w:pPr>
        <w:jc w:val="center"/>
        <w:rPr>
          <w:rFonts w:ascii="Calibri" w:eastAsia="Times New Roman" w:hAnsi="Calibri" w:cs="Times New Roman"/>
          <w:b/>
          <w:i/>
          <w:sz w:val="44"/>
          <w:szCs w:val="28"/>
        </w:rPr>
      </w:pPr>
      <w:r w:rsidRPr="00111909">
        <w:rPr>
          <w:rFonts w:ascii="Calibri" w:eastAsia="Times New Roman" w:hAnsi="Calibri" w:cs="Times New Roman"/>
          <w:b/>
          <w:sz w:val="44"/>
          <w:szCs w:val="28"/>
        </w:rPr>
        <w:t xml:space="preserve">Lista wskaźników na poziomie projektu </w:t>
      </w:r>
      <w:r w:rsidR="00B3671D" w:rsidRPr="00111909">
        <w:rPr>
          <w:rFonts w:ascii="Calibri" w:eastAsia="Times New Roman" w:hAnsi="Calibri" w:cs="Times New Roman"/>
          <w:b/>
          <w:sz w:val="44"/>
          <w:szCs w:val="28"/>
        </w:rPr>
        <w:br/>
      </w:r>
      <w:r w:rsidR="004E05C0" w:rsidRPr="00111909">
        <w:rPr>
          <w:rFonts w:ascii="Calibri" w:eastAsia="Times New Roman" w:hAnsi="Calibri" w:cs="Times New Roman"/>
          <w:b/>
          <w:sz w:val="44"/>
          <w:szCs w:val="28"/>
        </w:rPr>
        <w:t xml:space="preserve">dla działania </w:t>
      </w:r>
      <w:r w:rsidR="003F6963">
        <w:rPr>
          <w:rFonts w:ascii="Calibri" w:eastAsia="Times New Roman" w:hAnsi="Calibri" w:cs="Times New Roman"/>
          <w:b/>
          <w:sz w:val="44"/>
          <w:szCs w:val="28"/>
        </w:rPr>
        <w:t>5.2 Poprawa gospodarowania odpadami komunalnymi</w:t>
      </w:r>
      <w:r w:rsidR="00E80877" w:rsidRPr="00111909">
        <w:rPr>
          <w:rFonts w:ascii="Calibri" w:eastAsia="Times New Roman" w:hAnsi="Calibri" w:cs="Times New Roman"/>
          <w:b/>
          <w:i/>
          <w:sz w:val="44"/>
          <w:szCs w:val="28"/>
        </w:rPr>
        <w:t xml:space="preserve"> </w:t>
      </w:r>
    </w:p>
    <w:p w14:paraId="7B3F0EDB" w14:textId="77777777" w:rsidR="0009185C" w:rsidRDefault="001E4C2E" w:rsidP="0009185C">
      <w:pPr>
        <w:rPr>
          <w:rFonts w:eastAsia="Times New Roman"/>
          <w:b/>
          <w:sz w:val="24"/>
          <w:szCs w:val="20"/>
        </w:rPr>
      </w:pPr>
      <w:r>
        <w:rPr>
          <w:b/>
        </w:rPr>
        <w:t xml:space="preserve">   </w:t>
      </w:r>
    </w:p>
    <w:p w14:paraId="3D29DA5A" w14:textId="77777777" w:rsidR="0009185C" w:rsidRDefault="0009185C" w:rsidP="006F7A2D">
      <w:pPr>
        <w:tabs>
          <w:tab w:val="center" w:pos="4536"/>
          <w:tab w:val="left" w:pos="5415"/>
        </w:tabs>
        <w:suppressAutoHyphens/>
        <w:spacing w:after="0" w:line="240" w:lineRule="auto"/>
        <w:jc w:val="center"/>
        <w:rPr>
          <w:rFonts w:eastAsia="Times New Roman"/>
          <w:b/>
          <w:sz w:val="24"/>
          <w:szCs w:val="20"/>
        </w:rPr>
      </w:pPr>
    </w:p>
    <w:p w14:paraId="09AA83BE" w14:textId="77777777" w:rsidR="0009185C" w:rsidRDefault="0009185C" w:rsidP="006F7A2D">
      <w:pPr>
        <w:tabs>
          <w:tab w:val="center" w:pos="4536"/>
          <w:tab w:val="left" w:pos="5415"/>
        </w:tabs>
        <w:suppressAutoHyphens/>
        <w:spacing w:after="0" w:line="240" w:lineRule="auto"/>
        <w:jc w:val="center"/>
        <w:rPr>
          <w:rFonts w:eastAsia="Times New Roman"/>
          <w:b/>
          <w:sz w:val="24"/>
          <w:szCs w:val="20"/>
        </w:rPr>
      </w:pPr>
    </w:p>
    <w:p w14:paraId="6D8CC9B7" w14:textId="77777777" w:rsidR="0009185C" w:rsidRDefault="0009185C" w:rsidP="006F7A2D">
      <w:pPr>
        <w:tabs>
          <w:tab w:val="center" w:pos="4536"/>
          <w:tab w:val="left" w:pos="5415"/>
        </w:tabs>
        <w:suppressAutoHyphens/>
        <w:spacing w:after="0" w:line="240" w:lineRule="auto"/>
        <w:jc w:val="center"/>
        <w:rPr>
          <w:rFonts w:eastAsia="Times New Roman"/>
          <w:b/>
          <w:sz w:val="24"/>
          <w:szCs w:val="20"/>
        </w:rPr>
      </w:pPr>
    </w:p>
    <w:p w14:paraId="4D236C70" w14:textId="77777777" w:rsidR="0009185C" w:rsidRDefault="0009185C" w:rsidP="006F7A2D">
      <w:pPr>
        <w:tabs>
          <w:tab w:val="center" w:pos="4536"/>
          <w:tab w:val="left" w:pos="5415"/>
        </w:tabs>
        <w:suppressAutoHyphens/>
        <w:spacing w:after="0" w:line="240" w:lineRule="auto"/>
        <w:jc w:val="center"/>
        <w:rPr>
          <w:rFonts w:eastAsia="Times New Roman"/>
          <w:b/>
          <w:sz w:val="24"/>
          <w:szCs w:val="20"/>
        </w:rPr>
      </w:pPr>
    </w:p>
    <w:p w14:paraId="6303E15F" w14:textId="77777777" w:rsidR="0009185C" w:rsidRDefault="0009185C" w:rsidP="006F7A2D">
      <w:pPr>
        <w:tabs>
          <w:tab w:val="center" w:pos="4536"/>
          <w:tab w:val="left" w:pos="5415"/>
        </w:tabs>
        <w:suppressAutoHyphens/>
        <w:spacing w:after="0" w:line="240" w:lineRule="auto"/>
        <w:jc w:val="center"/>
        <w:rPr>
          <w:rFonts w:eastAsia="Times New Roman"/>
          <w:b/>
          <w:sz w:val="24"/>
          <w:szCs w:val="20"/>
        </w:rPr>
      </w:pPr>
    </w:p>
    <w:p w14:paraId="26E9EDCD" w14:textId="77777777" w:rsidR="006F7A2D" w:rsidRPr="00712D8F" w:rsidRDefault="006F7A2D" w:rsidP="006F7A2D">
      <w:pPr>
        <w:tabs>
          <w:tab w:val="center" w:pos="4536"/>
          <w:tab w:val="left" w:pos="5415"/>
        </w:tabs>
        <w:suppressAutoHyphens/>
        <w:spacing w:after="0" w:line="240" w:lineRule="auto"/>
        <w:jc w:val="center"/>
        <w:rPr>
          <w:rFonts w:eastAsia="Times New Roman"/>
          <w:b/>
          <w:sz w:val="24"/>
          <w:szCs w:val="20"/>
        </w:rPr>
      </w:pPr>
      <w:r w:rsidRPr="00712D8F">
        <w:rPr>
          <w:rFonts w:eastAsia="Times New Roman"/>
          <w:b/>
          <w:sz w:val="24"/>
          <w:szCs w:val="20"/>
        </w:rPr>
        <w:t>Wersja 1</w:t>
      </w:r>
    </w:p>
    <w:p w14:paraId="7754A7B6" w14:textId="77777777" w:rsidR="00F122C5" w:rsidRPr="004A2391" w:rsidRDefault="006F7A2D" w:rsidP="006F7A2D">
      <w:pPr>
        <w:jc w:val="center"/>
        <w:rPr>
          <w:b/>
        </w:rPr>
      </w:pPr>
      <w:r w:rsidRPr="00712D8F">
        <w:rPr>
          <w:rFonts w:eastAsia="Times New Roman"/>
          <w:b/>
          <w:sz w:val="24"/>
          <w:szCs w:val="20"/>
        </w:rPr>
        <w:t xml:space="preserve">Opole, </w:t>
      </w:r>
      <w:r w:rsidR="00FB0D0F">
        <w:rPr>
          <w:rFonts w:eastAsia="Times New Roman"/>
          <w:b/>
          <w:sz w:val="24"/>
          <w:szCs w:val="20"/>
        </w:rPr>
        <w:t>marzec</w:t>
      </w:r>
      <w:r w:rsidRPr="00712D8F">
        <w:rPr>
          <w:rFonts w:eastAsia="Times New Roman"/>
          <w:b/>
          <w:sz w:val="24"/>
          <w:szCs w:val="20"/>
        </w:rPr>
        <w:t xml:space="preserve"> 201</w:t>
      </w:r>
      <w:r w:rsidR="00662361">
        <w:rPr>
          <w:rFonts w:eastAsia="Times New Roman"/>
          <w:b/>
          <w:sz w:val="24"/>
          <w:szCs w:val="20"/>
        </w:rPr>
        <w:t>9</w:t>
      </w:r>
      <w:r w:rsidRPr="00712D8F">
        <w:rPr>
          <w:rFonts w:eastAsia="Times New Roman"/>
          <w:b/>
          <w:sz w:val="24"/>
          <w:szCs w:val="20"/>
        </w:rPr>
        <w:t xml:space="preserve"> r.</w:t>
      </w:r>
    </w:p>
    <w:p w14:paraId="05B2F3F2" w14:textId="77777777" w:rsidR="001E4C2E" w:rsidRDefault="001E4C2E" w:rsidP="009114D9">
      <w:pPr>
        <w:spacing w:after="120" w:line="360" w:lineRule="auto"/>
        <w:ind w:left="2832" w:firstLine="708"/>
        <w:jc w:val="both"/>
        <w:rPr>
          <w:rFonts w:ascii="Calibri" w:hAnsi="Calibri"/>
          <w:sz w:val="24"/>
          <w:szCs w:val="24"/>
        </w:rPr>
      </w:pPr>
    </w:p>
    <w:p w14:paraId="3D454416"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2551CA2C" w14:textId="77777777" w:rsidR="00DF2D9B" w:rsidRDefault="00DF2D9B">
      <w:pPr>
        <w:rPr>
          <w:b/>
        </w:rPr>
      </w:pPr>
    </w:p>
    <w:p w14:paraId="4DC5CD14" w14:textId="77777777" w:rsidR="004E05C0" w:rsidRDefault="004E05C0">
      <w:pPr>
        <w:rPr>
          <w:b/>
        </w:rPr>
      </w:pPr>
    </w:p>
    <w:p w14:paraId="385962F7" w14:textId="77777777" w:rsidR="004E05C0" w:rsidRDefault="004E05C0">
      <w:pPr>
        <w:rPr>
          <w:b/>
        </w:rPr>
      </w:pPr>
    </w:p>
    <w:p w14:paraId="58366A62" w14:textId="77777777" w:rsidR="004E05C0" w:rsidRDefault="004E05C0">
      <w:pPr>
        <w:rPr>
          <w:b/>
        </w:rPr>
      </w:pPr>
    </w:p>
    <w:p w14:paraId="3A9C0479" w14:textId="77777777" w:rsidR="004E05C0" w:rsidRDefault="004E05C0">
      <w:pPr>
        <w:rPr>
          <w:b/>
        </w:rPr>
      </w:pPr>
    </w:p>
    <w:p w14:paraId="0E646BC1" w14:textId="77777777" w:rsidR="00611F30" w:rsidRDefault="00611F30">
      <w:pPr>
        <w:rPr>
          <w:b/>
        </w:rPr>
      </w:pPr>
    </w:p>
    <w:p w14:paraId="3D867DC4" w14:textId="77777777" w:rsidR="009114D9" w:rsidRDefault="009114D9">
      <w:pPr>
        <w:rPr>
          <w:b/>
        </w:rPr>
      </w:pPr>
    </w:p>
    <w:p w14:paraId="6B9399F3" w14:textId="77777777" w:rsidR="009114D9" w:rsidRDefault="009114D9">
      <w:pPr>
        <w:rPr>
          <w:b/>
        </w:rPr>
      </w:pPr>
    </w:p>
    <w:p w14:paraId="1885DFA3" w14:textId="77777777" w:rsidR="009114D9" w:rsidRDefault="009114D9">
      <w:pPr>
        <w:rPr>
          <w:b/>
        </w:rPr>
      </w:pPr>
    </w:p>
    <w:p w14:paraId="62E13A78" w14:textId="77777777" w:rsidR="009114D9" w:rsidRDefault="009114D9">
      <w:pPr>
        <w:rPr>
          <w:b/>
        </w:rPr>
      </w:pPr>
    </w:p>
    <w:p w14:paraId="758CE7A8" w14:textId="77777777" w:rsidR="001E4C2E" w:rsidRDefault="001E4C2E">
      <w:pPr>
        <w:rPr>
          <w:b/>
        </w:rPr>
      </w:pPr>
    </w:p>
    <w:p w14:paraId="399FFE9C" w14:textId="77777777" w:rsidR="003F6963" w:rsidRDefault="003F6963">
      <w:pPr>
        <w:rPr>
          <w:b/>
        </w:rPr>
      </w:pPr>
    </w:p>
    <w:p w14:paraId="49F773C6" w14:textId="77777777" w:rsidR="00D74914" w:rsidRPr="004A2391" w:rsidRDefault="00D74914">
      <w:pPr>
        <w:rPr>
          <w:b/>
        </w:rPr>
      </w:pPr>
    </w:p>
    <w:p w14:paraId="35214940" w14:textId="77777777" w:rsidR="00F122C5" w:rsidRPr="00111909" w:rsidRDefault="00F122C5" w:rsidP="00F122C5">
      <w:pPr>
        <w:spacing w:after="0"/>
        <w:rPr>
          <w:b/>
          <w:sz w:val="18"/>
          <w:u w:val="single"/>
        </w:rPr>
      </w:pPr>
      <w:r w:rsidRPr="00111909">
        <w:rPr>
          <w:b/>
          <w:sz w:val="18"/>
          <w:u w:val="single"/>
        </w:rPr>
        <w:t>Opracowanie:</w:t>
      </w:r>
    </w:p>
    <w:p w14:paraId="5903D951" w14:textId="77777777" w:rsidR="00F122C5" w:rsidRPr="00111909" w:rsidRDefault="00F122C5" w:rsidP="000E521A">
      <w:pPr>
        <w:tabs>
          <w:tab w:val="center" w:pos="7001"/>
        </w:tabs>
        <w:spacing w:after="0"/>
        <w:rPr>
          <w:sz w:val="18"/>
        </w:rPr>
      </w:pPr>
      <w:r w:rsidRPr="00111909">
        <w:rPr>
          <w:sz w:val="18"/>
        </w:rPr>
        <w:t>Departament Koordynacji Programów Operacyjnych</w:t>
      </w:r>
      <w:r w:rsidR="000E521A" w:rsidRPr="00111909">
        <w:rPr>
          <w:sz w:val="18"/>
        </w:rPr>
        <w:tab/>
      </w:r>
    </w:p>
    <w:p w14:paraId="03B4D3B1" w14:textId="77777777" w:rsidR="00F122C5" w:rsidRPr="00111909" w:rsidRDefault="00F122C5" w:rsidP="00F122C5">
      <w:pPr>
        <w:spacing w:after="0"/>
        <w:rPr>
          <w:sz w:val="18"/>
        </w:rPr>
      </w:pPr>
      <w:r w:rsidRPr="00111909">
        <w:rPr>
          <w:sz w:val="18"/>
        </w:rPr>
        <w:t>Urząd Marszałkowski Województwa Opolskiego</w:t>
      </w:r>
    </w:p>
    <w:p w14:paraId="4B29E9EB" w14:textId="77777777" w:rsidR="00E80877" w:rsidRPr="004A2391" w:rsidRDefault="00AA17E8" w:rsidP="00E80877">
      <w:pPr>
        <w:spacing w:after="60"/>
        <w:rPr>
          <w:i/>
        </w:rPr>
      </w:pPr>
      <w:r w:rsidRPr="00111909">
        <w:rPr>
          <w:sz w:val="18"/>
        </w:rPr>
        <w:t>Opole</w:t>
      </w:r>
      <w:r w:rsidR="00864144" w:rsidRPr="00111909">
        <w:rPr>
          <w:sz w:val="18"/>
        </w:rPr>
        <w:t>,</w:t>
      </w:r>
      <w:r w:rsidR="00611F30" w:rsidRPr="00111909">
        <w:rPr>
          <w:sz w:val="18"/>
        </w:rPr>
        <w:t xml:space="preserve"> </w:t>
      </w:r>
      <w:r w:rsidR="003F6963">
        <w:rPr>
          <w:sz w:val="18"/>
        </w:rPr>
        <w:t xml:space="preserve">marzec </w:t>
      </w:r>
      <w:r w:rsidR="00A21E6D" w:rsidRPr="00111909">
        <w:rPr>
          <w:sz w:val="18"/>
        </w:rPr>
        <w:t>201</w:t>
      </w:r>
      <w:r w:rsidR="00662361" w:rsidRPr="00111909">
        <w:rPr>
          <w:sz w:val="18"/>
        </w:rPr>
        <w:t>9</w:t>
      </w:r>
      <w:r w:rsidR="00611F30" w:rsidRPr="00111909">
        <w:rPr>
          <w:sz w:val="18"/>
        </w:rPr>
        <w:t xml:space="preserve"> </w:t>
      </w:r>
      <w:r w:rsidR="00F122C5" w:rsidRPr="00111909">
        <w:rPr>
          <w:sz w:val="18"/>
        </w:rPr>
        <w:t>r.</w:t>
      </w:r>
      <w:r w:rsidR="00F122C5" w:rsidRPr="00111909">
        <w:rPr>
          <w:b/>
        </w:rPr>
        <w:br w:type="page"/>
      </w:r>
      <w:r w:rsidR="00E80877" w:rsidRPr="004A2391">
        <w:rPr>
          <w:b/>
        </w:rPr>
        <w:lastRenderedPageBreak/>
        <w:t xml:space="preserve">Tabela 1 </w:t>
      </w:r>
      <w:r w:rsidR="00E80877" w:rsidRPr="004A2391">
        <w:rPr>
          <w:i/>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418"/>
        <w:gridCol w:w="1417"/>
        <w:gridCol w:w="1276"/>
        <w:gridCol w:w="5812"/>
      </w:tblGrid>
      <w:tr w:rsidR="009114D9" w:rsidRPr="009114D9" w14:paraId="637DA3E7" w14:textId="77777777" w:rsidTr="00A06C6C">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21FFB430" w14:textId="77777777" w:rsidR="009114D9" w:rsidRPr="009114D9" w:rsidRDefault="009114D9" w:rsidP="00A06C6C">
            <w:pPr>
              <w:spacing w:before="80" w:after="80"/>
              <w:jc w:val="center"/>
              <w:rPr>
                <w:b/>
                <w:color w:val="000099"/>
                <w:sz w:val="24"/>
              </w:rPr>
            </w:pPr>
            <w:r w:rsidRPr="009114D9">
              <w:rPr>
                <w:b/>
                <w:color w:val="000099"/>
                <w:sz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9B06AC7" w14:textId="77777777" w:rsidR="009114D9" w:rsidRPr="009114D9" w:rsidRDefault="009114D9" w:rsidP="00A06C6C">
            <w:pPr>
              <w:spacing w:before="80" w:after="80"/>
              <w:jc w:val="center"/>
              <w:rPr>
                <w:b/>
                <w:color w:val="000099"/>
                <w:sz w:val="24"/>
              </w:rPr>
            </w:pPr>
            <w:r w:rsidRPr="009114D9">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FFD503A" w14:textId="77777777" w:rsidR="009114D9" w:rsidRPr="009114D9" w:rsidRDefault="009114D9" w:rsidP="00A06C6C">
            <w:pPr>
              <w:spacing w:before="80" w:after="80"/>
              <w:jc w:val="center"/>
              <w:rPr>
                <w:b/>
                <w:color w:val="000099"/>
                <w:sz w:val="24"/>
              </w:rPr>
            </w:pPr>
            <w:r w:rsidRPr="009114D9">
              <w:rPr>
                <w:b/>
                <w:color w:val="000099"/>
                <w:sz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3FB852F" w14:textId="77777777" w:rsidR="009114D9" w:rsidRPr="009114D9" w:rsidRDefault="009114D9" w:rsidP="00A06C6C">
            <w:pPr>
              <w:spacing w:before="80" w:after="80"/>
              <w:jc w:val="center"/>
              <w:rPr>
                <w:b/>
                <w:color w:val="000099"/>
                <w:sz w:val="24"/>
              </w:rPr>
            </w:pPr>
            <w:r w:rsidRPr="009114D9">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33113D3" w14:textId="77777777" w:rsidR="009114D9" w:rsidRPr="009114D9" w:rsidRDefault="009114D9" w:rsidP="00A06C6C">
            <w:pPr>
              <w:spacing w:before="80" w:after="80"/>
              <w:jc w:val="center"/>
              <w:rPr>
                <w:b/>
                <w:color w:val="000099"/>
                <w:sz w:val="24"/>
              </w:rPr>
            </w:pPr>
            <w:r w:rsidRPr="009114D9">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CD23E87" w14:textId="77777777" w:rsidR="009114D9" w:rsidRPr="009114D9" w:rsidRDefault="009114D9" w:rsidP="00A06C6C">
            <w:pPr>
              <w:spacing w:before="80" w:after="80"/>
              <w:jc w:val="center"/>
              <w:rPr>
                <w:b/>
                <w:color w:val="000099"/>
                <w:sz w:val="24"/>
              </w:rPr>
            </w:pPr>
            <w:r w:rsidRPr="009114D9">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78B56F59" w14:textId="77777777" w:rsidR="009114D9" w:rsidRPr="009114D9" w:rsidRDefault="009114D9" w:rsidP="00A06C6C">
            <w:pPr>
              <w:spacing w:before="80" w:after="80"/>
              <w:jc w:val="center"/>
              <w:rPr>
                <w:b/>
                <w:color w:val="000099"/>
                <w:sz w:val="24"/>
              </w:rPr>
            </w:pPr>
            <w:r w:rsidRPr="009114D9">
              <w:rPr>
                <w:b/>
                <w:color w:val="000099"/>
                <w:sz w:val="24"/>
              </w:rPr>
              <w:t>Definicja</w:t>
            </w:r>
          </w:p>
        </w:tc>
      </w:tr>
      <w:tr w:rsidR="009114D9" w:rsidRPr="009114D9" w14:paraId="077AA733" w14:textId="77777777" w:rsidTr="00A06C6C">
        <w:tc>
          <w:tcPr>
            <w:tcW w:w="14586" w:type="dxa"/>
            <w:gridSpan w:val="7"/>
            <w:tcBorders>
              <w:top w:val="single" w:sz="12" w:space="0" w:color="33CC33"/>
              <w:bottom w:val="single" w:sz="12" w:space="0" w:color="33CC33"/>
            </w:tcBorders>
            <w:shd w:val="clear" w:color="auto" w:fill="FFFFFF" w:themeFill="background1"/>
          </w:tcPr>
          <w:p w14:paraId="6605CC47" w14:textId="77777777" w:rsidR="009114D9" w:rsidRPr="009114D9" w:rsidRDefault="009114D9" w:rsidP="00A06C6C">
            <w:pPr>
              <w:spacing w:before="80" w:after="80"/>
              <w:rPr>
                <w:b/>
                <w:color w:val="000099"/>
                <w:sz w:val="26"/>
                <w:szCs w:val="26"/>
              </w:rPr>
            </w:pPr>
            <w:r w:rsidRPr="009114D9">
              <w:rPr>
                <w:b/>
                <w:color w:val="000099"/>
                <w:sz w:val="26"/>
                <w:szCs w:val="26"/>
              </w:rPr>
              <w:t>Wskaźniki horyzontalne</w:t>
            </w:r>
          </w:p>
        </w:tc>
      </w:tr>
      <w:tr w:rsidR="009114D9" w:rsidRPr="009114D9" w14:paraId="0653C28D" w14:textId="77777777" w:rsidTr="00A06C6C">
        <w:tc>
          <w:tcPr>
            <w:tcW w:w="671" w:type="dxa"/>
            <w:tcBorders>
              <w:top w:val="single" w:sz="12" w:space="0" w:color="33CC33"/>
            </w:tcBorders>
            <w:shd w:val="clear" w:color="auto" w:fill="FFFFFF" w:themeFill="background1"/>
            <w:vAlign w:val="center"/>
          </w:tcPr>
          <w:p w14:paraId="076CF61F" w14:textId="77777777" w:rsidR="009114D9" w:rsidRPr="009114D9" w:rsidRDefault="009114D9" w:rsidP="00A06C6C">
            <w:pPr>
              <w:spacing w:before="80" w:after="80" w:line="276" w:lineRule="auto"/>
              <w:jc w:val="center"/>
              <w:rPr>
                <w:sz w:val="24"/>
                <w:szCs w:val="24"/>
              </w:rPr>
            </w:pPr>
            <w:r w:rsidRPr="009114D9">
              <w:rPr>
                <w:sz w:val="24"/>
                <w:szCs w:val="24"/>
              </w:rPr>
              <w:t>1.</w:t>
            </w:r>
          </w:p>
        </w:tc>
        <w:tc>
          <w:tcPr>
            <w:tcW w:w="2716" w:type="dxa"/>
            <w:tcBorders>
              <w:top w:val="single" w:sz="12" w:space="0" w:color="33CC33"/>
            </w:tcBorders>
            <w:shd w:val="clear" w:color="auto" w:fill="FFFFFF" w:themeFill="background1"/>
            <w:vAlign w:val="center"/>
          </w:tcPr>
          <w:p w14:paraId="7A2AA547" w14:textId="77777777" w:rsidR="009114D9" w:rsidRPr="009114D9" w:rsidRDefault="009114D9" w:rsidP="00A06C6C">
            <w:pPr>
              <w:spacing w:before="80" w:after="80" w:line="276" w:lineRule="auto"/>
              <w:rPr>
                <w:i/>
                <w:sz w:val="24"/>
                <w:szCs w:val="24"/>
              </w:rPr>
            </w:pPr>
            <w:r w:rsidRPr="009114D9">
              <w:rPr>
                <w:i/>
                <w:sz w:val="24"/>
                <w:szCs w:val="24"/>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51138077" w14:textId="77777777" w:rsidR="009114D9" w:rsidRPr="009114D9" w:rsidRDefault="009114D9" w:rsidP="00A06C6C">
            <w:pPr>
              <w:spacing w:before="80" w:after="80" w:line="276" w:lineRule="auto"/>
              <w:rPr>
                <w:sz w:val="24"/>
                <w:szCs w:val="24"/>
              </w:rPr>
            </w:pPr>
            <w:r w:rsidRPr="009114D9">
              <w:rPr>
                <w:sz w:val="24"/>
                <w:szCs w:val="24"/>
              </w:rPr>
              <w:t>szt.</w:t>
            </w:r>
          </w:p>
        </w:tc>
        <w:tc>
          <w:tcPr>
            <w:tcW w:w="1418" w:type="dxa"/>
            <w:tcBorders>
              <w:top w:val="single" w:sz="12" w:space="0" w:color="33CC33"/>
            </w:tcBorders>
            <w:shd w:val="clear" w:color="auto" w:fill="FFFFFF" w:themeFill="background1"/>
            <w:vAlign w:val="center"/>
          </w:tcPr>
          <w:p w14:paraId="74342FD1"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tcBorders>
              <w:top w:val="single" w:sz="12" w:space="0" w:color="33CC33"/>
            </w:tcBorders>
            <w:shd w:val="clear" w:color="auto" w:fill="FFFFFF" w:themeFill="background1"/>
            <w:vAlign w:val="center"/>
          </w:tcPr>
          <w:p w14:paraId="111B55EC"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12" w:space="0" w:color="33CC33"/>
            </w:tcBorders>
            <w:shd w:val="clear" w:color="auto" w:fill="FFFFFF" w:themeFill="background1"/>
            <w:vAlign w:val="center"/>
          </w:tcPr>
          <w:p w14:paraId="60BBEEE9" w14:textId="77777777" w:rsidR="009114D9" w:rsidRPr="009114D9" w:rsidRDefault="009114D9" w:rsidP="00A06C6C">
            <w:pPr>
              <w:spacing w:before="80" w:after="80" w:line="276" w:lineRule="auto"/>
              <w:rPr>
                <w:sz w:val="24"/>
                <w:szCs w:val="24"/>
              </w:rPr>
            </w:pPr>
          </w:p>
          <w:p w14:paraId="24C958FB" w14:textId="77777777" w:rsidR="009114D9" w:rsidRPr="009114D9" w:rsidRDefault="009114D9" w:rsidP="00A06C6C">
            <w:pPr>
              <w:spacing w:before="80" w:after="80" w:line="276" w:lineRule="auto"/>
              <w:jc w:val="center"/>
              <w:rPr>
                <w:sz w:val="24"/>
                <w:szCs w:val="24"/>
              </w:rPr>
            </w:pPr>
            <w:r w:rsidRPr="009114D9">
              <w:rPr>
                <w:sz w:val="24"/>
                <w:szCs w:val="24"/>
              </w:rPr>
              <w:t>-</w:t>
            </w:r>
          </w:p>
          <w:p w14:paraId="5B676415" w14:textId="77777777" w:rsidR="009114D9" w:rsidRPr="009114D9" w:rsidRDefault="009114D9" w:rsidP="00A06C6C">
            <w:pPr>
              <w:spacing w:line="276" w:lineRule="auto"/>
              <w:rPr>
                <w:sz w:val="24"/>
                <w:szCs w:val="24"/>
              </w:rPr>
            </w:pPr>
          </w:p>
        </w:tc>
        <w:tc>
          <w:tcPr>
            <w:tcW w:w="5812" w:type="dxa"/>
            <w:tcBorders>
              <w:top w:val="single" w:sz="12" w:space="0" w:color="33CC33"/>
            </w:tcBorders>
            <w:shd w:val="clear" w:color="auto" w:fill="FFFFFF" w:themeFill="background1"/>
            <w:vAlign w:val="center"/>
          </w:tcPr>
          <w:p w14:paraId="28775DBC" w14:textId="77777777" w:rsidR="009114D9" w:rsidRPr="009114D9" w:rsidRDefault="009114D9" w:rsidP="00A06C6C">
            <w:pPr>
              <w:tabs>
                <w:tab w:val="left" w:pos="3402"/>
                <w:tab w:val="left" w:pos="5103"/>
              </w:tabs>
              <w:spacing w:before="60" w:after="60" w:line="276" w:lineRule="auto"/>
              <w:ind w:left="-6"/>
              <w:rPr>
                <w:rFonts w:eastAsia="Times New Roman" w:cs="Times New Roman"/>
                <w:sz w:val="24"/>
                <w:szCs w:val="24"/>
                <w:lang w:eastAsia="en-US"/>
              </w:rPr>
            </w:pPr>
            <w:r w:rsidRPr="009114D9">
              <w:rPr>
                <w:rFonts w:eastAsia="Times New Roman" w:cs="Times New Roman"/>
                <w:sz w:val="24"/>
                <w:szCs w:val="24"/>
                <w:lang w:eastAsia="en-US"/>
              </w:rPr>
              <w:t xml:space="preserve">Wskaźnik odnosi się do liczby obiektów, które zaopatrzono w specjalne podjazdy, windy, urządzenia głośnomówiące, bądź inne </w:t>
            </w:r>
            <w:r w:rsidRPr="009114D9">
              <w:rPr>
                <w:sz w:val="24"/>
                <w:szCs w:val="24"/>
              </w:rPr>
              <w:t>rozwiązania umożliwiające dostęp</w:t>
            </w:r>
            <w:r w:rsidRPr="009114D9">
              <w:rPr>
                <w:rFonts w:eastAsia="Times New Roman" w:cs="Times New Roman"/>
                <w:sz w:val="24"/>
                <w:szCs w:val="24"/>
                <w:lang w:eastAsia="en-US"/>
              </w:rPr>
              <w:t xml:space="preserve">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w:t>
            </w:r>
            <w:r>
              <w:rPr>
                <w:rFonts w:eastAsia="Times New Roman" w:cs="Times New Roman"/>
                <w:sz w:val="24"/>
                <w:szCs w:val="24"/>
                <w:lang w:eastAsia="en-US"/>
              </w:rPr>
              <w:br/>
            </w:r>
            <w:r w:rsidRPr="009114D9">
              <w:rPr>
                <w:rFonts w:eastAsia="Times New Roman" w:cs="Times New Roman"/>
                <w:sz w:val="24"/>
                <w:szCs w:val="24"/>
                <w:lang w:eastAsia="en-US"/>
              </w:rPr>
              <w:t xml:space="preserve">i elementów składowych, będące wynikiem prac budowlanych (wg. def. PKOB). Należy podać liczbę obiektów, w których zastosowano rozwiązania umożliwiające dostęp osobom z niepełnosprawnościami ruchowymi czy sensorycznymi lub zaopatrzonych </w:t>
            </w:r>
            <w:r>
              <w:rPr>
                <w:rFonts w:eastAsia="Times New Roman" w:cs="Times New Roman"/>
                <w:sz w:val="24"/>
                <w:szCs w:val="24"/>
                <w:lang w:eastAsia="en-US"/>
              </w:rPr>
              <w:br/>
            </w:r>
            <w:r w:rsidRPr="009114D9">
              <w:rPr>
                <w:rFonts w:eastAsia="Times New Roman" w:cs="Times New Roman"/>
                <w:sz w:val="24"/>
                <w:szCs w:val="24"/>
                <w:lang w:eastAsia="en-US"/>
              </w:rPr>
              <w:t xml:space="preserve">w sprzęt, a nie liczbę sprzętów, urządzeń itp. Jeśli instytucja, zakład itp. składa się z kilku obiektów, należy zliczyć wszystkie, które dostosowano do potrzeb osób </w:t>
            </w:r>
            <w:r>
              <w:rPr>
                <w:rFonts w:eastAsia="Times New Roman" w:cs="Times New Roman"/>
                <w:sz w:val="24"/>
                <w:szCs w:val="24"/>
                <w:lang w:eastAsia="en-US"/>
              </w:rPr>
              <w:br/>
            </w:r>
            <w:r w:rsidRPr="009114D9">
              <w:rPr>
                <w:rFonts w:eastAsia="Times New Roman" w:cs="Times New Roman"/>
                <w:sz w:val="24"/>
                <w:szCs w:val="24"/>
                <w:lang w:eastAsia="en-US"/>
              </w:rPr>
              <w:t xml:space="preserve">z </w:t>
            </w:r>
            <w:r w:rsidRPr="009114D9">
              <w:rPr>
                <w:rFonts w:eastAsiaTheme="minorHAnsi"/>
                <w:sz w:val="24"/>
                <w:szCs w:val="24"/>
                <w:lang w:eastAsia="en-US"/>
              </w:rPr>
              <w:t>niepełnosprawnościami.</w:t>
            </w:r>
            <w:r w:rsidRPr="009114D9">
              <w:rPr>
                <w:rFonts w:eastAsia="Times New Roman" w:cs="Times New Roman"/>
                <w:sz w:val="24"/>
                <w:szCs w:val="24"/>
                <w:lang w:eastAsia="en-US"/>
              </w:rPr>
              <w:t xml:space="preserve"> Wskaźnik mierzony </w:t>
            </w:r>
            <w:r>
              <w:rPr>
                <w:rFonts w:eastAsia="Times New Roman" w:cs="Times New Roman"/>
                <w:sz w:val="24"/>
                <w:szCs w:val="24"/>
                <w:lang w:eastAsia="en-US"/>
              </w:rPr>
              <w:br/>
            </w:r>
            <w:r w:rsidRPr="009114D9">
              <w:rPr>
                <w:rFonts w:eastAsia="Times New Roman" w:cs="Times New Roman"/>
                <w:sz w:val="24"/>
                <w:szCs w:val="24"/>
                <w:lang w:eastAsia="en-US"/>
              </w:rPr>
              <w:t xml:space="preserve">w momencie rozliczenia wydatku związanego </w:t>
            </w:r>
            <w:r>
              <w:rPr>
                <w:rFonts w:eastAsia="Times New Roman" w:cs="Times New Roman"/>
                <w:sz w:val="24"/>
                <w:szCs w:val="24"/>
                <w:lang w:eastAsia="en-US"/>
              </w:rPr>
              <w:br/>
            </w:r>
            <w:r w:rsidRPr="009114D9">
              <w:rPr>
                <w:rFonts w:eastAsia="Times New Roman" w:cs="Times New Roman"/>
                <w:sz w:val="24"/>
                <w:szCs w:val="24"/>
                <w:lang w:eastAsia="en-US"/>
              </w:rPr>
              <w:t xml:space="preserve">z dostosowaniem obiektów do potrzeb osób </w:t>
            </w:r>
            <w:r>
              <w:rPr>
                <w:rFonts w:eastAsia="Times New Roman" w:cs="Times New Roman"/>
                <w:sz w:val="24"/>
                <w:szCs w:val="24"/>
                <w:lang w:eastAsia="en-US"/>
              </w:rPr>
              <w:br/>
            </w:r>
            <w:r w:rsidRPr="009114D9">
              <w:rPr>
                <w:rFonts w:eastAsia="Times New Roman" w:cs="Times New Roman"/>
                <w:sz w:val="24"/>
                <w:szCs w:val="24"/>
                <w:lang w:eastAsia="en-US"/>
              </w:rPr>
              <w:t xml:space="preserve">z niepełnosprawnościami w ramach danego projektu. </w:t>
            </w:r>
            <w:r>
              <w:rPr>
                <w:rFonts w:eastAsia="Times New Roman" w:cs="Times New Roman"/>
                <w:sz w:val="24"/>
                <w:szCs w:val="24"/>
                <w:lang w:eastAsia="en-US"/>
              </w:rPr>
              <w:br/>
            </w:r>
            <w:r w:rsidRPr="009114D9">
              <w:rPr>
                <w:rFonts w:eastAsia="Times New Roman" w:cs="Times New Roman"/>
                <w:sz w:val="24"/>
                <w:szCs w:val="24"/>
                <w:lang w:eastAsia="en-US"/>
              </w:rPr>
              <w:t xml:space="preserve">Do wskaźnika powinny zostać wliczone zarówno obiekty </w:t>
            </w:r>
            <w:r w:rsidRPr="009114D9">
              <w:rPr>
                <w:rFonts w:eastAsia="Times New Roman" w:cs="Times New Roman"/>
                <w:sz w:val="24"/>
                <w:szCs w:val="24"/>
                <w:lang w:eastAsia="en-US"/>
              </w:rPr>
              <w:lastRenderedPageBreak/>
              <w:t xml:space="preserve">dostosowane w projektach ogólnodostępnych, jak </w:t>
            </w:r>
            <w:r>
              <w:rPr>
                <w:rFonts w:eastAsia="Times New Roman" w:cs="Times New Roman"/>
                <w:sz w:val="24"/>
                <w:szCs w:val="24"/>
                <w:lang w:eastAsia="en-US"/>
              </w:rPr>
              <w:br/>
            </w:r>
            <w:r w:rsidRPr="009114D9">
              <w:rPr>
                <w:rFonts w:eastAsia="Times New Roman" w:cs="Times New Roman"/>
                <w:sz w:val="24"/>
                <w:szCs w:val="24"/>
                <w:lang w:eastAsia="en-US"/>
              </w:rPr>
              <w:t xml:space="preserve">i dedykowanych (zgodnie z kategoryzacją projektów </w:t>
            </w:r>
            <w:r>
              <w:rPr>
                <w:rFonts w:eastAsia="Times New Roman" w:cs="Times New Roman"/>
                <w:sz w:val="24"/>
                <w:szCs w:val="24"/>
                <w:lang w:eastAsia="en-US"/>
              </w:rPr>
              <w:br/>
            </w:r>
            <w:r w:rsidRPr="009114D9">
              <w:rPr>
                <w:rFonts w:eastAsia="Times New Roman" w:cs="Times New Roman"/>
                <w:sz w:val="24"/>
                <w:szCs w:val="24"/>
                <w:lang w:eastAsia="en-US"/>
              </w:rPr>
              <w:t xml:space="preserve">z </w:t>
            </w:r>
            <w:r w:rsidRPr="009114D9">
              <w:rPr>
                <w:rFonts w:eastAsia="Times New Roman" w:cs="Times New Roman"/>
                <w:i/>
                <w:sz w:val="24"/>
                <w:szCs w:val="24"/>
                <w:lang w:eastAsia="en-US"/>
              </w:rPr>
              <w:t xml:space="preserve">Wytycznych w zakresie realizacji zasady równości szans i niedyskryminacji, w tym dostępności dla osób </w:t>
            </w:r>
            <w:r>
              <w:rPr>
                <w:rFonts w:eastAsia="Times New Roman" w:cs="Times New Roman"/>
                <w:i/>
                <w:sz w:val="24"/>
                <w:szCs w:val="24"/>
                <w:lang w:eastAsia="en-US"/>
              </w:rPr>
              <w:br/>
            </w:r>
            <w:r w:rsidRPr="009114D9">
              <w:rPr>
                <w:rFonts w:eastAsia="Times New Roman" w:cs="Times New Roman"/>
                <w:i/>
                <w:sz w:val="24"/>
                <w:szCs w:val="24"/>
                <w:lang w:eastAsia="en-US"/>
              </w:rPr>
              <w:t>z niepełnosprawnościami oraz zasady równości szans kobiet i mężczyzn w ramach funduszy unijnych na lata 2014-2020</w:t>
            </w:r>
            <w:r w:rsidRPr="009114D9">
              <w:rPr>
                <w:rFonts w:eastAsia="Times New Roman" w:cs="Times New Roman"/>
                <w:sz w:val="24"/>
                <w:szCs w:val="24"/>
                <w:lang w:eastAsia="en-US"/>
              </w:rPr>
              <w:t>).</w:t>
            </w:r>
          </w:p>
        </w:tc>
      </w:tr>
      <w:tr w:rsidR="009114D9" w:rsidRPr="009114D9" w14:paraId="79D07AC9" w14:textId="77777777" w:rsidTr="00A06C6C">
        <w:tc>
          <w:tcPr>
            <w:tcW w:w="671" w:type="dxa"/>
            <w:shd w:val="clear" w:color="auto" w:fill="FFFFFF" w:themeFill="background1"/>
            <w:vAlign w:val="center"/>
          </w:tcPr>
          <w:p w14:paraId="565B591D" w14:textId="77777777" w:rsidR="009114D9" w:rsidRPr="009114D9" w:rsidRDefault="009114D9" w:rsidP="00A06C6C">
            <w:pPr>
              <w:spacing w:before="80" w:after="80" w:line="276" w:lineRule="auto"/>
              <w:jc w:val="center"/>
              <w:rPr>
                <w:sz w:val="24"/>
                <w:szCs w:val="24"/>
              </w:rPr>
            </w:pPr>
            <w:r w:rsidRPr="009114D9">
              <w:rPr>
                <w:sz w:val="24"/>
                <w:szCs w:val="24"/>
              </w:rPr>
              <w:lastRenderedPageBreak/>
              <w:t>2.</w:t>
            </w:r>
          </w:p>
        </w:tc>
        <w:tc>
          <w:tcPr>
            <w:tcW w:w="2716" w:type="dxa"/>
            <w:shd w:val="clear" w:color="auto" w:fill="FFFFFF" w:themeFill="background1"/>
            <w:vAlign w:val="center"/>
          </w:tcPr>
          <w:p w14:paraId="097688BA" w14:textId="77777777" w:rsidR="009114D9" w:rsidRPr="009114D9" w:rsidRDefault="009114D9" w:rsidP="00A06C6C">
            <w:pPr>
              <w:spacing w:before="80" w:after="80" w:line="276" w:lineRule="auto"/>
              <w:rPr>
                <w:i/>
                <w:sz w:val="24"/>
                <w:szCs w:val="24"/>
              </w:rPr>
            </w:pPr>
            <w:r w:rsidRPr="009114D9">
              <w:rPr>
                <w:i/>
                <w:sz w:val="24"/>
                <w:szCs w:val="24"/>
              </w:rPr>
              <w:t>Liczba osób objętych szkoleniami / doradztwem w zakresie kompetencji cyfrowych</w:t>
            </w:r>
          </w:p>
        </w:tc>
        <w:tc>
          <w:tcPr>
            <w:tcW w:w="1276" w:type="dxa"/>
            <w:shd w:val="clear" w:color="auto" w:fill="FFFFFF" w:themeFill="background1"/>
            <w:vAlign w:val="center"/>
          </w:tcPr>
          <w:p w14:paraId="2367FD39" w14:textId="77777777" w:rsidR="009114D9" w:rsidRPr="009114D9" w:rsidRDefault="009114D9" w:rsidP="00A06C6C">
            <w:pPr>
              <w:spacing w:before="80" w:after="80" w:line="276" w:lineRule="auto"/>
              <w:rPr>
                <w:sz w:val="24"/>
                <w:szCs w:val="24"/>
              </w:rPr>
            </w:pPr>
            <w:r w:rsidRPr="009114D9">
              <w:rPr>
                <w:sz w:val="24"/>
                <w:szCs w:val="24"/>
              </w:rPr>
              <w:t>osoby</w:t>
            </w:r>
          </w:p>
        </w:tc>
        <w:tc>
          <w:tcPr>
            <w:tcW w:w="1418" w:type="dxa"/>
            <w:shd w:val="clear" w:color="auto" w:fill="FFFFFF" w:themeFill="background1"/>
            <w:vAlign w:val="center"/>
          </w:tcPr>
          <w:p w14:paraId="676A2947"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produkt</w:t>
            </w:r>
          </w:p>
        </w:tc>
        <w:tc>
          <w:tcPr>
            <w:tcW w:w="1417" w:type="dxa"/>
            <w:shd w:val="clear" w:color="auto" w:fill="FFFFFF" w:themeFill="background1"/>
            <w:vAlign w:val="center"/>
          </w:tcPr>
          <w:p w14:paraId="6EBE841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shd w:val="clear" w:color="auto" w:fill="FFFFFF" w:themeFill="background1"/>
            <w:vAlign w:val="center"/>
          </w:tcPr>
          <w:p w14:paraId="1DDF98B8"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val="restart"/>
            <w:shd w:val="clear" w:color="auto" w:fill="FFFFFF" w:themeFill="background1"/>
            <w:vAlign w:val="center"/>
          </w:tcPr>
          <w:p w14:paraId="25F27D46" w14:textId="77777777" w:rsidR="009114D9" w:rsidRPr="009114D9" w:rsidRDefault="009114D9" w:rsidP="00A06C6C">
            <w:pPr>
              <w:tabs>
                <w:tab w:val="left" w:pos="3402"/>
                <w:tab w:val="left" w:pos="5103"/>
              </w:tabs>
              <w:spacing w:before="60" w:after="60" w:line="276" w:lineRule="auto"/>
              <w:ind w:left="-6"/>
              <w:rPr>
                <w:rFonts w:eastAsia="Times New Roman" w:cs="Times New Roman"/>
                <w:sz w:val="24"/>
                <w:szCs w:val="24"/>
                <w:lang w:eastAsia="en-US"/>
              </w:rPr>
            </w:pPr>
            <w:r w:rsidRPr="009114D9">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r>
              <w:rPr>
                <w:rFonts w:eastAsia="Times New Roman" w:cs="Times New Roman"/>
                <w:sz w:val="24"/>
                <w:szCs w:val="24"/>
                <w:lang w:eastAsia="en-US"/>
              </w:rPr>
              <w:br/>
            </w:r>
            <w:r w:rsidRPr="009114D9">
              <w:rPr>
                <w:rFonts w:eastAsia="Times New Roman" w:cs="Times New Roman"/>
                <w:sz w:val="24"/>
                <w:szCs w:val="24"/>
                <w:lang w:eastAsia="en-US"/>
              </w:rPr>
              <w:t xml:space="preserve">z mediów elektronicznych tj. m.in. korzystania </w:t>
            </w:r>
            <w:r>
              <w:rPr>
                <w:rFonts w:eastAsia="Times New Roman" w:cs="Times New Roman"/>
                <w:sz w:val="24"/>
                <w:szCs w:val="24"/>
                <w:lang w:eastAsia="en-US"/>
              </w:rPr>
              <w:br/>
            </w:r>
            <w:r w:rsidRPr="009114D9">
              <w:rPr>
                <w:rFonts w:eastAsia="Times New Roman" w:cs="Times New Roman"/>
                <w:sz w:val="24"/>
                <w:szCs w:val="24"/>
                <w:lang w:eastAsia="en-US"/>
              </w:rPr>
              <w:t xml:space="preserve">z komputera, różnych rodzajów oprogramowania, internetu oraz kompetencji ściśle informatycznych </w:t>
            </w:r>
            <w:r>
              <w:rPr>
                <w:rFonts w:eastAsia="Times New Roman" w:cs="Times New Roman"/>
                <w:sz w:val="24"/>
                <w:szCs w:val="24"/>
                <w:lang w:eastAsia="en-US"/>
              </w:rPr>
              <w:br/>
            </w:r>
            <w:r w:rsidRPr="009114D9">
              <w:rPr>
                <w:rFonts w:eastAsia="Times New Roman" w:cs="Times New Roman"/>
                <w:sz w:val="24"/>
                <w:szCs w:val="24"/>
                <w:lang w:eastAsia="en-US"/>
              </w:rPr>
              <w:t xml:space="preserve">(np.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w:t>
            </w:r>
          </w:p>
          <w:p w14:paraId="62BCA345" w14:textId="77777777" w:rsidR="009114D9" w:rsidRPr="009114D9" w:rsidRDefault="009114D9" w:rsidP="00A06C6C">
            <w:pPr>
              <w:tabs>
                <w:tab w:val="left" w:pos="3402"/>
                <w:tab w:val="left" w:pos="5103"/>
              </w:tabs>
              <w:spacing w:before="60" w:after="60" w:line="276" w:lineRule="auto"/>
              <w:ind w:left="-6"/>
              <w:rPr>
                <w:rFonts w:eastAsia="Times New Roman" w:cs="Times New Roman"/>
                <w:sz w:val="24"/>
                <w:szCs w:val="24"/>
                <w:lang w:eastAsia="en-US"/>
              </w:rPr>
            </w:pPr>
            <w:r w:rsidRPr="009114D9">
              <w:rPr>
                <w:rFonts w:eastAsia="Times New Roman" w:cs="Times New Roman"/>
                <w:sz w:val="24"/>
                <w:szCs w:val="24"/>
                <w:lang w:eastAsia="en-US"/>
              </w:rPr>
              <w:t xml:space="preserve">Do wskaźnika powinni zostać wliczeni wszyscy uczestnicy projektów zawierających określony rodzaj wsparcia, </w:t>
            </w:r>
            <w:r>
              <w:rPr>
                <w:rFonts w:eastAsia="Times New Roman" w:cs="Times New Roman"/>
                <w:sz w:val="24"/>
                <w:szCs w:val="24"/>
                <w:lang w:eastAsia="en-US"/>
              </w:rPr>
              <w:br/>
            </w:r>
            <w:r w:rsidRPr="009114D9">
              <w:rPr>
                <w:rFonts w:eastAsia="Times New Roman" w:cs="Times New Roman"/>
                <w:sz w:val="24"/>
                <w:szCs w:val="24"/>
                <w:lang w:eastAsia="en-US"/>
              </w:rPr>
              <w:t xml:space="preserve">w tym również np. uczniowie nabywający kompetencje </w:t>
            </w:r>
            <w:r>
              <w:rPr>
                <w:rFonts w:eastAsia="Times New Roman" w:cs="Times New Roman"/>
                <w:sz w:val="24"/>
                <w:szCs w:val="24"/>
                <w:lang w:eastAsia="en-US"/>
              </w:rPr>
              <w:br/>
            </w:r>
            <w:r w:rsidRPr="009114D9">
              <w:rPr>
                <w:rFonts w:eastAsia="Times New Roman" w:cs="Times New Roman"/>
                <w:sz w:val="24"/>
                <w:szCs w:val="24"/>
                <w:lang w:eastAsia="en-US"/>
              </w:rP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9114D9" w:rsidRPr="009114D9" w14:paraId="1A06669E" w14:textId="77777777" w:rsidTr="00A06C6C">
        <w:tc>
          <w:tcPr>
            <w:tcW w:w="671" w:type="dxa"/>
            <w:shd w:val="clear" w:color="auto" w:fill="FFFFFF" w:themeFill="background1"/>
            <w:vAlign w:val="center"/>
          </w:tcPr>
          <w:p w14:paraId="4E03605D" w14:textId="77777777" w:rsidR="009114D9" w:rsidRPr="009114D9" w:rsidRDefault="009114D9" w:rsidP="00A06C6C">
            <w:pPr>
              <w:spacing w:before="80" w:after="80" w:line="276" w:lineRule="auto"/>
              <w:jc w:val="center"/>
              <w:rPr>
                <w:sz w:val="24"/>
                <w:szCs w:val="24"/>
              </w:rPr>
            </w:pPr>
            <w:r w:rsidRPr="009114D9">
              <w:rPr>
                <w:sz w:val="24"/>
                <w:szCs w:val="24"/>
              </w:rPr>
              <w:t>2a.</w:t>
            </w:r>
          </w:p>
        </w:tc>
        <w:tc>
          <w:tcPr>
            <w:tcW w:w="2716" w:type="dxa"/>
            <w:shd w:val="clear" w:color="auto" w:fill="FFFFFF" w:themeFill="background1"/>
            <w:vAlign w:val="center"/>
          </w:tcPr>
          <w:p w14:paraId="7294A6A0" w14:textId="77777777" w:rsidR="009114D9" w:rsidRPr="009114D9" w:rsidRDefault="009114D9" w:rsidP="00A06C6C">
            <w:pPr>
              <w:spacing w:before="80" w:after="80" w:line="276" w:lineRule="auto"/>
              <w:rPr>
                <w:i/>
                <w:sz w:val="24"/>
                <w:szCs w:val="24"/>
              </w:rPr>
            </w:pPr>
            <w:r w:rsidRPr="009114D9">
              <w:rPr>
                <w:i/>
                <w:sz w:val="24"/>
                <w:szCs w:val="24"/>
              </w:rPr>
              <w:t>Liczba osób objętych szkoleniami / doradztwem w zakresie kompetencji cyfrowych</w:t>
            </w:r>
            <w:r w:rsidRPr="009114D9">
              <w:rPr>
                <w:i/>
                <w:sz w:val="24"/>
                <w:szCs w:val="24"/>
              </w:rPr>
              <w:br/>
              <w:t>- kobiety</w:t>
            </w:r>
          </w:p>
        </w:tc>
        <w:tc>
          <w:tcPr>
            <w:tcW w:w="1276" w:type="dxa"/>
            <w:shd w:val="clear" w:color="auto" w:fill="FFFFFF" w:themeFill="background1"/>
            <w:vAlign w:val="center"/>
          </w:tcPr>
          <w:p w14:paraId="4BC935F8" w14:textId="77777777" w:rsidR="009114D9" w:rsidRPr="009114D9" w:rsidRDefault="009114D9" w:rsidP="00A06C6C">
            <w:pPr>
              <w:spacing w:before="80" w:after="80" w:line="276" w:lineRule="auto"/>
              <w:rPr>
                <w:sz w:val="24"/>
                <w:szCs w:val="24"/>
              </w:rPr>
            </w:pPr>
            <w:r w:rsidRPr="009114D9">
              <w:rPr>
                <w:sz w:val="24"/>
                <w:szCs w:val="24"/>
              </w:rPr>
              <w:t>osoby</w:t>
            </w:r>
          </w:p>
        </w:tc>
        <w:tc>
          <w:tcPr>
            <w:tcW w:w="1418" w:type="dxa"/>
            <w:shd w:val="clear" w:color="auto" w:fill="FFFFFF" w:themeFill="background1"/>
            <w:vAlign w:val="center"/>
          </w:tcPr>
          <w:p w14:paraId="01285007"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produkt</w:t>
            </w:r>
          </w:p>
        </w:tc>
        <w:tc>
          <w:tcPr>
            <w:tcW w:w="1417" w:type="dxa"/>
            <w:shd w:val="clear" w:color="auto" w:fill="FFFFFF" w:themeFill="background1"/>
            <w:vAlign w:val="center"/>
          </w:tcPr>
          <w:p w14:paraId="0292C35C"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shd w:val="clear" w:color="auto" w:fill="FFFFFF" w:themeFill="background1"/>
            <w:vAlign w:val="center"/>
          </w:tcPr>
          <w:p w14:paraId="535D5758"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3EECB5C7" w14:textId="77777777" w:rsidR="009114D9" w:rsidRPr="009114D9" w:rsidRDefault="009114D9" w:rsidP="00A06C6C">
            <w:pPr>
              <w:tabs>
                <w:tab w:val="left" w:pos="3402"/>
                <w:tab w:val="left" w:pos="5103"/>
              </w:tabs>
              <w:spacing w:line="276" w:lineRule="auto"/>
              <w:ind w:left="-8"/>
              <w:contextualSpacing/>
              <w:rPr>
                <w:rFonts w:eastAsia="Times New Roman" w:cs="Times New Roman"/>
                <w:sz w:val="24"/>
                <w:szCs w:val="24"/>
                <w:lang w:eastAsia="en-US"/>
              </w:rPr>
            </w:pPr>
          </w:p>
        </w:tc>
      </w:tr>
      <w:tr w:rsidR="009114D9" w:rsidRPr="009114D9" w14:paraId="724C44AD" w14:textId="77777777" w:rsidTr="00A06C6C">
        <w:tc>
          <w:tcPr>
            <w:tcW w:w="671" w:type="dxa"/>
            <w:shd w:val="clear" w:color="auto" w:fill="FFFFFF" w:themeFill="background1"/>
            <w:vAlign w:val="center"/>
          </w:tcPr>
          <w:p w14:paraId="029B6E47" w14:textId="77777777" w:rsidR="009114D9" w:rsidRPr="009114D9" w:rsidRDefault="009114D9" w:rsidP="00A06C6C">
            <w:pPr>
              <w:spacing w:before="80" w:after="80" w:line="276" w:lineRule="auto"/>
              <w:jc w:val="center"/>
              <w:rPr>
                <w:sz w:val="24"/>
                <w:szCs w:val="24"/>
              </w:rPr>
            </w:pPr>
            <w:r w:rsidRPr="009114D9">
              <w:rPr>
                <w:sz w:val="24"/>
                <w:szCs w:val="24"/>
              </w:rPr>
              <w:t>2b.</w:t>
            </w:r>
          </w:p>
        </w:tc>
        <w:tc>
          <w:tcPr>
            <w:tcW w:w="2716" w:type="dxa"/>
            <w:shd w:val="clear" w:color="auto" w:fill="FFFFFF" w:themeFill="background1"/>
            <w:vAlign w:val="center"/>
          </w:tcPr>
          <w:p w14:paraId="1FE25A15" w14:textId="77777777" w:rsidR="009114D9" w:rsidRPr="009114D9" w:rsidRDefault="009114D9" w:rsidP="00A06C6C">
            <w:pPr>
              <w:spacing w:before="80" w:after="80" w:line="276" w:lineRule="auto"/>
              <w:rPr>
                <w:i/>
                <w:sz w:val="24"/>
                <w:szCs w:val="24"/>
              </w:rPr>
            </w:pPr>
            <w:r w:rsidRPr="009114D9">
              <w:rPr>
                <w:i/>
                <w:sz w:val="24"/>
                <w:szCs w:val="24"/>
              </w:rPr>
              <w:t>Liczba osób objętych szkoleniami / doradztwem w zakresie kompetencji cyfrowych</w:t>
            </w:r>
            <w:r w:rsidRPr="009114D9">
              <w:rPr>
                <w:i/>
                <w:sz w:val="24"/>
                <w:szCs w:val="24"/>
              </w:rPr>
              <w:br/>
              <w:t>- mężczyźni</w:t>
            </w:r>
          </w:p>
        </w:tc>
        <w:tc>
          <w:tcPr>
            <w:tcW w:w="1276" w:type="dxa"/>
            <w:shd w:val="clear" w:color="auto" w:fill="FFFFFF" w:themeFill="background1"/>
            <w:vAlign w:val="center"/>
          </w:tcPr>
          <w:p w14:paraId="49A6ABA0" w14:textId="77777777" w:rsidR="009114D9" w:rsidRPr="009114D9" w:rsidRDefault="009114D9" w:rsidP="00A06C6C">
            <w:pPr>
              <w:spacing w:before="80" w:after="80" w:line="276" w:lineRule="auto"/>
              <w:rPr>
                <w:sz w:val="24"/>
                <w:szCs w:val="24"/>
              </w:rPr>
            </w:pPr>
            <w:r w:rsidRPr="009114D9">
              <w:rPr>
                <w:sz w:val="24"/>
                <w:szCs w:val="24"/>
              </w:rPr>
              <w:t>osoby</w:t>
            </w:r>
          </w:p>
        </w:tc>
        <w:tc>
          <w:tcPr>
            <w:tcW w:w="1418" w:type="dxa"/>
            <w:shd w:val="clear" w:color="auto" w:fill="FFFFFF" w:themeFill="background1"/>
            <w:vAlign w:val="center"/>
          </w:tcPr>
          <w:p w14:paraId="1A12FB5C"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produkt</w:t>
            </w:r>
          </w:p>
        </w:tc>
        <w:tc>
          <w:tcPr>
            <w:tcW w:w="1417" w:type="dxa"/>
            <w:shd w:val="clear" w:color="auto" w:fill="FFFFFF" w:themeFill="background1"/>
            <w:vAlign w:val="center"/>
          </w:tcPr>
          <w:p w14:paraId="6541B0EA"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shd w:val="clear" w:color="auto" w:fill="FFFFFF" w:themeFill="background1"/>
            <w:vAlign w:val="center"/>
          </w:tcPr>
          <w:p w14:paraId="242CFF90"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6D550922" w14:textId="77777777" w:rsidR="009114D9" w:rsidRPr="009114D9" w:rsidRDefault="009114D9" w:rsidP="00A06C6C">
            <w:pPr>
              <w:tabs>
                <w:tab w:val="left" w:pos="3402"/>
                <w:tab w:val="left" w:pos="5103"/>
              </w:tabs>
              <w:spacing w:line="276" w:lineRule="auto"/>
              <w:ind w:left="-8"/>
              <w:contextualSpacing/>
              <w:rPr>
                <w:rFonts w:eastAsia="Times New Roman" w:cs="Times New Roman"/>
                <w:sz w:val="24"/>
                <w:szCs w:val="24"/>
                <w:lang w:eastAsia="en-US"/>
              </w:rPr>
            </w:pPr>
          </w:p>
        </w:tc>
      </w:tr>
      <w:tr w:rsidR="009114D9" w:rsidRPr="009114D9" w14:paraId="79C4654F" w14:textId="77777777" w:rsidTr="00A06C6C">
        <w:tc>
          <w:tcPr>
            <w:tcW w:w="671" w:type="dxa"/>
            <w:shd w:val="clear" w:color="auto" w:fill="FFFFFF" w:themeFill="background1"/>
            <w:vAlign w:val="center"/>
          </w:tcPr>
          <w:p w14:paraId="72F38D44" w14:textId="77777777" w:rsidR="009114D9" w:rsidRPr="009114D9" w:rsidRDefault="009114D9" w:rsidP="00A06C6C">
            <w:pPr>
              <w:spacing w:before="80" w:after="80" w:line="276" w:lineRule="auto"/>
              <w:jc w:val="center"/>
              <w:rPr>
                <w:sz w:val="24"/>
                <w:szCs w:val="24"/>
              </w:rPr>
            </w:pPr>
            <w:r w:rsidRPr="009114D9">
              <w:rPr>
                <w:sz w:val="24"/>
                <w:szCs w:val="24"/>
              </w:rPr>
              <w:t>3.</w:t>
            </w:r>
          </w:p>
        </w:tc>
        <w:tc>
          <w:tcPr>
            <w:tcW w:w="2716" w:type="dxa"/>
            <w:shd w:val="clear" w:color="auto" w:fill="FFFFFF" w:themeFill="background1"/>
            <w:vAlign w:val="center"/>
          </w:tcPr>
          <w:p w14:paraId="047F639E" w14:textId="77777777" w:rsidR="009114D9" w:rsidRPr="009114D9" w:rsidRDefault="009114D9" w:rsidP="00A06C6C">
            <w:pPr>
              <w:spacing w:before="80" w:after="80" w:line="276" w:lineRule="auto"/>
              <w:rPr>
                <w:i/>
                <w:sz w:val="24"/>
                <w:szCs w:val="24"/>
              </w:rPr>
            </w:pPr>
            <w:r w:rsidRPr="009114D9">
              <w:rPr>
                <w:i/>
                <w:sz w:val="24"/>
                <w:szCs w:val="24"/>
              </w:rPr>
              <w:t>Liczba projektów, w których sfinansowano koszty racjonalnych usprawnień dla osób z niepełnosprawnościami</w:t>
            </w:r>
          </w:p>
        </w:tc>
        <w:tc>
          <w:tcPr>
            <w:tcW w:w="1276" w:type="dxa"/>
            <w:shd w:val="clear" w:color="auto" w:fill="FFFFFF" w:themeFill="background1"/>
            <w:vAlign w:val="center"/>
          </w:tcPr>
          <w:p w14:paraId="261D45E5" w14:textId="77777777" w:rsidR="009114D9" w:rsidRPr="009114D9" w:rsidRDefault="009114D9" w:rsidP="00A06C6C">
            <w:pPr>
              <w:spacing w:before="80" w:after="80" w:line="276" w:lineRule="auto"/>
              <w:rPr>
                <w:sz w:val="24"/>
                <w:szCs w:val="24"/>
              </w:rPr>
            </w:pPr>
            <w:r w:rsidRPr="009114D9">
              <w:rPr>
                <w:sz w:val="24"/>
                <w:szCs w:val="24"/>
              </w:rPr>
              <w:t>szt.</w:t>
            </w:r>
          </w:p>
        </w:tc>
        <w:tc>
          <w:tcPr>
            <w:tcW w:w="1418" w:type="dxa"/>
            <w:shd w:val="clear" w:color="auto" w:fill="FFFFFF" w:themeFill="background1"/>
            <w:vAlign w:val="center"/>
          </w:tcPr>
          <w:p w14:paraId="4C0F1D16"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shd w:val="clear" w:color="auto" w:fill="FFFFFF" w:themeFill="background1"/>
            <w:vAlign w:val="center"/>
          </w:tcPr>
          <w:p w14:paraId="7ADBA5FD"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shd w:val="clear" w:color="auto" w:fill="FFFFFF" w:themeFill="background1"/>
            <w:vAlign w:val="center"/>
          </w:tcPr>
          <w:p w14:paraId="577BC24F"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shd w:val="clear" w:color="auto" w:fill="FFFFFF" w:themeFill="background1"/>
            <w:vAlign w:val="center"/>
          </w:tcPr>
          <w:p w14:paraId="41DA4404" w14:textId="77777777" w:rsidR="009114D9" w:rsidRPr="009114D9" w:rsidRDefault="009114D9" w:rsidP="00A06C6C">
            <w:pPr>
              <w:tabs>
                <w:tab w:val="left" w:pos="3402"/>
                <w:tab w:val="left" w:pos="5103"/>
              </w:tabs>
              <w:spacing w:before="60" w:after="60" w:line="276" w:lineRule="auto"/>
              <w:ind w:left="-8"/>
              <w:rPr>
                <w:rFonts w:eastAsia="Times New Roman" w:cs="Times New Roman"/>
                <w:sz w:val="24"/>
                <w:szCs w:val="24"/>
                <w:lang w:eastAsia="en-US"/>
              </w:rPr>
            </w:pPr>
            <w:r w:rsidRPr="009114D9">
              <w:rPr>
                <w:rFonts w:eastAsia="Times New Roman" w:cs="Times New Roman"/>
                <w:sz w:val="24"/>
                <w:szCs w:val="24"/>
                <w:lang w:eastAsia="en-US"/>
              </w:rPr>
              <w:t xml:space="preserve">Racjonalne usprawnienie oznacza konieczne </w:t>
            </w:r>
            <w:r>
              <w:rPr>
                <w:rFonts w:eastAsia="Times New Roman" w:cs="Times New Roman"/>
                <w:sz w:val="24"/>
                <w:szCs w:val="24"/>
                <w:lang w:eastAsia="en-US"/>
              </w:rPr>
              <w:br/>
            </w:r>
            <w:r w:rsidRPr="009114D9">
              <w:rPr>
                <w:rFonts w:eastAsia="Times New Roman" w:cs="Times New Roman"/>
                <w:sz w:val="24"/>
                <w:szCs w:val="24"/>
                <w:lang w:eastAsia="en-US"/>
              </w:rPr>
              <w:t xml:space="preserve">i odpowiednie zmiany oraz dostosowania, nie nakładające nieproporcjonalnego lub nadmiernego obciążenia, rozpatrywane osobno dla każdego konkretnego przypadku, w celu zapewnienia osobom </w:t>
            </w:r>
            <w:r>
              <w:rPr>
                <w:rFonts w:eastAsia="Times New Roman" w:cs="Times New Roman"/>
                <w:sz w:val="24"/>
                <w:szCs w:val="24"/>
                <w:lang w:eastAsia="en-US"/>
              </w:rPr>
              <w:br/>
            </w:r>
            <w:r w:rsidRPr="009114D9">
              <w:rPr>
                <w:rFonts w:eastAsia="Times New Roman" w:cs="Times New Roman"/>
                <w:sz w:val="24"/>
                <w:szCs w:val="24"/>
                <w:lang w:eastAsia="en-US"/>
              </w:rPr>
              <w:t xml:space="preserve">z niepełnosprawnościami możliwości korzystania </w:t>
            </w:r>
            <w:r>
              <w:rPr>
                <w:rFonts w:eastAsia="Times New Roman" w:cs="Times New Roman"/>
                <w:sz w:val="24"/>
                <w:szCs w:val="24"/>
                <w:lang w:eastAsia="en-US"/>
              </w:rPr>
              <w:br/>
            </w:r>
            <w:r w:rsidRPr="009114D9">
              <w:rPr>
                <w:rFonts w:eastAsia="Times New Roman" w:cs="Times New Roman"/>
                <w:sz w:val="24"/>
                <w:szCs w:val="24"/>
                <w:lang w:eastAsia="en-US"/>
              </w:rPr>
              <w:t xml:space="preserve">z wszelkich praw człowieka i podstawowych wolności oraz ich wykonywania na zasadzie równości z innymi osobami. Wskaźnik mierzony w momencie rozliczenia wydatku związanego z racjonalnymi usprawnieniami </w:t>
            </w:r>
            <w:r>
              <w:rPr>
                <w:rFonts w:eastAsia="Times New Roman" w:cs="Times New Roman"/>
                <w:sz w:val="24"/>
                <w:szCs w:val="24"/>
                <w:lang w:eastAsia="en-US"/>
              </w:rPr>
              <w:br/>
            </w:r>
            <w:r w:rsidRPr="009114D9">
              <w:rPr>
                <w:rFonts w:eastAsia="Times New Roman" w:cs="Times New Roman"/>
                <w:sz w:val="24"/>
                <w:szCs w:val="24"/>
                <w:lang w:eastAsia="en-US"/>
              </w:rPr>
              <w:t>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r>
              <w:rPr>
                <w:rFonts w:eastAsia="Times New Roman" w:cs="Times New Roman"/>
                <w:sz w:val="24"/>
                <w:szCs w:val="24"/>
                <w:lang w:eastAsia="en-US"/>
              </w:rPr>
              <w:br/>
            </w:r>
            <w:r w:rsidRPr="009114D9">
              <w:rPr>
                <w:rFonts w:eastAsia="Times New Roman" w:cs="Times New Roman"/>
                <w:sz w:val="24"/>
                <w:szCs w:val="24"/>
                <w:lang w:eastAsia="en-US"/>
              </w:rPr>
              <w:t xml:space="preserve">Do wskaźnika powinny zostać wliczone zarówno projekty ogólnodostępne, w których sfinansowano koszty racjonalnych usprawnień, jak i dedykowane (zgodnie </w:t>
            </w:r>
            <w:r>
              <w:rPr>
                <w:rFonts w:eastAsia="Times New Roman" w:cs="Times New Roman"/>
                <w:sz w:val="24"/>
                <w:szCs w:val="24"/>
                <w:lang w:eastAsia="en-US"/>
              </w:rPr>
              <w:br/>
            </w:r>
            <w:r w:rsidRPr="009114D9">
              <w:rPr>
                <w:rFonts w:eastAsia="Times New Roman" w:cs="Times New Roman"/>
                <w:sz w:val="24"/>
                <w:szCs w:val="24"/>
                <w:lang w:eastAsia="en-US"/>
              </w:rPr>
              <w:t xml:space="preserve">z kategoryzacją projektów z </w:t>
            </w:r>
            <w:r w:rsidRPr="009114D9">
              <w:rPr>
                <w:rFonts w:eastAsia="Times New Roman" w:cs="Times New Roman"/>
                <w:i/>
                <w:sz w:val="24"/>
                <w:szCs w:val="24"/>
                <w:lang w:eastAsia="en-US"/>
              </w:rPr>
              <w:t xml:space="preserve">Wytycznych w zakresie realizacji zasady równości szans  i niedyskryminacji, </w:t>
            </w:r>
            <w:r>
              <w:rPr>
                <w:rFonts w:eastAsia="Times New Roman" w:cs="Times New Roman"/>
                <w:i/>
                <w:sz w:val="24"/>
                <w:szCs w:val="24"/>
                <w:lang w:eastAsia="en-US"/>
              </w:rPr>
              <w:br/>
            </w:r>
            <w:r w:rsidRPr="009114D9">
              <w:rPr>
                <w:rFonts w:eastAsia="Times New Roman" w:cs="Times New Roman"/>
                <w:i/>
                <w:sz w:val="24"/>
                <w:szCs w:val="24"/>
                <w:lang w:eastAsia="en-US"/>
              </w:rPr>
              <w:t>w tym dostępności dla osób z niepełnosprawnościami oraz zasady równości szans kobiet i mężczyzn w ramach funduszy unijnych na lata 2014-2020</w:t>
            </w:r>
            <w:r w:rsidRPr="009114D9">
              <w:rPr>
                <w:rFonts w:eastAsia="Times New Roman" w:cs="Times New Roman"/>
                <w:sz w:val="24"/>
                <w:szCs w:val="24"/>
                <w:lang w:eastAsia="en-US"/>
              </w:rPr>
              <w:t>).</w:t>
            </w:r>
          </w:p>
          <w:p w14:paraId="6D7015D5" w14:textId="77777777" w:rsidR="009114D9" w:rsidRPr="009114D9" w:rsidRDefault="009114D9" w:rsidP="00A06C6C">
            <w:pPr>
              <w:tabs>
                <w:tab w:val="left" w:pos="3402"/>
                <w:tab w:val="left" w:pos="5103"/>
              </w:tabs>
              <w:spacing w:before="60" w:after="60" w:line="276" w:lineRule="auto"/>
              <w:ind w:left="-8"/>
              <w:rPr>
                <w:rFonts w:eastAsiaTheme="minorHAnsi"/>
                <w:sz w:val="24"/>
                <w:szCs w:val="24"/>
                <w:lang w:eastAsia="en-US"/>
              </w:rPr>
            </w:pPr>
            <w:r w:rsidRPr="009114D9">
              <w:rPr>
                <w:rFonts w:eastAsia="Times New Roman" w:cs="Times New Roman"/>
                <w:sz w:val="24"/>
                <w:szCs w:val="24"/>
                <w:lang w:eastAsia="en-US"/>
              </w:rPr>
              <w:t xml:space="preserve">Definicja na podstawie: </w:t>
            </w:r>
            <w:r w:rsidRPr="009114D9">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9114D9">
              <w:rPr>
                <w:rFonts w:eastAsiaTheme="minorHAnsi"/>
                <w:i/>
                <w:sz w:val="24"/>
                <w:szCs w:val="24"/>
                <w:lang w:eastAsia="en-US"/>
              </w:rPr>
              <w:t>2020</w:t>
            </w:r>
            <w:r w:rsidRPr="009114D9">
              <w:rPr>
                <w:rFonts w:eastAsiaTheme="minorHAnsi"/>
                <w:sz w:val="24"/>
                <w:szCs w:val="24"/>
                <w:lang w:eastAsia="en-US"/>
              </w:rPr>
              <w:t>.</w:t>
            </w:r>
          </w:p>
          <w:p w14:paraId="0002780E" w14:textId="77777777" w:rsidR="009114D9" w:rsidRPr="009114D9" w:rsidRDefault="009114D9" w:rsidP="00A06C6C">
            <w:pPr>
              <w:tabs>
                <w:tab w:val="left" w:pos="3402"/>
                <w:tab w:val="left" w:pos="5103"/>
              </w:tabs>
              <w:spacing w:before="60" w:after="60" w:line="276" w:lineRule="auto"/>
              <w:ind w:left="-8"/>
              <w:rPr>
                <w:rFonts w:eastAsia="Times New Roman" w:cs="Times New Roman"/>
                <w:sz w:val="24"/>
                <w:szCs w:val="24"/>
                <w:lang w:eastAsia="en-US"/>
              </w:rPr>
            </w:pPr>
            <w:r w:rsidRPr="009114D9">
              <w:rPr>
                <w:rFonts w:eastAsiaTheme="minorHAnsi"/>
                <w:i/>
                <w:sz w:val="24"/>
                <w:szCs w:val="24"/>
                <w:lang w:eastAsia="en-US"/>
              </w:rPr>
              <w:t>Wyjaśnienie:</w:t>
            </w:r>
            <w:r w:rsidRPr="009114D9">
              <w:rPr>
                <w:rFonts w:eastAsiaTheme="minorHAnsi"/>
                <w:b/>
                <w:sz w:val="24"/>
                <w:szCs w:val="24"/>
                <w:lang w:eastAsia="en-US"/>
              </w:rPr>
              <w:t xml:space="preserve"> </w:t>
            </w:r>
            <w:r w:rsidRPr="009114D9">
              <w:rPr>
                <w:rFonts w:eastAsiaTheme="minorHAnsi"/>
                <w:sz w:val="24"/>
                <w:szCs w:val="24"/>
                <w:lang w:eastAsia="en-US"/>
              </w:rPr>
              <w:t xml:space="preserve">Jeśli projekt spełnia kryteria w/w definicji wnioskodawca powinien wykazać wartość „1”, </w:t>
            </w:r>
            <w:r>
              <w:rPr>
                <w:rFonts w:eastAsiaTheme="minorHAnsi"/>
                <w:sz w:val="24"/>
                <w:szCs w:val="24"/>
                <w:lang w:eastAsia="en-US"/>
              </w:rPr>
              <w:br/>
            </w:r>
            <w:r w:rsidRPr="009114D9">
              <w:rPr>
                <w:rFonts w:eastAsiaTheme="minorHAnsi"/>
                <w:sz w:val="24"/>
                <w:szCs w:val="24"/>
                <w:lang w:eastAsia="en-US"/>
              </w:rPr>
              <w:t xml:space="preserve">w przeciwnym wypadku „0”. W przypadku projektów partnerskich wskaźnik powinien być wykazany wyłącznie przez lidera projektu, bez względu na liczbę partnerów  </w:t>
            </w:r>
            <w:r>
              <w:rPr>
                <w:rFonts w:eastAsiaTheme="minorHAnsi"/>
                <w:sz w:val="24"/>
                <w:szCs w:val="24"/>
                <w:lang w:eastAsia="en-US"/>
              </w:rPr>
              <w:br/>
            </w:r>
            <w:r w:rsidRPr="009114D9">
              <w:rPr>
                <w:rFonts w:eastAsiaTheme="minorHAnsi"/>
                <w:sz w:val="24"/>
                <w:szCs w:val="24"/>
                <w:lang w:eastAsia="en-US"/>
              </w:rPr>
              <w:t>w projekcie realizujących wskaźnik.</w:t>
            </w:r>
          </w:p>
        </w:tc>
      </w:tr>
      <w:tr w:rsidR="009114D9" w:rsidRPr="009114D9" w14:paraId="65B55747" w14:textId="77777777" w:rsidTr="00A06C6C">
        <w:tc>
          <w:tcPr>
            <w:tcW w:w="671" w:type="dxa"/>
            <w:tcBorders>
              <w:bottom w:val="single" w:sz="4" w:space="0" w:color="33CC33"/>
            </w:tcBorders>
            <w:shd w:val="clear" w:color="auto" w:fill="FFFFFF" w:themeFill="background1"/>
            <w:vAlign w:val="center"/>
          </w:tcPr>
          <w:p w14:paraId="7E6F78B0" w14:textId="77777777" w:rsidR="009114D9" w:rsidRPr="009114D9" w:rsidRDefault="009114D9" w:rsidP="00A06C6C">
            <w:pPr>
              <w:spacing w:before="80" w:after="80" w:line="276" w:lineRule="auto"/>
              <w:jc w:val="center"/>
              <w:rPr>
                <w:sz w:val="24"/>
                <w:szCs w:val="24"/>
              </w:rPr>
            </w:pPr>
            <w:r w:rsidRPr="009114D9">
              <w:rPr>
                <w:sz w:val="24"/>
                <w:szCs w:val="24"/>
              </w:rPr>
              <w:t>4.</w:t>
            </w:r>
          </w:p>
        </w:tc>
        <w:tc>
          <w:tcPr>
            <w:tcW w:w="2716" w:type="dxa"/>
            <w:tcBorders>
              <w:bottom w:val="single" w:sz="4" w:space="0" w:color="33CC33"/>
            </w:tcBorders>
            <w:shd w:val="clear" w:color="auto" w:fill="FFFFFF" w:themeFill="background1"/>
            <w:vAlign w:val="center"/>
          </w:tcPr>
          <w:p w14:paraId="157602C8" w14:textId="77777777" w:rsidR="009114D9" w:rsidRPr="009114D9" w:rsidRDefault="009114D9" w:rsidP="00A06C6C">
            <w:pPr>
              <w:spacing w:before="80" w:after="80" w:line="276" w:lineRule="auto"/>
              <w:rPr>
                <w:i/>
                <w:sz w:val="24"/>
                <w:szCs w:val="24"/>
              </w:rPr>
            </w:pPr>
            <w:r w:rsidRPr="009114D9">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14:paraId="6B557C75" w14:textId="77777777" w:rsidR="009114D9" w:rsidRPr="009114D9" w:rsidRDefault="009114D9" w:rsidP="00A06C6C">
            <w:pPr>
              <w:spacing w:before="80" w:after="80" w:line="276" w:lineRule="auto"/>
              <w:rPr>
                <w:sz w:val="24"/>
                <w:szCs w:val="24"/>
              </w:rPr>
            </w:pPr>
            <w:r w:rsidRPr="009114D9">
              <w:rPr>
                <w:sz w:val="24"/>
                <w:szCs w:val="24"/>
              </w:rPr>
              <w:t>szt.</w:t>
            </w:r>
          </w:p>
        </w:tc>
        <w:tc>
          <w:tcPr>
            <w:tcW w:w="1418" w:type="dxa"/>
            <w:tcBorders>
              <w:bottom w:val="single" w:sz="4" w:space="0" w:color="33CC33"/>
            </w:tcBorders>
            <w:shd w:val="clear" w:color="auto" w:fill="FFFFFF" w:themeFill="background1"/>
            <w:vAlign w:val="center"/>
          </w:tcPr>
          <w:p w14:paraId="4994917C"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tcBorders>
              <w:bottom w:val="single" w:sz="4" w:space="0" w:color="33CC33"/>
            </w:tcBorders>
            <w:shd w:val="clear" w:color="auto" w:fill="FFFFFF" w:themeFill="background1"/>
            <w:vAlign w:val="center"/>
          </w:tcPr>
          <w:p w14:paraId="639E1AFC"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bottom w:val="single" w:sz="4" w:space="0" w:color="33CC33"/>
            </w:tcBorders>
            <w:shd w:val="clear" w:color="auto" w:fill="FFFFFF" w:themeFill="background1"/>
            <w:vAlign w:val="center"/>
          </w:tcPr>
          <w:p w14:paraId="437E26B0"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tcBorders>
              <w:bottom w:val="single" w:sz="4" w:space="0" w:color="33CC33"/>
            </w:tcBorders>
            <w:shd w:val="clear" w:color="auto" w:fill="FFFFFF" w:themeFill="background1"/>
            <w:vAlign w:val="center"/>
          </w:tcPr>
          <w:p w14:paraId="599F126A" w14:textId="77777777" w:rsidR="009114D9" w:rsidRPr="009114D9" w:rsidRDefault="009114D9" w:rsidP="00A06C6C">
            <w:pPr>
              <w:tabs>
                <w:tab w:val="left" w:pos="3402"/>
                <w:tab w:val="left" w:pos="5103"/>
              </w:tabs>
              <w:spacing w:before="60" w:after="60" w:line="276" w:lineRule="auto"/>
              <w:ind w:left="-8"/>
              <w:rPr>
                <w:rFonts w:eastAsia="Times New Roman" w:cs="Times New Roman"/>
                <w:sz w:val="24"/>
                <w:szCs w:val="24"/>
                <w:lang w:eastAsia="en-US"/>
              </w:rPr>
            </w:pPr>
            <w:r w:rsidRPr="009114D9">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46925C9A" w14:textId="77777777" w:rsidR="009114D9" w:rsidRPr="009114D9" w:rsidRDefault="009114D9" w:rsidP="00A06C6C">
            <w:pPr>
              <w:tabs>
                <w:tab w:val="left" w:pos="3402"/>
                <w:tab w:val="left" w:pos="5103"/>
              </w:tabs>
              <w:spacing w:before="60" w:after="60" w:line="276" w:lineRule="auto"/>
              <w:ind w:left="-8"/>
              <w:rPr>
                <w:rFonts w:eastAsia="Times New Roman" w:cs="Times New Roman"/>
                <w:sz w:val="24"/>
                <w:szCs w:val="24"/>
                <w:lang w:eastAsia="en-US"/>
              </w:rPr>
            </w:pPr>
            <w:r w:rsidRPr="009114D9">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eastAsia="Times New Roman" w:cs="Times New Roman"/>
                <w:sz w:val="24"/>
                <w:szCs w:val="24"/>
                <w:lang w:eastAsia="en-US"/>
              </w:rPr>
              <w:br/>
            </w:r>
            <w:r w:rsidRPr="009114D9">
              <w:rPr>
                <w:rFonts w:eastAsia="Times New Roman" w:cs="Times New Roman"/>
                <w:sz w:val="24"/>
                <w:szCs w:val="24"/>
                <w:lang w:eastAsia="en-US"/>
              </w:rPr>
              <w:t xml:space="preserve">i wszelkich narzędzi komunikacji elektronicznej oraz wszelkie działania związane z produkcją i wykorzystaniem urządzeń telekomunikacyjnych i informatycznych oraz usług im towarzyszących; działania edukacyjne </w:t>
            </w:r>
            <w:r>
              <w:rPr>
                <w:rFonts w:eastAsia="Times New Roman" w:cs="Times New Roman"/>
                <w:sz w:val="24"/>
                <w:szCs w:val="24"/>
                <w:lang w:eastAsia="en-US"/>
              </w:rPr>
              <w:br/>
            </w:r>
            <w:r w:rsidRPr="009114D9">
              <w:rPr>
                <w:rFonts w:eastAsia="Times New Roman" w:cs="Times New Roman"/>
                <w:sz w:val="24"/>
                <w:szCs w:val="24"/>
                <w:lang w:eastAsia="en-US"/>
              </w:rPr>
              <w:t xml:space="preserve">i szkoleniowe. 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eastAsia="Times New Roman" w:cs="Times New Roman"/>
                <w:sz w:val="24"/>
                <w:szCs w:val="24"/>
                <w:lang w:eastAsia="en-US"/>
              </w:rPr>
              <w:br/>
            </w:r>
            <w:r w:rsidRPr="009114D9">
              <w:rPr>
                <w:rFonts w:eastAsia="Times New Roman" w:cs="Times New Roman"/>
                <w:sz w:val="24"/>
                <w:szCs w:val="24"/>
                <w:lang w:eastAsia="en-US"/>
              </w:rPr>
              <w:t xml:space="preserve">z rozdziałem 3.3 Wytycznych w zakresie monitorowania postępu rzeczowego realizacji programów operacyjnych na lata 2014-2020, nie należy wykazywać w module Uczestnicy projektów w SL2014. </w:t>
            </w:r>
          </w:p>
          <w:p w14:paraId="77F74F97" w14:textId="77777777" w:rsidR="009114D9" w:rsidRPr="009114D9" w:rsidRDefault="009114D9" w:rsidP="00A06C6C">
            <w:pPr>
              <w:tabs>
                <w:tab w:val="left" w:pos="3402"/>
                <w:tab w:val="left" w:pos="5103"/>
              </w:tabs>
              <w:spacing w:before="60" w:after="60" w:line="276" w:lineRule="auto"/>
              <w:ind w:left="-8"/>
              <w:rPr>
                <w:rFonts w:eastAsia="Times New Roman" w:cs="Times New Roman"/>
                <w:sz w:val="24"/>
                <w:szCs w:val="24"/>
                <w:lang w:eastAsia="en-US"/>
              </w:rPr>
            </w:pPr>
            <w:r w:rsidRPr="009114D9">
              <w:rPr>
                <w:rFonts w:eastAsia="Times New Roman" w:cs="Times New Roman"/>
                <w:sz w:val="24"/>
                <w:szCs w:val="24"/>
                <w:lang w:eastAsia="en-US"/>
              </w:rPr>
              <w:t xml:space="preserve">Podmiotami realizującymi projekty TIK mogą być m.in. MŚP, duże przedsiębiorstwa, administracja publiczna, </w:t>
            </w:r>
            <w:r>
              <w:rPr>
                <w:rFonts w:eastAsia="Times New Roman" w:cs="Times New Roman"/>
                <w:sz w:val="24"/>
                <w:szCs w:val="24"/>
                <w:lang w:eastAsia="en-US"/>
              </w:rPr>
              <w:br/>
            </w:r>
            <w:r w:rsidRPr="009114D9">
              <w:rPr>
                <w:rFonts w:eastAsia="Times New Roman" w:cs="Times New Roman"/>
                <w:sz w:val="24"/>
                <w:szCs w:val="24"/>
                <w:lang w:eastAsia="en-US"/>
              </w:rPr>
              <w:t>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9114D9" w:rsidRPr="009114D9" w14:paraId="1269FD4F" w14:textId="77777777" w:rsidTr="00A06C6C">
        <w:tc>
          <w:tcPr>
            <w:tcW w:w="671" w:type="dxa"/>
            <w:tcBorders>
              <w:top w:val="single" w:sz="4" w:space="0" w:color="33CC33"/>
              <w:bottom w:val="single" w:sz="4" w:space="0" w:color="33CC33"/>
            </w:tcBorders>
            <w:shd w:val="clear" w:color="auto" w:fill="FFFFFF" w:themeFill="background1"/>
            <w:vAlign w:val="center"/>
          </w:tcPr>
          <w:p w14:paraId="78E22FB5" w14:textId="77777777" w:rsidR="009114D9" w:rsidRPr="009114D9" w:rsidRDefault="009114D9" w:rsidP="00A06C6C">
            <w:pPr>
              <w:spacing w:before="80" w:after="80" w:line="276" w:lineRule="auto"/>
              <w:jc w:val="center"/>
              <w:rPr>
                <w:sz w:val="24"/>
                <w:szCs w:val="24"/>
              </w:rPr>
            </w:pPr>
            <w:r w:rsidRPr="009114D9">
              <w:rPr>
                <w:sz w:val="24"/>
                <w:szCs w:val="24"/>
              </w:rPr>
              <w:t>5.</w:t>
            </w:r>
          </w:p>
        </w:tc>
        <w:tc>
          <w:tcPr>
            <w:tcW w:w="2716" w:type="dxa"/>
            <w:tcBorders>
              <w:top w:val="single" w:sz="4" w:space="0" w:color="33CC33"/>
              <w:bottom w:val="single" w:sz="4" w:space="0" w:color="33CC33"/>
            </w:tcBorders>
            <w:shd w:val="clear" w:color="auto" w:fill="FFFFFF" w:themeFill="background1"/>
            <w:vAlign w:val="center"/>
          </w:tcPr>
          <w:p w14:paraId="184D28B2" w14:textId="77777777" w:rsidR="009114D9" w:rsidRPr="009114D9" w:rsidRDefault="009114D9" w:rsidP="00A06C6C">
            <w:pPr>
              <w:spacing w:before="80" w:after="80" w:line="276" w:lineRule="auto"/>
              <w:rPr>
                <w:i/>
                <w:sz w:val="24"/>
                <w:szCs w:val="24"/>
              </w:rPr>
            </w:pPr>
            <w:r w:rsidRPr="009114D9">
              <w:rPr>
                <w:rFonts w:cs="Arial"/>
                <w:i/>
                <w:sz w:val="24"/>
                <w:szCs w:val="24"/>
              </w:rPr>
              <w:t>Wzrost zatrudnienia we wspieranych przedsiębiorstwach</w:t>
            </w:r>
            <w:r w:rsidRPr="009114D9">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14:paraId="631EE48B"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14:paraId="333284F5"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34238A63"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14:paraId="5280DA92" w14:textId="77777777" w:rsidR="009114D9" w:rsidRPr="009114D9" w:rsidRDefault="009114D9" w:rsidP="00A06C6C">
            <w:pPr>
              <w:spacing w:before="80" w:after="80" w:line="276" w:lineRule="auto"/>
              <w:rPr>
                <w:sz w:val="24"/>
                <w:szCs w:val="24"/>
              </w:rPr>
            </w:pPr>
            <w:r w:rsidRPr="009114D9">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14:paraId="344DEE61" w14:textId="77777777" w:rsidR="009114D9" w:rsidRPr="009114D9" w:rsidRDefault="009114D9" w:rsidP="00A06C6C">
            <w:pPr>
              <w:widowControl w:val="0"/>
              <w:shd w:val="clear" w:color="auto" w:fill="FFFFFF"/>
              <w:autoSpaceDE w:val="0"/>
              <w:autoSpaceDN w:val="0"/>
              <w:adjustRightInd w:val="0"/>
              <w:spacing w:before="60" w:after="60" w:line="276" w:lineRule="auto"/>
              <w:ind w:right="34"/>
              <w:rPr>
                <w:rFonts w:cs="Times New Roman"/>
                <w:sz w:val="24"/>
                <w:szCs w:val="24"/>
              </w:rPr>
            </w:pPr>
            <w:r w:rsidRPr="009114D9">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w:t>
            </w:r>
          </w:p>
          <w:p w14:paraId="2CBEC2D3" w14:textId="77777777" w:rsidR="009114D9" w:rsidRPr="009114D9" w:rsidRDefault="009114D9" w:rsidP="00A06C6C">
            <w:pPr>
              <w:widowControl w:val="0"/>
              <w:shd w:val="clear" w:color="auto" w:fill="FFFFFF"/>
              <w:autoSpaceDE w:val="0"/>
              <w:autoSpaceDN w:val="0"/>
              <w:adjustRightInd w:val="0"/>
              <w:spacing w:before="60" w:after="60" w:line="276" w:lineRule="auto"/>
              <w:ind w:right="34"/>
              <w:rPr>
                <w:rFonts w:cs="Times New Roman"/>
                <w:sz w:val="24"/>
                <w:szCs w:val="24"/>
              </w:rPr>
            </w:pPr>
            <w:r w:rsidRPr="009114D9">
              <w:rPr>
                <w:rFonts w:cs="Times New Roman"/>
                <w:sz w:val="24"/>
                <w:szCs w:val="24"/>
              </w:rPr>
              <w:t>Zagwarantowane itp. miejsca pracy nie są wliczone.</w:t>
            </w:r>
          </w:p>
          <w:p w14:paraId="2D44EC59" w14:textId="77777777" w:rsidR="009114D9" w:rsidRPr="009114D9" w:rsidRDefault="009114D9" w:rsidP="00A06C6C">
            <w:pPr>
              <w:widowControl w:val="0"/>
              <w:shd w:val="clear" w:color="auto" w:fill="FFFFFF"/>
              <w:autoSpaceDE w:val="0"/>
              <w:autoSpaceDN w:val="0"/>
              <w:adjustRightInd w:val="0"/>
              <w:spacing w:before="60" w:after="60" w:line="276" w:lineRule="auto"/>
              <w:ind w:right="34"/>
              <w:rPr>
                <w:rFonts w:cs="Times New Roman"/>
                <w:sz w:val="24"/>
                <w:szCs w:val="24"/>
              </w:rPr>
            </w:pPr>
            <w:r w:rsidRPr="009114D9">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r w:rsidRPr="009114D9">
              <w:rPr>
                <w:rFonts w:cs="Times New Roman"/>
                <w:sz w:val="24"/>
                <w:szCs w:val="24"/>
              </w:rPr>
              <w:t xml:space="preserve"> Ekwiwalent pełnego czasu pracy: stanowiska mogą być pełnymi etatami, pracą w niepełnym wymiarze czasu pracy lub pracą sezonową. Sezonowe i niepełne etaty zostaną przeliczone na ekwiwalenty pełnego czasu pracy za pomocą standardów ILO/statystycznych/innych. 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482BE80D" w14:textId="77777777" w:rsidR="009114D9" w:rsidRPr="009114D9" w:rsidRDefault="009114D9" w:rsidP="00A06C6C">
            <w:pPr>
              <w:widowControl w:val="0"/>
              <w:shd w:val="clear" w:color="auto" w:fill="FFFFFF"/>
              <w:autoSpaceDE w:val="0"/>
              <w:autoSpaceDN w:val="0"/>
              <w:adjustRightInd w:val="0"/>
              <w:spacing w:before="60" w:after="60" w:line="276" w:lineRule="auto"/>
              <w:rPr>
                <w:rFonts w:cs="Times New Roman"/>
                <w:sz w:val="24"/>
                <w:szCs w:val="24"/>
              </w:rPr>
            </w:pPr>
            <w:r w:rsidRPr="009114D9">
              <w:rPr>
                <w:rFonts w:cs="Times New Roman"/>
                <w:sz w:val="24"/>
                <w:szCs w:val="24"/>
              </w:rPr>
              <w:t xml:space="preserve">Czas: Dane są zbierane przed rozpoczęciem projektu i po jego zakończeniu; Instytucje Zarządzające mają swobodę </w:t>
            </w:r>
            <w:r w:rsidRPr="009114D9">
              <w:rPr>
                <w:rFonts w:cs="Times New Roman"/>
                <w:sz w:val="24"/>
                <w:szCs w:val="24"/>
              </w:rPr>
              <w:br/>
              <w:t xml:space="preserve">w określaniu dokładnego czasu. Preferowane jest stosowanie średniego zatrudnienia w oparciu o dane </w:t>
            </w:r>
            <w:r>
              <w:rPr>
                <w:rFonts w:cs="Times New Roman"/>
                <w:sz w:val="24"/>
                <w:szCs w:val="24"/>
              </w:rPr>
              <w:br/>
            </w:r>
            <w:r w:rsidRPr="009114D9">
              <w:rPr>
                <w:rFonts w:cs="Times New Roman"/>
                <w:sz w:val="24"/>
                <w:szCs w:val="24"/>
              </w:rPr>
              <w:t>z 6 miesięcy lub z roku, dla danych dotyczących zatrudnienia w określonych terminach.</w:t>
            </w:r>
          </w:p>
          <w:p w14:paraId="57720CC5" w14:textId="77777777" w:rsidR="009114D9" w:rsidRPr="009114D9" w:rsidRDefault="009114D9" w:rsidP="00A06C6C">
            <w:pPr>
              <w:tabs>
                <w:tab w:val="left" w:pos="3402"/>
                <w:tab w:val="left" w:pos="5103"/>
              </w:tabs>
              <w:spacing w:before="60" w:after="60" w:line="276" w:lineRule="auto"/>
              <w:ind w:left="-8"/>
              <w:rPr>
                <w:rFonts w:cs="Times New Roman"/>
                <w:b/>
                <w:sz w:val="24"/>
                <w:szCs w:val="24"/>
              </w:rPr>
            </w:pPr>
            <w:r w:rsidRPr="009114D9">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4D60B76F" w14:textId="77777777" w:rsidR="009114D9" w:rsidRPr="009114D9" w:rsidRDefault="009114D9" w:rsidP="00A06C6C">
            <w:pPr>
              <w:widowControl w:val="0"/>
              <w:shd w:val="clear" w:color="auto" w:fill="FFFFFF"/>
              <w:autoSpaceDE w:val="0"/>
              <w:autoSpaceDN w:val="0"/>
              <w:adjustRightInd w:val="0"/>
              <w:spacing w:before="80" w:after="80" w:line="276" w:lineRule="auto"/>
              <w:rPr>
                <w:rFonts w:cs="Times New Roman"/>
                <w:b/>
                <w:sz w:val="24"/>
                <w:szCs w:val="24"/>
              </w:rPr>
            </w:pPr>
            <w:r w:rsidRPr="009114D9">
              <w:rPr>
                <w:rFonts w:cs="Times New Roman"/>
                <w:b/>
                <w:sz w:val="24"/>
                <w:szCs w:val="24"/>
              </w:rPr>
              <w:t xml:space="preserve">W ramach działania 2.2 </w:t>
            </w:r>
            <w:r w:rsidRPr="009114D9">
              <w:rPr>
                <w:rFonts w:cs="Times New Roman"/>
                <w:b/>
                <w:i/>
                <w:sz w:val="24"/>
                <w:szCs w:val="24"/>
              </w:rPr>
              <w:t>Przygotowanie terenów inwestycyjnych na rzecz gospodarki</w:t>
            </w:r>
            <w:r w:rsidRPr="009114D9">
              <w:rPr>
                <w:rFonts w:cs="Times New Roman"/>
                <w:b/>
                <w:sz w:val="24"/>
                <w:szCs w:val="24"/>
              </w:rPr>
              <w:t xml:space="preserve"> zgodnie z zapisami RPO WO 2014-2020 wartość docelowa wskaźnika musi być większa niż „0”.</w:t>
            </w:r>
          </w:p>
        </w:tc>
      </w:tr>
      <w:tr w:rsidR="009114D9" w:rsidRPr="009114D9" w14:paraId="3C964143" w14:textId="77777777" w:rsidTr="00A06C6C">
        <w:tc>
          <w:tcPr>
            <w:tcW w:w="671" w:type="dxa"/>
            <w:tcBorders>
              <w:top w:val="single" w:sz="4" w:space="0" w:color="33CC33"/>
              <w:bottom w:val="single" w:sz="4" w:space="0" w:color="33CC33"/>
            </w:tcBorders>
            <w:shd w:val="clear" w:color="auto" w:fill="FFFFFF" w:themeFill="background1"/>
            <w:vAlign w:val="center"/>
          </w:tcPr>
          <w:p w14:paraId="07278D54" w14:textId="77777777" w:rsidR="009114D9" w:rsidRPr="009114D9" w:rsidRDefault="009114D9" w:rsidP="00A06C6C">
            <w:pPr>
              <w:spacing w:before="80" w:after="80" w:line="276" w:lineRule="auto"/>
              <w:jc w:val="center"/>
              <w:rPr>
                <w:sz w:val="24"/>
                <w:szCs w:val="24"/>
              </w:rPr>
            </w:pPr>
            <w:r w:rsidRPr="009114D9">
              <w:rPr>
                <w:sz w:val="24"/>
                <w:szCs w:val="24"/>
              </w:rPr>
              <w:t>5a.</w:t>
            </w:r>
          </w:p>
        </w:tc>
        <w:tc>
          <w:tcPr>
            <w:tcW w:w="2716" w:type="dxa"/>
            <w:tcBorders>
              <w:top w:val="single" w:sz="4" w:space="0" w:color="33CC33"/>
              <w:bottom w:val="single" w:sz="4" w:space="0" w:color="33CC33"/>
            </w:tcBorders>
            <w:shd w:val="clear" w:color="auto" w:fill="FFFFFF" w:themeFill="background1"/>
            <w:vAlign w:val="center"/>
          </w:tcPr>
          <w:p w14:paraId="136589E3" w14:textId="77777777" w:rsidR="009114D9" w:rsidRPr="009114D9" w:rsidRDefault="009114D9" w:rsidP="00A06C6C">
            <w:pPr>
              <w:spacing w:before="80" w:after="80" w:line="276" w:lineRule="auto"/>
              <w:rPr>
                <w:i/>
                <w:sz w:val="24"/>
                <w:szCs w:val="24"/>
              </w:rPr>
            </w:pPr>
            <w:r w:rsidRPr="009114D9">
              <w:rPr>
                <w:rFonts w:cs="Arial"/>
                <w:i/>
                <w:sz w:val="24"/>
                <w:szCs w:val="24"/>
              </w:rPr>
              <w:t>Wzrost zatrudnienia we wspieranych przedsiębiorstwach</w:t>
            </w:r>
            <w:r w:rsidRPr="009114D9">
              <w:rPr>
                <w:rFonts w:cs="Arial"/>
                <w:i/>
                <w:sz w:val="24"/>
                <w:szCs w:val="24"/>
              </w:rPr>
              <w:br/>
              <w:t xml:space="preserve"> – kobiety </w:t>
            </w:r>
            <w:r w:rsidRPr="009114D9">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14:paraId="3967900C"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14:paraId="550DFA3E"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14460D38"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14:paraId="5E75D803" w14:textId="77777777" w:rsidR="009114D9" w:rsidRPr="009114D9" w:rsidRDefault="009114D9" w:rsidP="00A06C6C">
            <w:pPr>
              <w:spacing w:before="80" w:after="80" w:line="276" w:lineRule="auto"/>
              <w:rPr>
                <w:sz w:val="24"/>
                <w:szCs w:val="24"/>
              </w:rPr>
            </w:pPr>
            <w:r w:rsidRPr="009114D9">
              <w:rPr>
                <w:sz w:val="24"/>
                <w:szCs w:val="24"/>
              </w:rPr>
              <w:t>Common Indicator</w:t>
            </w:r>
          </w:p>
        </w:tc>
        <w:tc>
          <w:tcPr>
            <w:tcW w:w="5812" w:type="dxa"/>
            <w:vMerge/>
            <w:tcBorders>
              <w:top w:val="single" w:sz="4" w:space="0" w:color="33CC33"/>
              <w:bottom w:val="single" w:sz="4" w:space="0" w:color="33CC33"/>
            </w:tcBorders>
            <w:shd w:val="clear" w:color="auto" w:fill="FFFFFF" w:themeFill="background1"/>
            <w:vAlign w:val="center"/>
          </w:tcPr>
          <w:p w14:paraId="69ECCD8B" w14:textId="77777777" w:rsidR="009114D9" w:rsidRPr="009114D9" w:rsidRDefault="009114D9" w:rsidP="00A06C6C">
            <w:pPr>
              <w:tabs>
                <w:tab w:val="left" w:pos="3402"/>
                <w:tab w:val="left" w:pos="5103"/>
              </w:tabs>
              <w:spacing w:line="276" w:lineRule="auto"/>
              <w:ind w:left="-8"/>
              <w:contextualSpacing/>
              <w:rPr>
                <w:rFonts w:eastAsia="Times New Roman" w:cs="Times New Roman"/>
                <w:sz w:val="24"/>
                <w:szCs w:val="24"/>
                <w:lang w:eastAsia="en-US"/>
              </w:rPr>
            </w:pPr>
          </w:p>
        </w:tc>
      </w:tr>
      <w:tr w:rsidR="009114D9" w:rsidRPr="009114D9" w14:paraId="0684EA8B" w14:textId="77777777" w:rsidTr="00A06C6C">
        <w:tc>
          <w:tcPr>
            <w:tcW w:w="671" w:type="dxa"/>
            <w:tcBorders>
              <w:top w:val="single" w:sz="4" w:space="0" w:color="33CC33"/>
              <w:bottom w:val="single" w:sz="12" w:space="0" w:color="33CC33"/>
            </w:tcBorders>
            <w:shd w:val="clear" w:color="auto" w:fill="FFFFFF" w:themeFill="background1"/>
            <w:vAlign w:val="center"/>
          </w:tcPr>
          <w:p w14:paraId="6B52732A" w14:textId="77777777" w:rsidR="009114D9" w:rsidRPr="009114D9" w:rsidRDefault="009114D9" w:rsidP="00A06C6C">
            <w:pPr>
              <w:spacing w:before="80" w:after="80" w:line="276" w:lineRule="auto"/>
              <w:jc w:val="center"/>
              <w:rPr>
                <w:sz w:val="24"/>
                <w:szCs w:val="24"/>
              </w:rPr>
            </w:pPr>
            <w:r w:rsidRPr="009114D9">
              <w:rPr>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55190B91" w14:textId="77777777" w:rsidR="009114D9" w:rsidRPr="009114D9" w:rsidRDefault="009114D9" w:rsidP="00A06C6C">
            <w:pPr>
              <w:spacing w:before="80" w:after="80" w:line="276" w:lineRule="auto"/>
              <w:rPr>
                <w:i/>
                <w:sz w:val="24"/>
                <w:szCs w:val="24"/>
              </w:rPr>
            </w:pPr>
            <w:r w:rsidRPr="009114D9">
              <w:rPr>
                <w:rFonts w:cs="Arial"/>
                <w:i/>
                <w:sz w:val="24"/>
                <w:szCs w:val="24"/>
              </w:rPr>
              <w:t xml:space="preserve">Wzrost zatrudnienia we wspieranych przedsiębiorstwach </w:t>
            </w:r>
            <w:r w:rsidRPr="009114D9">
              <w:rPr>
                <w:rFonts w:cs="Arial"/>
                <w:i/>
                <w:sz w:val="24"/>
                <w:szCs w:val="24"/>
              </w:rPr>
              <w:br/>
              <w:t>– mężczyźni</w:t>
            </w:r>
            <w:r w:rsidRPr="009114D9">
              <w:rPr>
                <w:rFonts w:cs="Arial"/>
                <w:i/>
                <w:sz w:val="24"/>
                <w:szCs w:val="24"/>
                <w:vertAlign w:val="superscript"/>
              </w:rPr>
              <w:t>1</w:t>
            </w:r>
          </w:p>
        </w:tc>
        <w:tc>
          <w:tcPr>
            <w:tcW w:w="1276" w:type="dxa"/>
            <w:tcBorders>
              <w:top w:val="single" w:sz="4" w:space="0" w:color="33CC33"/>
              <w:bottom w:val="single" w:sz="12" w:space="0" w:color="33CC33"/>
            </w:tcBorders>
            <w:shd w:val="clear" w:color="auto" w:fill="FFFFFF" w:themeFill="background1"/>
            <w:vAlign w:val="center"/>
          </w:tcPr>
          <w:p w14:paraId="3CDD9683"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bottom w:val="single" w:sz="12" w:space="0" w:color="33CC33"/>
            </w:tcBorders>
            <w:shd w:val="clear" w:color="auto" w:fill="FFFFFF" w:themeFill="background1"/>
            <w:vAlign w:val="center"/>
          </w:tcPr>
          <w:p w14:paraId="1BE3FB74"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14:paraId="14325F25"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14:paraId="6B78C549" w14:textId="77777777" w:rsidR="009114D9" w:rsidRPr="009114D9" w:rsidRDefault="009114D9" w:rsidP="00A06C6C">
            <w:pPr>
              <w:spacing w:before="80" w:after="80" w:line="276" w:lineRule="auto"/>
              <w:rPr>
                <w:sz w:val="24"/>
                <w:szCs w:val="24"/>
              </w:rPr>
            </w:pPr>
            <w:r w:rsidRPr="009114D9">
              <w:rPr>
                <w:sz w:val="24"/>
                <w:szCs w:val="24"/>
              </w:rPr>
              <w:t>Common Indicator</w:t>
            </w:r>
          </w:p>
        </w:tc>
        <w:tc>
          <w:tcPr>
            <w:tcW w:w="5812" w:type="dxa"/>
            <w:vMerge/>
            <w:tcBorders>
              <w:top w:val="single" w:sz="4" w:space="0" w:color="33CC33"/>
              <w:bottom w:val="single" w:sz="12" w:space="0" w:color="33CC33"/>
            </w:tcBorders>
            <w:shd w:val="clear" w:color="auto" w:fill="FFFFFF" w:themeFill="background1"/>
            <w:vAlign w:val="center"/>
          </w:tcPr>
          <w:p w14:paraId="1335803A" w14:textId="77777777" w:rsidR="009114D9" w:rsidRPr="009114D9" w:rsidRDefault="009114D9" w:rsidP="00A06C6C">
            <w:pPr>
              <w:tabs>
                <w:tab w:val="left" w:pos="3402"/>
                <w:tab w:val="left" w:pos="5103"/>
              </w:tabs>
              <w:spacing w:line="276" w:lineRule="auto"/>
              <w:ind w:left="-8"/>
              <w:contextualSpacing/>
              <w:rPr>
                <w:rFonts w:eastAsia="Times New Roman" w:cs="Times New Roman"/>
                <w:sz w:val="24"/>
                <w:szCs w:val="24"/>
                <w:lang w:eastAsia="en-US"/>
              </w:rPr>
            </w:pPr>
          </w:p>
        </w:tc>
      </w:tr>
      <w:tr w:rsidR="009114D9" w:rsidRPr="009114D9" w14:paraId="0AB54F95" w14:textId="77777777" w:rsidTr="00A06C6C">
        <w:tc>
          <w:tcPr>
            <w:tcW w:w="671" w:type="dxa"/>
            <w:tcBorders>
              <w:top w:val="single" w:sz="12" w:space="0" w:color="33CC33"/>
              <w:bottom w:val="single" w:sz="4" w:space="0" w:color="33CC33"/>
            </w:tcBorders>
            <w:shd w:val="clear" w:color="auto" w:fill="FFFFFF" w:themeFill="background1"/>
            <w:vAlign w:val="center"/>
          </w:tcPr>
          <w:p w14:paraId="34269630" w14:textId="77777777" w:rsidR="009114D9" w:rsidRPr="009114D9" w:rsidRDefault="009114D9" w:rsidP="00A06C6C">
            <w:pPr>
              <w:spacing w:before="80" w:after="80" w:line="276" w:lineRule="auto"/>
              <w:jc w:val="center"/>
              <w:rPr>
                <w:sz w:val="24"/>
                <w:szCs w:val="24"/>
                <w:highlight w:val="red"/>
              </w:rPr>
            </w:pPr>
            <w:r w:rsidRPr="009114D9">
              <w:rPr>
                <w:sz w:val="24"/>
                <w:szCs w:val="24"/>
              </w:rPr>
              <w:t>6.</w:t>
            </w:r>
          </w:p>
        </w:tc>
        <w:tc>
          <w:tcPr>
            <w:tcW w:w="2716" w:type="dxa"/>
            <w:tcBorders>
              <w:top w:val="single" w:sz="12" w:space="0" w:color="33CC33"/>
              <w:bottom w:val="single" w:sz="4" w:space="0" w:color="33CC33"/>
            </w:tcBorders>
            <w:shd w:val="clear" w:color="auto" w:fill="FFFFFF" w:themeFill="background1"/>
            <w:vAlign w:val="center"/>
          </w:tcPr>
          <w:p w14:paraId="475C720C" w14:textId="77777777" w:rsidR="009114D9" w:rsidRPr="009114D9" w:rsidRDefault="009114D9" w:rsidP="00A06C6C">
            <w:pPr>
              <w:spacing w:before="80" w:after="80" w:line="276" w:lineRule="auto"/>
              <w:rPr>
                <w:i/>
                <w:sz w:val="24"/>
                <w:szCs w:val="24"/>
              </w:rPr>
            </w:pPr>
            <w:r w:rsidRPr="009114D9">
              <w:rPr>
                <w:i/>
                <w:sz w:val="24"/>
                <w:szCs w:val="24"/>
              </w:rPr>
              <w:t>Wzrost zatrudnienia we wspieranych podmiotach (innych niż przedsiębiorstwa)</w:t>
            </w:r>
          </w:p>
        </w:tc>
        <w:tc>
          <w:tcPr>
            <w:tcW w:w="1276" w:type="dxa"/>
            <w:tcBorders>
              <w:top w:val="single" w:sz="12" w:space="0" w:color="33CC33"/>
              <w:bottom w:val="single" w:sz="4" w:space="0" w:color="33CC33"/>
            </w:tcBorders>
            <w:shd w:val="clear" w:color="auto" w:fill="FFFFFF" w:themeFill="background1"/>
            <w:vAlign w:val="center"/>
          </w:tcPr>
          <w:p w14:paraId="4090228E"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EPC</w:t>
            </w:r>
          </w:p>
        </w:tc>
        <w:tc>
          <w:tcPr>
            <w:tcW w:w="1418" w:type="dxa"/>
            <w:tcBorders>
              <w:top w:val="single" w:sz="12" w:space="0" w:color="33CC33"/>
              <w:bottom w:val="single" w:sz="4" w:space="0" w:color="33CC33"/>
            </w:tcBorders>
            <w:shd w:val="clear" w:color="auto" w:fill="FFFFFF" w:themeFill="background1"/>
            <w:vAlign w:val="center"/>
          </w:tcPr>
          <w:p w14:paraId="748A8683"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14:paraId="01574322"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14:paraId="0BB7266D"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val="restart"/>
            <w:tcBorders>
              <w:top w:val="single" w:sz="12" w:space="0" w:color="33CC33"/>
            </w:tcBorders>
            <w:shd w:val="clear" w:color="auto" w:fill="FFFFFF" w:themeFill="background1"/>
            <w:vAlign w:val="center"/>
          </w:tcPr>
          <w:p w14:paraId="0C49EA7C" w14:textId="77777777" w:rsidR="009114D9" w:rsidRPr="009114D9" w:rsidRDefault="009114D9" w:rsidP="00A06C6C">
            <w:pPr>
              <w:spacing w:before="80" w:after="80" w:line="276" w:lineRule="auto"/>
              <w:rPr>
                <w:color w:val="C00000"/>
                <w:sz w:val="24"/>
                <w:szCs w:val="24"/>
              </w:rPr>
            </w:pPr>
            <w:r w:rsidRPr="009114D9">
              <w:rPr>
                <w:sz w:val="24"/>
                <w:szCs w:val="24"/>
              </w:rPr>
              <w:t>Należy stosować analogiczną definicję jak we wskaźniku „</w:t>
            </w:r>
            <w:r w:rsidRPr="009114D9">
              <w:rPr>
                <w:i/>
                <w:sz w:val="24"/>
                <w:szCs w:val="24"/>
              </w:rPr>
              <w:t>Wzrost zatrudnienia we wspieranych przedsiębiorstwach</w:t>
            </w:r>
            <w:r w:rsidRPr="009114D9">
              <w:rPr>
                <w:sz w:val="24"/>
                <w:szCs w:val="24"/>
              </w:rPr>
              <w:t xml:space="preserve">” w odniesieniu do podmiotów innych niż przedsiębiorstwa. </w:t>
            </w:r>
          </w:p>
        </w:tc>
      </w:tr>
      <w:tr w:rsidR="009114D9" w:rsidRPr="009114D9" w14:paraId="5E895E6B" w14:textId="77777777" w:rsidTr="00A06C6C">
        <w:tc>
          <w:tcPr>
            <w:tcW w:w="671" w:type="dxa"/>
            <w:tcBorders>
              <w:top w:val="single" w:sz="4" w:space="0" w:color="33CC33"/>
              <w:bottom w:val="single" w:sz="4" w:space="0" w:color="33CC33"/>
            </w:tcBorders>
            <w:shd w:val="clear" w:color="auto" w:fill="FFFFFF" w:themeFill="background1"/>
            <w:vAlign w:val="center"/>
          </w:tcPr>
          <w:p w14:paraId="68BACF9F" w14:textId="77777777" w:rsidR="009114D9" w:rsidRPr="009114D9" w:rsidRDefault="009114D9" w:rsidP="00A06C6C">
            <w:pPr>
              <w:spacing w:before="80" w:after="80" w:line="276" w:lineRule="auto"/>
              <w:jc w:val="center"/>
              <w:rPr>
                <w:sz w:val="24"/>
                <w:szCs w:val="24"/>
              </w:rPr>
            </w:pPr>
            <w:r w:rsidRPr="009114D9">
              <w:rPr>
                <w:sz w:val="24"/>
                <w:szCs w:val="24"/>
              </w:rPr>
              <w:t>6a.</w:t>
            </w:r>
          </w:p>
        </w:tc>
        <w:tc>
          <w:tcPr>
            <w:tcW w:w="2716" w:type="dxa"/>
            <w:tcBorders>
              <w:top w:val="single" w:sz="4" w:space="0" w:color="33CC33"/>
              <w:bottom w:val="single" w:sz="4" w:space="0" w:color="33CC33"/>
            </w:tcBorders>
            <w:shd w:val="clear" w:color="auto" w:fill="FFFFFF" w:themeFill="background1"/>
            <w:vAlign w:val="center"/>
          </w:tcPr>
          <w:p w14:paraId="61BBE9B4" w14:textId="77777777" w:rsidR="009114D9" w:rsidRPr="009114D9" w:rsidRDefault="009114D9" w:rsidP="00A06C6C">
            <w:pPr>
              <w:spacing w:line="276" w:lineRule="auto"/>
              <w:rPr>
                <w:i/>
                <w:sz w:val="24"/>
                <w:szCs w:val="24"/>
              </w:rPr>
            </w:pPr>
            <w:r w:rsidRPr="009114D9">
              <w:rPr>
                <w:i/>
                <w:sz w:val="24"/>
                <w:szCs w:val="24"/>
              </w:rPr>
              <w:t>Wzrost zatrudnienia we wspieranych podmiotach (innych niż przedsiębiorstwa)</w:t>
            </w:r>
          </w:p>
          <w:p w14:paraId="010185F2" w14:textId="77777777" w:rsidR="009114D9" w:rsidRPr="009114D9" w:rsidRDefault="009114D9" w:rsidP="00A06C6C">
            <w:pPr>
              <w:spacing w:before="40" w:line="276" w:lineRule="auto"/>
              <w:rPr>
                <w:i/>
                <w:sz w:val="24"/>
                <w:szCs w:val="24"/>
              </w:rPr>
            </w:pPr>
            <w:r w:rsidRPr="009114D9">
              <w:rPr>
                <w:i/>
                <w:sz w:val="24"/>
                <w:szCs w:val="24"/>
              </w:rPr>
              <w:t>- kobiety</w:t>
            </w:r>
          </w:p>
        </w:tc>
        <w:tc>
          <w:tcPr>
            <w:tcW w:w="1276" w:type="dxa"/>
            <w:tcBorders>
              <w:top w:val="single" w:sz="4" w:space="0" w:color="33CC33"/>
              <w:bottom w:val="single" w:sz="4" w:space="0" w:color="33CC33"/>
            </w:tcBorders>
            <w:shd w:val="clear" w:color="auto" w:fill="FFFFFF" w:themeFill="background1"/>
            <w:vAlign w:val="center"/>
          </w:tcPr>
          <w:p w14:paraId="327C4971"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14:paraId="651A3430"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39510D5C"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14:paraId="757A6493"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737159A7" w14:textId="77777777" w:rsidR="009114D9" w:rsidRPr="009114D9" w:rsidRDefault="009114D9" w:rsidP="00A06C6C">
            <w:pPr>
              <w:spacing w:before="80" w:after="80" w:line="276" w:lineRule="auto"/>
              <w:rPr>
                <w:sz w:val="24"/>
                <w:szCs w:val="24"/>
              </w:rPr>
            </w:pPr>
          </w:p>
        </w:tc>
      </w:tr>
      <w:tr w:rsidR="009114D9" w:rsidRPr="009114D9" w14:paraId="421FA686" w14:textId="77777777" w:rsidTr="009114D9">
        <w:trPr>
          <w:trHeight w:val="1854"/>
        </w:trPr>
        <w:tc>
          <w:tcPr>
            <w:tcW w:w="671" w:type="dxa"/>
            <w:tcBorders>
              <w:top w:val="single" w:sz="4" w:space="0" w:color="33CC33"/>
              <w:bottom w:val="single" w:sz="4" w:space="0" w:color="33CC33"/>
            </w:tcBorders>
            <w:shd w:val="clear" w:color="auto" w:fill="FFFFFF" w:themeFill="background1"/>
            <w:vAlign w:val="center"/>
          </w:tcPr>
          <w:p w14:paraId="56F8075C" w14:textId="77777777" w:rsidR="009114D9" w:rsidRPr="009114D9" w:rsidRDefault="009114D9" w:rsidP="00A06C6C">
            <w:pPr>
              <w:spacing w:before="80" w:after="80" w:line="276" w:lineRule="auto"/>
              <w:jc w:val="center"/>
              <w:rPr>
                <w:sz w:val="24"/>
                <w:szCs w:val="24"/>
              </w:rPr>
            </w:pPr>
            <w:r w:rsidRPr="009114D9">
              <w:rPr>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043F421F" w14:textId="77777777" w:rsidR="009114D9" w:rsidRPr="009114D9" w:rsidRDefault="009114D9" w:rsidP="00A06C6C">
            <w:pPr>
              <w:spacing w:line="276" w:lineRule="auto"/>
              <w:rPr>
                <w:i/>
                <w:sz w:val="24"/>
                <w:szCs w:val="24"/>
              </w:rPr>
            </w:pPr>
            <w:r w:rsidRPr="009114D9">
              <w:rPr>
                <w:i/>
                <w:sz w:val="24"/>
                <w:szCs w:val="24"/>
              </w:rPr>
              <w:t>Wzrost zatrudnienia we wspieranych podmiotach (innych niż przedsiębiorstwa)</w:t>
            </w:r>
          </w:p>
          <w:p w14:paraId="09D84FBE" w14:textId="77777777" w:rsidR="009114D9" w:rsidRPr="009114D9" w:rsidRDefault="009114D9" w:rsidP="00A06C6C">
            <w:pPr>
              <w:spacing w:before="40" w:line="276" w:lineRule="auto"/>
              <w:rPr>
                <w:i/>
                <w:sz w:val="24"/>
                <w:szCs w:val="24"/>
              </w:rPr>
            </w:pPr>
            <w:r w:rsidRPr="009114D9">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14:paraId="4A77F381"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14:paraId="76C580A4" w14:textId="77777777" w:rsidR="009114D9" w:rsidRPr="009114D9" w:rsidRDefault="009114D9" w:rsidP="00A06C6C">
            <w:pPr>
              <w:tabs>
                <w:tab w:val="center" w:pos="4536"/>
                <w:tab w:val="right" w:pos="9072"/>
              </w:tabs>
              <w:spacing w:before="80" w:after="80" w:line="276" w:lineRule="auto"/>
              <w:rPr>
                <w:sz w:val="24"/>
                <w:szCs w:val="24"/>
              </w:rPr>
            </w:pPr>
            <w:r w:rsidRPr="009114D9">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11E4F92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14:paraId="18383F3E"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40DEE5B8" w14:textId="77777777" w:rsidR="009114D9" w:rsidRPr="009114D9" w:rsidRDefault="009114D9" w:rsidP="00A06C6C">
            <w:pPr>
              <w:spacing w:before="80" w:after="80" w:line="276" w:lineRule="auto"/>
              <w:rPr>
                <w:sz w:val="24"/>
                <w:szCs w:val="24"/>
              </w:rPr>
            </w:pPr>
          </w:p>
        </w:tc>
      </w:tr>
      <w:tr w:rsidR="009114D9" w:rsidRPr="009114D9" w14:paraId="3F049BCC" w14:textId="77777777" w:rsidTr="00A06C6C">
        <w:tc>
          <w:tcPr>
            <w:tcW w:w="671" w:type="dxa"/>
            <w:tcBorders>
              <w:top w:val="single" w:sz="4" w:space="0" w:color="33CC33"/>
            </w:tcBorders>
            <w:shd w:val="clear" w:color="auto" w:fill="FFFFFF" w:themeFill="background1"/>
            <w:vAlign w:val="center"/>
          </w:tcPr>
          <w:p w14:paraId="534444FC" w14:textId="77777777" w:rsidR="009114D9" w:rsidRPr="009114D9" w:rsidRDefault="009114D9" w:rsidP="00A06C6C">
            <w:pPr>
              <w:spacing w:before="80" w:after="80" w:line="276" w:lineRule="auto"/>
              <w:jc w:val="center"/>
              <w:rPr>
                <w:sz w:val="24"/>
                <w:szCs w:val="24"/>
              </w:rPr>
            </w:pPr>
            <w:r w:rsidRPr="009114D9">
              <w:rPr>
                <w:sz w:val="24"/>
                <w:szCs w:val="24"/>
              </w:rPr>
              <w:t>7.</w:t>
            </w:r>
          </w:p>
        </w:tc>
        <w:tc>
          <w:tcPr>
            <w:tcW w:w="2716" w:type="dxa"/>
            <w:tcBorders>
              <w:top w:val="single" w:sz="4" w:space="0" w:color="33CC33"/>
            </w:tcBorders>
            <w:shd w:val="clear" w:color="auto" w:fill="FFFFFF" w:themeFill="background1"/>
            <w:vAlign w:val="center"/>
          </w:tcPr>
          <w:p w14:paraId="7D175D5F" w14:textId="77777777" w:rsidR="009114D9" w:rsidRPr="009114D9" w:rsidRDefault="009114D9" w:rsidP="00A06C6C">
            <w:pPr>
              <w:spacing w:before="80" w:after="80" w:line="276" w:lineRule="auto"/>
              <w:rPr>
                <w:i/>
                <w:sz w:val="24"/>
                <w:szCs w:val="24"/>
              </w:rPr>
            </w:pPr>
            <w:r w:rsidRPr="009114D9">
              <w:rPr>
                <w:i/>
                <w:sz w:val="24"/>
                <w:szCs w:val="24"/>
              </w:rPr>
              <w:t>Liczba utrzymanych miejsc pracy</w:t>
            </w:r>
          </w:p>
        </w:tc>
        <w:tc>
          <w:tcPr>
            <w:tcW w:w="1276" w:type="dxa"/>
            <w:tcBorders>
              <w:top w:val="single" w:sz="4" w:space="0" w:color="33CC33"/>
            </w:tcBorders>
            <w:shd w:val="clear" w:color="auto" w:fill="FFFFFF" w:themeFill="background1"/>
            <w:vAlign w:val="center"/>
          </w:tcPr>
          <w:p w14:paraId="0465FFF3"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tcBorders>
            <w:shd w:val="clear" w:color="auto" w:fill="FFFFFF" w:themeFill="background1"/>
            <w:vAlign w:val="center"/>
          </w:tcPr>
          <w:p w14:paraId="5818B942"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tcBorders>
            <w:shd w:val="clear" w:color="auto" w:fill="FFFFFF" w:themeFill="background1"/>
            <w:vAlign w:val="center"/>
          </w:tcPr>
          <w:p w14:paraId="47880AB8"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tcBorders>
            <w:shd w:val="clear" w:color="auto" w:fill="FFFFFF" w:themeFill="background1"/>
            <w:vAlign w:val="center"/>
          </w:tcPr>
          <w:p w14:paraId="49100458"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val="restart"/>
            <w:shd w:val="clear" w:color="auto" w:fill="FFFFFF" w:themeFill="background1"/>
            <w:vAlign w:val="center"/>
          </w:tcPr>
          <w:p w14:paraId="06837319" w14:textId="77777777" w:rsidR="009114D9" w:rsidRPr="009114D9" w:rsidRDefault="009114D9" w:rsidP="00A06C6C">
            <w:pPr>
              <w:pStyle w:val="Default"/>
              <w:spacing w:before="60" w:after="60" w:line="276" w:lineRule="auto"/>
              <w:rPr>
                <w:rFonts w:asciiTheme="minorHAnsi" w:hAnsiTheme="minorHAnsi"/>
              </w:rPr>
            </w:pPr>
            <w:r w:rsidRPr="009114D9">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Pr>
                <w:rFonts w:asciiTheme="minorHAnsi" w:hAnsiTheme="minorHAnsi"/>
              </w:rPr>
              <w:br/>
            </w:r>
            <w:r w:rsidRPr="009114D9">
              <w:rPr>
                <w:rFonts w:asciiTheme="minorHAnsi" w:hAnsiTheme="minorHAnsi"/>
              </w:rPr>
              <w:t xml:space="preserve">i niepełnowymiarowe należy przeliczyć na ekwiwalent pełnego czasu pracy. Zatrudnienie w ekwiwalentach pełnego czasu pracy ustala się na podstawie proporcji czasu przepracowanego przez poszczególnych pracowników w ciągu roku sprawozdawczego </w:t>
            </w:r>
            <w:r>
              <w:rPr>
                <w:rFonts w:asciiTheme="minorHAnsi" w:hAnsiTheme="minorHAnsi"/>
              </w:rPr>
              <w:br/>
            </w:r>
            <w:r w:rsidRPr="009114D9">
              <w:rPr>
                <w:rFonts w:asciiTheme="minorHAnsi" w:hAnsiTheme="minorHAnsi"/>
              </w:rPr>
              <w:t xml:space="preserve">w stosunku do pełnego czasu pracy obowiązującego </w:t>
            </w:r>
            <w:r>
              <w:rPr>
                <w:rFonts w:asciiTheme="minorHAnsi" w:hAnsiTheme="minorHAnsi"/>
              </w:rPr>
              <w:br/>
            </w:r>
            <w:r w:rsidRPr="009114D9">
              <w:rPr>
                <w:rFonts w:asciiTheme="minorHAnsi" w:hAnsiTheme="minorHAnsi"/>
              </w:rPr>
              <w:t xml:space="preserve">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7BE3325C" w14:textId="77777777" w:rsidR="009114D9" w:rsidRPr="009114D9" w:rsidRDefault="009114D9" w:rsidP="00A06C6C">
            <w:pPr>
              <w:spacing w:before="60" w:after="60" w:line="276" w:lineRule="auto"/>
              <w:rPr>
                <w:sz w:val="24"/>
                <w:szCs w:val="24"/>
              </w:rPr>
            </w:pPr>
            <w:r w:rsidRPr="009114D9">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56100109" w14:textId="77777777" w:rsidR="009114D9" w:rsidRPr="009114D9" w:rsidRDefault="009114D9" w:rsidP="00A06C6C">
            <w:pPr>
              <w:spacing w:before="60" w:after="60" w:line="276" w:lineRule="auto"/>
              <w:rPr>
                <w:i/>
                <w:color w:val="C00000"/>
                <w:sz w:val="24"/>
                <w:szCs w:val="24"/>
              </w:rPr>
            </w:pPr>
            <w:r w:rsidRPr="009114D9">
              <w:rPr>
                <w:i/>
                <w:sz w:val="24"/>
                <w:szCs w:val="24"/>
              </w:rPr>
              <w:t>[Definicja opracowana przez IZ RPO WO 2014-2020]</w:t>
            </w:r>
          </w:p>
        </w:tc>
      </w:tr>
      <w:tr w:rsidR="009114D9" w:rsidRPr="009114D9" w14:paraId="050DEC84" w14:textId="77777777" w:rsidTr="00A06C6C">
        <w:tc>
          <w:tcPr>
            <w:tcW w:w="671" w:type="dxa"/>
            <w:tcBorders>
              <w:top w:val="single" w:sz="4" w:space="0" w:color="33CC33"/>
            </w:tcBorders>
            <w:shd w:val="clear" w:color="auto" w:fill="FFFFFF" w:themeFill="background1"/>
            <w:vAlign w:val="center"/>
          </w:tcPr>
          <w:p w14:paraId="2ED9BFAC" w14:textId="77777777" w:rsidR="009114D9" w:rsidRPr="009114D9" w:rsidRDefault="009114D9" w:rsidP="00A06C6C">
            <w:pPr>
              <w:spacing w:before="80" w:after="80" w:line="276" w:lineRule="auto"/>
              <w:jc w:val="center"/>
              <w:rPr>
                <w:sz w:val="24"/>
                <w:szCs w:val="24"/>
              </w:rPr>
            </w:pPr>
            <w:r w:rsidRPr="009114D9">
              <w:rPr>
                <w:sz w:val="24"/>
                <w:szCs w:val="24"/>
              </w:rPr>
              <w:t>7a.</w:t>
            </w:r>
          </w:p>
        </w:tc>
        <w:tc>
          <w:tcPr>
            <w:tcW w:w="2716" w:type="dxa"/>
            <w:tcBorders>
              <w:top w:val="single" w:sz="4" w:space="0" w:color="33CC33"/>
            </w:tcBorders>
            <w:shd w:val="clear" w:color="auto" w:fill="FFFFFF" w:themeFill="background1"/>
            <w:vAlign w:val="center"/>
          </w:tcPr>
          <w:p w14:paraId="729AE5CD" w14:textId="77777777" w:rsidR="009114D9" w:rsidRPr="009114D9" w:rsidRDefault="009114D9" w:rsidP="00A06C6C">
            <w:pPr>
              <w:spacing w:line="276" w:lineRule="auto"/>
              <w:rPr>
                <w:i/>
                <w:sz w:val="24"/>
                <w:szCs w:val="24"/>
              </w:rPr>
            </w:pPr>
            <w:r w:rsidRPr="009114D9">
              <w:rPr>
                <w:i/>
                <w:sz w:val="24"/>
                <w:szCs w:val="24"/>
              </w:rPr>
              <w:t>Liczba utrzymanych miejsc pracy</w:t>
            </w:r>
          </w:p>
          <w:p w14:paraId="3B6ECBC7" w14:textId="77777777" w:rsidR="009114D9" w:rsidRPr="009114D9" w:rsidRDefault="009114D9" w:rsidP="00A06C6C">
            <w:pPr>
              <w:spacing w:before="40" w:line="276" w:lineRule="auto"/>
              <w:rPr>
                <w:i/>
                <w:sz w:val="24"/>
                <w:szCs w:val="24"/>
              </w:rPr>
            </w:pPr>
            <w:r w:rsidRPr="009114D9">
              <w:rPr>
                <w:i/>
                <w:sz w:val="24"/>
                <w:szCs w:val="24"/>
              </w:rPr>
              <w:t>- kobiety</w:t>
            </w:r>
          </w:p>
        </w:tc>
        <w:tc>
          <w:tcPr>
            <w:tcW w:w="1276" w:type="dxa"/>
            <w:tcBorders>
              <w:top w:val="single" w:sz="4" w:space="0" w:color="33CC33"/>
            </w:tcBorders>
            <w:shd w:val="clear" w:color="auto" w:fill="FFFFFF" w:themeFill="background1"/>
            <w:vAlign w:val="center"/>
          </w:tcPr>
          <w:p w14:paraId="248C771F"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tcBorders>
            <w:shd w:val="clear" w:color="auto" w:fill="FFFFFF" w:themeFill="background1"/>
            <w:vAlign w:val="center"/>
          </w:tcPr>
          <w:p w14:paraId="3BC2B455"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tcBorders>
            <w:shd w:val="clear" w:color="auto" w:fill="FFFFFF" w:themeFill="background1"/>
            <w:vAlign w:val="center"/>
          </w:tcPr>
          <w:p w14:paraId="378CF313"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tcBorders>
            <w:shd w:val="clear" w:color="auto" w:fill="FFFFFF" w:themeFill="background1"/>
            <w:vAlign w:val="center"/>
          </w:tcPr>
          <w:p w14:paraId="355603B5"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3FD90E7F" w14:textId="77777777" w:rsidR="009114D9" w:rsidRPr="009114D9" w:rsidRDefault="009114D9" w:rsidP="00A06C6C">
            <w:pPr>
              <w:spacing w:before="80" w:after="80" w:line="276" w:lineRule="auto"/>
              <w:rPr>
                <w:i/>
                <w:color w:val="C00000"/>
                <w:sz w:val="24"/>
                <w:szCs w:val="24"/>
              </w:rPr>
            </w:pPr>
          </w:p>
        </w:tc>
      </w:tr>
      <w:tr w:rsidR="009114D9" w:rsidRPr="009114D9" w14:paraId="2950B8A8" w14:textId="77777777" w:rsidTr="00A06C6C">
        <w:tc>
          <w:tcPr>
            <w:tcW w:w="671" w:type="dxa"/>
            <w:tcBorders>
              <w:top w:val="single" w:sz="4" w:space="0" w:color="33CC33"/>
            </w:tcBorders>
            <w:shd w:val="clear" w:color="auto" w:fill="FFFFFF" w:themeFill="background1"/>
            <w:vAlign w:val="center"/>
          </w:tcPr>
          <w:p w14:paraId="02373748" w14:textId="77777777" w:rsidR="009114D9" w:rsidRPr="009114D9" w:rsidRDefault="009114D9" w:rsidP="00A06C6C">
            <w:pPr>
              <w:spacing w:before="80" w:after="80" w:line="276" w:lineRule="auto"/>
              <w:jc w:val="center"/>
              <w:rPr>
                <w:sz w:val="24"/>
                <w:szCs w:val="24"/>
              </w:rPr>
            </w:pPr>
            <w:r w:rsidRPr="009114D9">
              <w:rPr>
                <w:sz w:val="24"/>
                <w:szCs w:val="24"/>
              </w:rPr>
              <w:t>7b.</w:t>
            </w:r>
          </w:p>
        </w:tc>
        <w:tc>
          <w:tcPr>
            <w:tcW w:w="2716" w:type="dxa"/>
            <w:tcBorders>
              <w:top w:val="single" w:sz="4" w:space="0" w:color="33CC33"/>
            </w:tcBorders>
            <w:shd w:val="clear" w:color="auto" w:fill="FFFFFF" w:themeFill="background1"/>
            <w:vAlign w:val="center"/>
          </w:tcPr>
          <w:p w14:paraId="1B5088E5" w14:textId="77777777" w:rsidR="009114D9" w:rsidRPr="009114D9" w:rsidRDefault="009114D9" w:rsidP="00A06C6C">
            <w:pPr>
              <w:spacing w:line="276" w:lineRule="auto"/>
              <w:rPr>
                <w:i/>
                <w:sz w:val="24"/>
                <w:szCs w:val="24"/>
              </w:rPr>
            </w:pPr>
            <w:r w:rsidRPr="009114D9">
              <w:rPr>
                <w:i/>
                <w:sz w:val="24"/>
                <w:szCs w:val="24"/>
              </w:rPr>
              <w:t>Liczba utrzymanych miejsc pracy</w:t>
            </w:r>
          </w:p>
          <w:p w14:paraId="7BA07475" w14:textId="77777777" w:rsidR="009114D9" w:rsidRPr="009114D9" w:rsidRDefault="009114D9" w:rsidP="00A06C6C">
            <w:pPr>
              <w:spacing w:before="40" w:line="276" w:lineRule="auto"/>
              <w:rPr>
                <w:i/>
                <w:sz w:val="24"/>
                <w:szCs w:val="24"/>
              </w:rPr>
            </w:pPr>
            <w:r w:rsidRPr="009114D9">
              <w:rPr>
                <w:i/>
                <w:sz w:val="24"/>
                <w:szCs w:val="24"/>
              </w:rPr>
              <w:t>- mężczyźni</w:t>
            </w:r>
          </w:p>
        </w:tc>
        <w:tc>
          <w:tcPr>
            <w:tcW w:w="1276" w:type="dxa"/>
            <w:tcBorders>
              <w:top w:val="single" w:sz="4" w:space="0" w:color="33CC33"/>
            </w:tcBorders>
            <w:shd w:val="clear" w:color="auto" w:fill="FFFFFF" w:themeFill="background1"/>
            <w:vAlign w:val="center"/>
          </w:tcPr>
          <w:p w14:paraId="55A0B758"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tcBorders>
            <w:shd w:val="clear" w:color="auto" w:fill="FFFFFF" w:themeFill="background1"/>
            <w:vAlign w:val="center"/>
          </w:tcPr>
          <w:p w14:paraId="11A69B24"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tcBorders>
            <w:shd w:val="clear" w:color="auto" w:fill="FFFFFF" w:themeFill="background1"/>
            <w:vAlign w:val="center"/>
          </w:tcPr>
          <w:p w14:paraId="3F9A6455"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tcBorders>
            <w:shd w:val="clear" w:color="auto" w:fill="FFFFFF" w:themeFill="background1"/>
            <w:vAlign w:val="center"/>
          </w:tcPr>
          <w:p w14:paraId="2107E9D2"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47A1E811" w14:textId="77777777" w:rsidR="009114D9" w:rsidRPr="009114D9" w:rsidRDefault="009114D9" w:rsidP="00A06C6C">
            <w:pPr>
              <w:spacing w:before="80" w:after="80" w:line="276" w:lineRule="auto"/>
              <w:rPr>
                <w:i/>
                <w:color w:val="C00000"/>
                <w:sz w:val="24"/>
                <w:szCs w:val="24"/>
              </w:rPr>
            </w:pPr>
          </w:p>
        </w:tc>
      </w:tr>
      <w:tr w:rsidR="009114D9" w:rsidRPr="009114D9" w14:paraId="4EFA72FF" w14:textId="77777777" w:rsidTr="009114D9">
        <w:trPr>
          <w:trHeight w:val="2192"/>
        </w:trPr>
        <w:tc>
          <w:tcPr>
            <w:tcW w:w="671" w:type="dxa"/>
            <w:tcBorders>
              <w:bottom w:val="single" w:sz="8" w:space="0" w:color="33CC33"/>
            </w:tcBorders>
            <w:shd w:val="clear" w:color="auto" w:fill="FFFFFF" w:themeFill="background1"/>
            <w:vAlign w:val="center"/>
          </w:tcPr>
          <w:p w14:paraId="18C8CEC3" w14:textId="77777777" w:rsidR="009114D9" w:rsidRPr="009114D9" w:rsidRDefault="009114D9" w:rsidP="00A06C6C">
            <w:pPr>
              <w:spacing w:before="80" w:after="80" w:line="276" w:lineRule="auto"/>
              <w:jc w:val="center"/>
              <w:rPr>
                <w:sz w:val="24"/>
                <w:szCs w:val="24"/>
              </w:rPr>
            </w:pPr>
            <w:r w:rsidRPr="009114D9">
              <w:rPr>
                <w:sz w:val="24"/>
                <w:szCs w:val="24"/>
              </w:rPr>
              <w:t>8.</w:t>
            </w:r>
          </w:p>
        </w:tc>
        <w:tc>
          <w:tcPr>
            <w:tcW w:w="2716" w:type="dxa"/>
            <w:tcBorders>
              <w:bottom w:val="single" w:sz="8" w:space="0" w:color="33CC33"/>
            </w:tcBorders>
            <w:shd w:val="clear" w:color="auto" w:fill="FFFFFF" w:themeFill="background1"/>
            <w:vAlign w:val="center"/>
          </w:tcPr>
          <w:p w14:paraId="6AB0DE7D" w14:textId="77777777" w:rsidR="009114D9" w:rsidRPr="009114D9" w:rsidRDefault="009114D9" w:rsidP="00A06C6C">
            <w:pPr>
              <w:spacing w:before="80" w:after="80" w:line="276" w:lineRule="auto"/>
              <w:rPr>
                <w:i/>
                <w:sz w:val="24"/>
                <w:szCs w:val="24"/>
              </w:rPr>
            </w:pPr>
            <w:r w:rsidRPr="009114D9">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14:paraId="1E543E79"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bottom w:val="single" w:sz="8" w:space="0" w:color="33CC33"/>
            </w:tcBorders>
            <w:shd w:val="clear" w:color="auto" w:fill="FFFFFF" w:themeFill="background1"/>
            <w:vAlign w:val="center"/>
          </w:tcPr>
          <w:p w14:paraId="20ED725D"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bottom w:val="single" w:sz="8" w:space="0" w:color="33CC33"/>
            </w:tcBorders>
            <w:shd w:val="clear" w:color="auto" w:fill="FFFFFF" w:themeFill="background1"/>
            <w:vAlign w:val="center"/>
          </w:tcPr>
          <w:p w14:paraId="50491B6C"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bottom w:val="single" w:sz="8" w:space="0" w:color="33CC33"/>
            </w:tcBorders>
            <w:shd w:val="clear" w:color="auto" w:fill="FFFFFF" w:themeFill="background1"/>
            <w:vAlign w:val="center"/>
          </w:tcPr>
          <w:p w14:paraId="1FADDC92"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val="restart"/>
            <w:shd w:val="clear" w:color="auto" w:fill="FFFFFF" w:themeFill="background1"/>
            <w:vAlign w:val="center"/>
          </w:tcPr>
          <w:p w14:paraId="6BF39AD0" w14:textId="77777777" w:rsidR="009114D9" w:rsidRPr="009114D9" w:rsidRDefault="009114D9" w:rsidP="00A06C6C">
            <w:pPr>
              <w:pStyle w:val="Default"/>
              <w:spacing w:line="276" w:lineRule="auto"/>
              <w:rPr>
                <w:rFonts w:asciiTheme="minorHAnsi" w:hAnsiTheme="minorHAnsi"/>
              </w:rPr>
            </w:pPr>
            <w:r w:rsidRPr="009114D9">
              <w:rPr>
                <w:rFonts w:asciiTheme="minorHAnsi" w:hAnsiTheme="minorHAnsi"/>
              </w:rPr>
              <w:t xml:space="preserve">Wskaźnik służy do pomiaru liczby pracowników zatrudnionych bezpośrednio w efekcie realizacji projektu, pracujących </w:t>
            </w:r>
            <w:r w:rsidRPr="009114D9">
              <w:rPr>
                <w:rFonts w:asciiTheme="minorHAnsi" w:hAnsiTheme="minorHAnsi"/>
                <w:b/>
                <w:bCs/>
              </w:rPr>
              <w:t xml:space="preserve">na podstawie umów cywilnoprawnych </w:t>
            </w:r>
            <w:r w:rsidRPr="009114D9">
              <w:rPr>
                <w:rFonts w:asciiTheme="minorHAnsi" w:hAnsiTheme="minorHAnsi"/>
              </w:rPr>
              <w:t xml:space="preserve">tj.: umów o dzieło, umów zlecenia </w:t>
            </w:r>
            <w:r w:rsidRPr="009114D9">
              <w:rPr>
                <w:rFonts w:asciiTheme="minorHAnsi" w:hAnsiTheme="minorHAnsi"/>
                <w:b/>
                <w:bCs/>
              </w:rPr>
              <w:t xml:space="preserve">czy samozatrudnienia </w:t>
            </w:r>
            <w:r w:rsidRPr="009114D9">
              <w:rPr>
                <w:rFonts w:asciiTheme="minorHAnsi" w:hAnsiTheme="minorHAnsi"/>
              </w:rPr>
              <w:t xml:space="preserve">– kontraktu, jak i pracujących </w:t>
            </w:r>
            <w:r w:rsidRPr="009114D9">
              <w:rPr>
                <w:rFonts w:asciiTheme="minorHAnsi" w:hAnsiTheme="minorHAnsi"/>
                <w:b/>
                <w:bCs/>
              </w:rPr>
              <w:t>na podstawie umów o pracę na czas określony</w:t>
            </w:r>
            <w:r w:rsidRPr="009114D9">
              <w:rPr>
                <w:rFonts w:asciiTheme="minorHAnsi" w:hAnsiTheme="minorHAnsi"/>
              </w:rPr>
              <w:t xml:space="preserve">, </w:t>
            </w:r>
            <w:r w:rsidRPr="009114D9">
              <w:rPr>
                <w:rFonts w:asciiTheme="minorHAnsi" w:hAnsiTheme="minorHAnsi"/>
                <w:b/>
                <w:bCs/>
              </w:rPr>
              <w:t xml:space="preserve">zarówno </w:t>
            </w:r>
            <w:r>
              <w:rPr>
                <w:rFonts w:asciiTheme="minorHAnsi" w:hAnsiTheme="minorHAnsi"/>
                <w:b/>
                <w:bCs/>
              </w:rPr>
              <w:br/>
            </w:r>
            <w:r w:rsidRPr="009114D9">
              <w:rPr>
                <w:rFonts w:asciiTheme="minorHAnsi" w:hAnsiTheme="minorHAnsi"/>
                <w:b/>
                <w:bCs/>
              </w:rPr>
              <w:t xml:space="preserve">w przedsiębiorstwach </w:t>
            </w:r>
            <w:r w:rsidRPr="009114D9">
              <w:rPr>
                <w:rFonts w:asciiTheme="minorHAnsi" w:hAnsiTheme="minorHAnsi"/>
              </w:rPr>
              <w:t xml:space="preserve">jak i pozostałych </w:t>
            </w:r>
            <w:r w:rsidRPr="009114D9">
              <w:rPr>
                <w:rFonts w:asciiTheme="minorHAnsi" w:hAnsiTheme="minorHAnsi"/>
                <w:b/>
                <w:bCs/>
              </w:rPr>
              <w:t>podmiotach niebędących przedsiębiorstwami</w:t>
            </w:r>
            <w:r w:rsidRPr="009114D9">
              <w:rPr>
                <w:rFonts w:asciiTheme="minorHAnsi" w:hAnsiTheme="minorHAnsi"/>
              </w:rPr>
              <w:t xml:space="preserve">. </w:t>
            </w:r>
          </w:p>
          <w:p w14:paraId="7B870C3A" w14:textId="77777777" w:rsidR="009114D9" w:rsidRPr="009114D9" w:rsidRDefault="009114D9" w:rsidP="00A06C6C">
            <w:pPr>
              <w:pStyle w:val="Default"/>
              <w:spacing w:line="276" w:lineRule="auto"/>
              <w:rPr>
                <w:rFonts w:asciiTheme="minorHAnsi" w:hAnsiTheme="minorHAnsi"/>
              </w:rPr>
            </w:pPr>
            <w:r w:rsidRPr="009114D9">
              <w:rPr>
                <w:rFonts w:asciiTheme="minorHAnsi" w:hAnsiTheme="minorHAnsi"/>
              </w:rPr>
              <w:t xml:space="preserve">Zatrudnienie w ekwiwalentach pełnego czasu pracy ustala się na podstawie proporcji czasu przepracowanego przez poszczególnych pracowników </w:t>
            </w:r>
            <w:r>
              <w:rPr>
                <w:rFonts w:asciiTheme="minorHAnsi" w:hAnsiTheme="minorHAnsi"/>
              </w:rPr>
              <w:br/>
            </w:r>
            <w:r w:rsidRPr="009114D9">
              <w:rPr>
                <w:rFonts w:asciiTheme="minorHAnsi" w:hAnsiTheme="minorHAnsi"/>
              </w:rPr>
              <w:t xml:space="preserve">w ciągu roku sprawozdawczego w stosunku do pełnego czasu pracy obowiązującego w danej instytucji. </w:t>
            </w:r>
            <w:r>
              <w:rPr>
                <w:rFonts w:asciiTheme="minorHAnsi" w:hAnsiTheme="minorHAnsi"/>
              </w:rPr>
              <w:br/>
            </w:r>
            <w:r w:rsidRPr="009114D9">
              <w:rPr>
                <w:rFonts w:asciiTheme="minorHAnsi" w:hAnsiTheme="minorHAnsi"/>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06ED1837" w14:textId="77777777" w:rsidR="009114D9" w:rsidRPr="009114D9" w:rsidRDefault="009114D9" w:rsidP="00A06C6C">
            <w:pPr>
              <w:spacing w:before="80" w:after="80" w:line="276" w:lineRule="auto"/>
              <w:rPr>
                <w:i/>
                <w:sz w:val="24"/>
                <w:szCs w:val="24"/>
              </w:rPr>
            </w:pPr>
            <w:r w:rsidRPr="009114D9">
              <w:rPr>
                <w:i/>
                <w:sz w:val="24"/>
                <w:szCs w:val="24"/>
              </w:rPr>
              <w:t>[Definicja opracowana przez IZ RPO WO 2014-2020]</w:t>
            </w:r>
          </w:p>
          <w:p w14:paraId="50C6B54B" w14:textId="77777777" w:rsidR="009114D9" w:rsidRPr="009114D9" w:rsidRDefault="009114D9" w:rsidP="00A06C6C">
            <w:pPr>
              <w:spacing w:before="80" w:after="80" w:line="276" w:lineRule="auto"/>
              <w:rPr>
                <w:i/>
                <w:sz w:val="24"/>
                <w:szCs w:val="24"/>
              </w:rPr>
            </w:pPr>
          </w:p>
          <w:p w14:paraId="7225EABD" w14:textId="77777777" w:rsidR="009114D9" w:rsidRPr="009114D9" w:rsidRDefault="009114D9" w:rsidP="00A06C6C">
            <w:pPr>
              <w:spacing w:before="80" w:after="80" w:line="276" w:lineRule="auto"/>
              <w:rPr>
                <w:i/>
                <w:sz w:val="24"/>
                <w:szCs w:val="24"/>
              </w:rPr>
            </w:pPr>
          </w:p>
          <w:p w14:paraId="33AB5577" w14:textId="77777777" w:rsidR="009114D9" w:rsidRPr="009114D9" w:rsidRDefault="009114D9" w:rsidP="00A06C6C">
            <w:pPr>
              <w:spacing w:before="80" w:after="80" w:line="276" w:lineRule="auto"/>
              <w:rPr>
                <w:i/>
                <w:color w:val="C00000"/>
                <w:sz w:val="24"/>
                <w:szCs w:val="24"/>
              </w:rPr>
            </w:pPr>
          </w:p>
        </w:tc>
      </w:tr>
      <w:tr w:rsidR="009114D9" w:rsidRPr="009114D9" w14:paraId="663A3528" w14:textId="77777777" w:rsidTr="009114D9">
        <w:trPr>
          <w:trHeight w:val="2094"/>
        </w:trPr>
        <w:tc>
          <w:tcPr>
            <w:tcW w:w="671" w:type="dxa"/>
            <w:tcBorders>
              <w:top w:val="single" w:sz="8" w:space="0" w:color="33CC33"/>
              <w:bottom w:val="single" w:sz="8" w:space="0" w:color="33CC33"/>
            </w:tcBorders>
            <w:shd w:val="clear" w:color="auto" w:fill="FFFFFF" w:themeFill="background1"/>
            <w:vAlign w:val="center"/>
          </w:tcPr>
          <w:p w14:paraId="791A8663" w14:textId="77777777" w:rsidR="009114D9" w:rsidRPr="009114D9" w:rsidRDefault="009114D9" w:rsidP="00A06C6C">
            <w:pPr>
              <w:spacing w:before="80" w:after="80" w:line="276" w:lineRule="auto"/>
              <w:jc w:val="center"/>
              <w:rPr>
                <w:sz w:val="24"/>
                <w:szCs w:val="24"/>
              </w:rPr>
            </w:pPr>
            <w:r w:rsidRPr="009114D9">
              <w:rPr>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09A2776F" w14:textId="77777777" w:rsidR="009114D9" w:rsidRPr="009114D9" w:rsidRDefault="009114D9" w:rsidP="00A06C6C">
            <w:pPr>
              <w:spacing w:line="276" w:lineRule="auto"/>
              <w:rPr>
                <w:i/>
                <w:sz w:val="24"/>
                <w:szCs w:val="24"/>
              </w:rPr>
            </w:pPr>
            <w:r w:rsidRPr="009114D9">
              <w:rPr>
                <w:i/>
                <w:sz w:val="24"/>
                <w:szCs w:val="24"/>
              </w:rPr>
              <w:t>Liczba nowo utworzonych miejsc pracy - pozostałe formy</w:t>
            </w:r>
          </w:p>
          <w:p w14:paraId="38CC8D5B" w14:textId="77777777" w:rsidR="009114D9" w:rsidRPr="009114D9" w:rsidRDefault="009114D9" w:rsidP="00A06C6C">
            <w:pPr>
              <w:spacing w:before="40" w:line="276" w:lineRule="auto"/>
              <w:rPr>
                <w:i/>
                <w:sz w:val="24"/>
                <w:szCs w:val="24"/>
              </w:rPr>
            </w:pPr>
            <w:r w:rsidRPr="009114D9">
              <w:rPr>
                <w:i/>
                <w:sz w:val="24"/>
                <w:szCs w:val="24"/>
              </w:rPr>
              <w:t>- kobiety</w:t>
            </w:r>
          </w:p>
        </w:tc>
        <w:tc>
          <w:tcPr>
            <w:tcW w:w="1276" w:type="dxa"/>
            <w:tcBorders>
              <w:top w:val="single" w:sz="4" w:space="0" w:color="33CC33"/>
            </w:tcBorders>
            <w:shd w:val="clear" w:color="auto" w:fill="FFFFFF" w:themeFill="background1"/>
            <w:vAlign w:val="center"/>
          </w:tcPr>
          <w:p w14:paraId="1A57A019"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tcBorders>
            <w:shd w:val="clear" w:color="auto" w:fill="FFFFFF" w:themeFill="background1"/>
            <w:vAlign w:val="center"/>
          </w:tcPr>
          <w:p w14:paraId="2EA58FDD"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tcBorders>
            <w:shd w:val="clear" w:color="auto" w:fill="FFFFFF" w:themeFill="background1"/>
            <w:vAlign w:val="center"/>
          </w:tcPr>
          <w:p w14:paraId="208CCE47"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tcBorders>
            <w:shd w:val="clear" w:color="auto" w:fill="FFFFFF" w:themeFill="background1"/>
            <w:vAlign w:val="center"/>
          </w:tcPr>
          <w:p w14:paraId="54D24E16"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shd w:val="clear" w:color="auto" w:fill="FFFFFF" w:themeFill="background1"/>
            <w:vAlign w:val="center"/>
          </w:tcPr>
          <w:p w14:paraId="230A8918" w14:textId="77777777" w:rsidR="009114D9" w:rsidRPr="009114D9" w:rsidRDefault="009114D9" w:rsidP="00A06C6C">
            <w:pPr>
              <w:spacing w:before="80" w:after="80" w:line="276" w:lineRule="auto"/>
              <w:rPr>
                <w:i/>
                <w:color w:val="C00000"/>
                <w:sz w:val="24"/>
                <w:szCs w:val="24"/>
              </w:rPr>
            </w:pPr>
          </w:p>
        </w:tc>
      </w:tr>
      <w:tr w:rsidR="009114D9" w:rsidRPr="009114D9" w14:paraId="1373CE4B" w14:textId="77777777" w:rsidTr="00A06C6C">
        <w:tc>
          <w:tcPr>
            <w:tcW w:w="671" w:type="dxa"/>
            <w:tcBorders>
              <w:top w:val="single" w:sz="8" w:space="0" w:color="33CC33"/>
              <w:bottom w:val="single" w:sz="12" w:space="0" w:color="33CC33"/>
            </w:tcBorders>
            <w:shd w:val="clear" w:color="auto" w:fill="FFFFFF" w:themeFill="background1"/>
            <w:vAlign w:val="center"/>
          </w:tcPr>
          <w:p w14:paraId="62163EC2" w14:textId="77777777" w:rsidR="009114D9" w:rsidRPr="009114D9" w:rsidRDefault="009114D9" w:rsidP="00A06C6C">
            <w:pPr>
              <w:spacing w:before="80" w:after="80" w:line="276" w:lineRule="auto"/>
              <w:jc w:val="center"/>
              <w:rPr>
                <w:sz w:val="24"/>
                <w:szCs w:val="24"/>
              </w:rPr>
            </w:pPr>
            <w:r w:rsidRPr="009114D9">
              <w:rPr>
                <w:sz w:val="24"/>
                <w:szCs w:val="24"/>
              </w:rPr>
              <w:t>8b.</w:t>
            </w:r>
          </w:p>
        </w:tc>
        <w:tc>
          <w:tcPr>
            <w:tcW w:w="2716" w:type="dxa"/>
            <w:tcBorders>
              <w:top w:val="single" w:sz="8" w:space="0" w:color="33CC33"/>
              <w:bottom w:val="single" w:sz="12" w:space="0" w:color="33CC33"/>
            </w:tcBorders>
            <w:shd w:val="clear" w:color="auto" w:fill="FFFFFF" w:themeFill="background1"/>
            <w:vAlign w:val="center"/>
          </w:tcPr>
          <w:p w14:paraId="0A7282A7" w14:textId="77777777" w:rsidR="009114D9" w:rsidRPr="009114D9" w:rsidRDefault="009114D9" w:rsidP="00A06C6C">
            <w:pPr>
              <w:spacing w:line="276" w:lineRule="auto"/>
              <w:rPr>
                <w:i/>
                <w:sz w:val="24"/>
                <w:szCs w:val="24"/>
              </w:rPr>
            </w:pPr>
            <w:r w:rsidRPr="009114D9">
              <w:rPr>
                <w:i/>
                <w:sz w:val="24"/>
                <w:szCs w:val="24"/>
              </w:rPr>
              <w:t>Liczba nowo utworzonych miejsc pracy - pozostałe formy</w:t>
            </w:r>
          </w:p>
          <w:p w14:paraId="660B02E7" w14:textId="77777777" w:rsidR="009114D9" w:rsidRPr="009114D9" w:rsidRDefault="009114D9" w:rsidP="00A06C6C">
            <w:pPr>
              <w:spacing w:before="40" w:line="276" w:lineRule="auto"/>
              <w:rPr>
                <w:i/>
                <w:sz w:val="24"/>
                <w:szCs w:val="24"/>
              </w:rPr>
            </w:pPr>
            <w:r w:rsidRPr="009114D9">
              <w:rPr>
                <w:i/>
                <w:sz w:val="24"/>
                <w:szCs w:val="24"/>
              </w:rPr>
              <w:t>- mężczyźni</w:t>
            </w:r>
          </w:p>
        </w:tc>
        <w:tc>
          <w:tcPr>
            <w:tcW w:w="1276" w:type="dxa"/>
            <w:tcBorders>
              <w:top w:val="single" w:sz="4" w:space="0" w:color="33CC33"/>
            </w:tcBorders>
            <w:shd w:val="clear" w:color="auto" w:fill="FFFFFF" w:themeFill="background1"/>
            <w:vAlign w:val="center"/>
          </w:tcPr>
          <w:p w14:paraId="4F7B47A3" w14:textId="77777777" w:rsidR="009114D9" w:rsidRPr="009114D9" w:rsidRDefault="009114D9" w:rsidP="00A06C6C">
            <w:pPr>
              <w:spacing w:before="80" w:after="80" w:line="276" w:lineRule="auto"/>
              <w:rPr>
                <w:sz w:val="24"/>
                <w:szCs w:val="24"/>
              </w:rPr>
            </w:pPr>
            <w:r w:rsidRPr="009114D9">
              <w:rPr>
                <w:sz w:val="24"/>
                <w:szCs w:val="24"/>
              </w:rPr>
              <w:t>EPC</w:t>
            </w:r>
          </w:p>
        </w:tc>
        <w:tc>
          <w:tcPr>
            <w:tcW w:w="1418" w:type="dxa"/>
            <w:tcBorders>
              <w:top w:val="single" w:sz="4" w:space="0" w:color="33CC33"/>
            </w:tcBorders>
            <w:shd w:val="clear" w:color="auto" w:fill="FFFFFF" w:themeFill="background1"/>
            <w:vAlign w:val="center"/>
          </w:tcPr>
          <w:p w14:paraId="47780B63"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top w:val="single" w:sz="4" w:space="0" w:color="33CC33"/>
            </w:tcBorders>
            <w:shd w:val="clear" w:color="auto" w:fill="FFFFFF" w:themeFill="background1"/>
            <w:vAlign w:val="center"/>
          </w:tcPr>
          <w:p w14:paraId="6359A044"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4" w:space="0" w:color="33CC33"/>
            </w:tcBorders>
            <w:shd w:val="clear" w:color="auto" w:fill="FFFFFF" w:themeFill="background1"/>
            <w:vAlign w:val="center"/>
          </w:tcPr>
          <w:p w14:paraId="00663F9A"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Merge/>
            <w:tcBorders>
              <w:bottom w:val="single" w:sz="12" w:space="0" w:color="33CC33"/>
            </w:tcBorders>
            <w:shd w:val="clear" w:color="auto" w:fill="FFFFFF" w:themeFill="background1"/>
            <w:vAlign w:val="center"/>
          </w:tcPr>
          <w:p w14:paraId="6DA2A3D3" w14:textId="77777777" w:rsidR="009114D9" w:rsidRPr="009114D9" w:rsidRDefault="009114D9" w:rsidP="00A06C6C">
            <w:pPr>
              <w:spacing w:before="80" w:after="80" w:line="276" w:lineRule="auto"/>
              <w:rPr>
                <w:i/>
                <w:color w:val="C00000"/>
                <w:sz w:val="24"/>
                <w:szCs w:val="24"/>
              </w:rPr>
            </w:pPr>
          </w:p>
        </w:tc>
      </w:tr>
      <w:tr w:rsidR="009114D9" w:rsidRPr="009114D9" w14:paraId="766F4508" w14:textId="77777777" w:rsidTr="00A06C6C">
        <w:tc>
          <w:tcPr>
            <w:tcW w:w="14586" w:type="dxa"/>
            <w:gridSpan w:val="7"/>
            <w:tcBorders>
              <w:top w:val="single" w:sz="12" w:space="0" w:color="33CC33"/>
              <w:bottom w:val="single" w:sz="12" w:space="0" w:color="33CC33"/>
            </w:tcBorders>
            <w:shd w:val="clear" w:color="auto" w:fill="D9D9D9"/>
            <w:vAlign w:val="center"/>
          </w:tcPr>
          <w:p w14:paraId="5CBDBFAD" w14:textId="77777777" w:rsidR="009114D9" w:rsidRPr="009114D9" w:rsidRDefault="009114D9" w:rsidP="00A06C6C">
            <w:pPr>
              <w:spacing w:before="80" w:after="80" w:line="276" w:lineRule="auto"/>
              <w:rPr>
                <w:i/>
                <w:color w:val="000099"/>
                <w:sz w:val="26"/>
                <w:szCs w:val="26"/>
              </w:rPr>
            </w:pPr>
            <w:r w:rsidRPr="009114D9">
              <w:rPr>
                <w:i/>
                <w:color w:val="000099"/>
                <w:sz w:val="26"/>
                <w:szCs w:val="26"/>
              </w:rPr>
              <w:t xml:space="preserve">Oś priorytetowa V </w:t>
            </w:r>
            <w:r w:rsidRPr="009114D9">
              <w:rPr>
                <w:rFonts w:cs="Arial"/>
                <w:b/>
                <w:i/>
                <w:color w:val="000099"/>
                <w:sz w:val="26"/>
                <w:szCs w:val="26"/>
              </w:rPr>
              <w:t>Ochrona środowiska, dziedzictwa kulturowego i naturalnego</w:t>
            </w:r>
          </w:p>
        </w:tc>
      </w:tr>
      <w:tr w:rsidR="009114D9" w:rsidRPr="009114D9" w14:paraId="2998323B" w14:textId="77777777" w:rsidTr="00A06C6C">
        <w:tc>
          <w:tcPr>
            <w:tcW w:w="14586" w:type="dxa"/>
            <w:gridSpan w:val="7"/>
            <w:tcBorders>
              <w:top w:val="single" w:sz="12" w:space="0" w:color="33CC33"/>
              <w:bottom w:val="single" w:sz="12" w:space="0" w:color="33CC33"/>
            </w:tcBorders>
            <w:shd w:val="clear" w:color="auto" w:fill="EAF1DD"/>
            <w:vAlign w:val="center"/>
          </w:tcPr>
          <w:p w14:paraId="25B84768" w14:textId="77777777" w:rsidR="009114D9" w:rsidRPr="009114D9" w:rsidRDefault="009114D9" w:rsidP="00A06C6C">
            <w:pPr>
              <w:autoSpaceDE w:val="0"/>
              <w:autoSpaceDN w:val="0"/>
              <w:adjustRightInd w:val="0"/>
              <w:spacing w:line="276" w:lineRule="auto"/>
              <w:rPr>
                <w:rFonts w:cs="Times New Roman"/>
                <w:sz w:val="26"/>
                <w:szCs w:val="26"/>
              </w:rPr>
            </w:pPr>
            <w:r w:rsidRPr="009114D9">
              <w:rPr>
                <w:i/>
                <w:color w:val="000099"/>
                <w:sz w:val="26"/>
                <w:szCs w:val="26"/>
              </w:rPr>
              <w:t xml:space="preserve">Poddziałanie 5.2 </w:t>
            </w:r>
            <w:r w:rsidRPr="009114D9">
              <w:rPr>
                <w:b/>
                <w:i/>
                <w:color w:val="000099"/>
                <w:sz w:val="26"/>
                <w:szCs w:val="26"/>
              </w:rPr>
              <w:t>Poprawa gospodarowania odpadami komunalnymi</w:t>
            </w:r>
          </w:p>
        </w:tc>
      </w:tr>
      <w:tr w:rsidR="009114D9" w:rsidRPr="009114D9" w14:paraId="19C5877A" w14:textId="77777777" w:rsidTr="00A06C6C">
        <w:tc>
          <w:tcPr>
            <w:tcW w:w="671" w:type="dxa"/>
            <w:tcBorders>
              <w:top w:val="single" w:sz="12" w:space="0" w:color="33CC33"/>
            </w:tcBorders>
            <w:vAlign w:val="center"/>
          </w:tcPr>
          <w:p w14:paraId="4ECBC5EB" w14:textId="77777777" w:rsidR="009114D9" w:rsidRPr="009114D9" w:rsidRDefault="009114D9" w:rsidP="00A06C6C">
            <w:pPr>
              <w:spacing w:before="80" w:after="80" w:line="276" w:lineRule="auto"/>
              <w:jc w:val="center"/>
              <w:rPr>
                <w:sz w:val="24"/>
                <w:szCs w:val="24"/>
              </w:rPr>
            </w:pPr>
            <w:r w:rsidRPr="009114D9">
              <w:rPr>
                <w:sz w:val="24"/>
                <w:szCs w:val="24"/>
              </w:rPr>
              <w:t>1.</w:t>
            </w:r>
          </w:p>
        </w:tc>
        <w:tc>
          <w:tcPr>
            <w:tcW w:w="2716" w:type="dxa"/>
            <w:tcBorders>
              <w:top w:val="single" w:sz="12" w:space="0" w:color="33CC33"/>
            </w:tcBorders>
            <w:vAlign w:val="center"/>
          </w:tcPr>
          <w:p w14:paraId="7A74A2F5"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wspartych Punktów Selektywnego Zbierania Odpadów Komunalnych</w:t>
            </w:r>
          </w:p>
        </w:tc>
        <w:tc>
          <w:tcPr>
            <w:tcW w:w="1276" w:type="dxa"/>
            <w:tcBorders>
              <w:top w:val="single" w:sz="12" w:space="0" w:color="33CC33"/>
            </w:tcBorders>
            <w:vAlign w:val="center"/>
          </w:tcPr>
          <w:p w14:paraId="679C81FE"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tcBorders>
              <w:top w:val="single" w:sz="12" w:space="0" w:color="33CC33"/>
            </w:tcBorders>
            <w:vAlign w:val="center"/>
          </w:tcPr>
          <w:p w14:paraId="7A33EA2D"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tcBorders>
              <w:top w:val="single" w:sz="12" w:space="0" w:color="33CC33"/>
            </w:tcBorders>
            <w:vAlign w:val="center"/>
          </w:tcPr>
          <w:p w14:paraId="34ABB8A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top w:val="single" w:sz="12" w:space="0" w:color="33CC33"/>
            </w:tcBorders>
            <w:vAlign w:val="center"/>
          </w:tcPr>
          <w:p w14:paraId="3AD8E0A0" w14:textId="77777777" w:rsidR="009114D9" w:rsidRPr="009114D9" w:rsidRDefault="009114D9" w:rsidP="00A06C6C">
            <w:pPr>
              <w:spacing w:before="80" w:after="80" w:line="276" w:lineRule="auto"/>
              <w:rPr>
                <w:sz w:val="24"/>
                <w:szCs w:val="24"/>
              </w:rPr>
            </w:pPr>
            <w:r w:rsidRPr="009114D9">
              <w:rPr>
                <w:sz w:val="24"/>
                <w:szCs w:val="24"/>
              </w:rPr>
              <w:t>Wskaźnik z ram wykonania</w:t>
            </w:r>
          </w:p>
        </w:tc>
        <w:tc>
          <w:tcPr>
            <w:tcW w:w="5812" w:type="dxa"/>
            <w:tcBorders>
              <w:top w:val="single" w:sz="12" w:space="0" w:color="33CC33"/>
            </w:tcBorders>
            <w:vAlign w:val="center"/>
          </w:tcPr>
          <w:p w14:paraId="2D2E25CE"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 xml:space="preserve">Liczba Punktów Selektywnego Zbierania Odpadów Komunalnych [Ustawa z dnia 13 września 1996r. </w:t>
            </w:r>
            <w:r>
              <w:rPr>
                <w:rFonts w:cs="Times New Roman"/>
                <w:i/>
                <w:sz w:val="24"/>
                <w:szCs w:val="24"/>
              </w:rPr>
              <w:br/>
            </w:r>
            <w:r w:rsidRPr="009114D9">
              <w:rPr>
                <w:rFonts w:cs="Times New Roman"/>
                <w:i/>
                <w:sz w:val="24"/>
                <w:szCs w:val="24"/>
              </w:rPr>
              <w:t>o utrzymaniu czystości i porządku w gminach (t.j. Dz. U. z 2018 r. poz. 1454 z późn. zm.</w:t>
            </w:r>
            <w:r>
              <w:rPr>
                <w:rFonts w:cs="Times New Roman"/>
                <w:i/>
                <w:sz w:val="24"/>
                <w:szCs w:val="24"/>
              </w:rPr>
              <w:t>)</w:t>
            </w:r>
            <w:r w:rsidRPr="009114D9">
              <w:rPr>
                <w:rFonts w:cs="Times New Roman"/>
                <w:i/>
                <w:sz w:val="24"/>
                <w:szCs w:val="24"/>
              </w:rPr>
              <w:t xml:space="preserve">, które otrzymały wsparcie w ramach zrealizowanych projektów. </w:t>
            </w:r>
          </w:p>
          <w:p w14:paraId="5E6D14D8"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Wsparcie może polegać na budowie, przebudowie, rozbudowie, remoncie lub wyposażeniu obiektu.  Zakres wsparcia zgodny z UP i zapisami linii demarkacyjnej dla PI 6.1.</w:t>
            </w:r>
          </w:p>
        </w:tc>
      </w:tr>
      <w:tr w:rsidR="009114D9" w:rsidRPr="009114D9" w14:paraId="6A7AC5DE" w14:textId="77777777" w:rsidTr="00A06C6C">
        <w:tc>
          <w:tcPr>
            <w:tcW w:w="671" w:type="dxa"/>
            <w:vAlign w:val="center"/>
          </w:tcPr>
          <w:p w14:paraId="49EB011A" w14:textId="77777777" w:rsidR="009114D9" w:rsidRPr="009114D9" w:rsidRDefault="009114D9" w:rsidP="00A06C6C">
            <w:pPr>
              <w:spacing w:before="80" w:after="80" w:line="276" w:lineRule="auto"/>
              <w:jc w:val="center"/>
              <w:rPr>
                <w:sz w:val="24"/>
                <w:szCs w:val="24"/>
              </w:rPr>
            </w:pPr>
            <w:r w:rsidRPr="009114D9">
              <w:rPr>
                <w:sz w:val="24"/>
                <w:szCs w:val="24"/>
              </w:rPr>
              <w:t>2.</w:t>
            </w:r>
          </w:p>
        </w:tc>
        <w:tc>
          <w:tcPr>
            <w:tcW w:w="2716" w:type="dxa"/>
            <w:vAlign w:val="center"/>
          </w:tcPr>
          <w:p w14:paraId="57961B9C"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kampanii informacyjno-edukacyjnych związanych</w:t>
            </w:r>
            <w:r w:rsidRPr="009114D9">
              <w:rPr>
                <w:rFonts w:cs="Times New Roman"/>
                <w:i/>
                <w:sz w:val="24"/>
                <w:szCs w:val="24"/>
              </w:rPr>
              <w:br/>
              <w:t>z gospodarką odpadami</w:t>
            </w:r>
          </w:p>
        </w:tc>
        <w:tc>
          <w:tcPr>
            <w:tcW w:w="1276" w:type="dxa"/>
            <w:vAlign w:val="center"/>
          </w:tcPr>
          <w:p w14:paraId="34AE0F5B"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vAlign w:val="center"/>
          </w:tcPr>
          <w:p w14:paraId="148FEE2D"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70B0FF33"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513B32F9"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671F6694" w14:textId="77777777" w:rsidR="009114D9" w:rsidRPr="009114D9" w:rsidRDefault="009114D9" w:rsidP="00A06C6C">
            <w:pPr>
              <w:pStyle w:val="Default"/>
              <w:spacing w:line="276" w:lineRule="auto"/>
              <w:rPr>
                <w:rFonts w:asciiTheme="minorHAnsi" w:hAnsiTheme="minorHAnsi"/>
              </w:rPr>
            </w:pPr>
            <w:r w:rsidRPr="009114D9">
              <w:rPr>
                <w:rFonts w:asciiTheme="minorHAnsi" w:hAnsiTheme="minorHAnsi"/>
              </w:rPr>
              <w:t xml:space="preserve">Liczba przeprowadzonych kampanii informacyjno-edukacyjnych związanych z gospodarką odpadami </w:t>
            </w:r>
            <w:r>
              <w:rPr>
                <w:rFonts w:asciiTheme="minorHAnsi" w:hAnsiTheme="minorHAnsi"/>
              </w:rPr>
              <w:br/>
            </w:r>
            <w:r w:rsidRPr="009114D9">
              <w:rPr>
                <w:rFonts w:asciiTheme="minorHAnsi" w:hAnsiTheme="minorHAnsi"/>
              </w:rPr>
              <w:t xml:space="preserve">w ramach wspartych projektów. </w:t>
            </w:r>
          </w:p>
          <w:p w14:paraId="3AAF19BA"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[Definicja opracowana przez IZ RPO WO 2014-2020]</w:t>
            </w:r>
          </w:p>
        </w:tc>
      </w:tr>
      <w:tr w:rsidR="009114D9" w:rsidRPr="009114D9" w14:paraId="2395C011" w14:textId="77777777" w:rsidTr="00A06C6C">
        <w:tc>
          <w:tcPr>
            <w:tcW w:w="671" w:type="dxa"/>
            <w:vAlign w:val="center"/>
          </w:tcPr>
          <w:p w14:paraId="0305B290" w14:textId="77777777" w:rsidR="009114D9" w:rsidRPr="009114D9" w:rsidRDefault="009114D9" w:rsidP="00A06C6C">
            <w:pPr>
              <w:spacing w:before="80" w:after="80" w:line="276" w:lineRule="auto"/>
              <w:jc w:val="center"/>
              <w:rPr>
                <w:sz w:val="24"/>
                <w:szCs w:val="24"/>
              </w:rPr>
            </w:pPr>
            <w:r w:rsidRPr="009114D9">
              <w:rPr>
                <w:sz w:val="24"/>
                <w:szCs w:val="24"/>
              </w:rPr>
              <w:t>3.</w:t>
            </w:r>
          </w:p>
        </w:tc>
        <w:tc>
          <w:tcPr>
            <w:tcW w:w="2716" w:type="dxa"/>
            <w:vAlign w:val="center"/>
          </w:tcPr>
          <w:p w14:paraId="0C9FFAC8"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przebudowanych składowisk odpadów</w:t>
            </w:r>
          </w:p>
        </w:tc>
        <w:tc>
          <w:tcPr>
            <w:tcW w:w="1276" w:type="dxa"/>
            <w:vAlign w:val="center"/>
          </w:tcPr>
          <w:p w14:paraId="70649489"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vAlign w:val="center"/>
          </w:tcPr>
          <w:p w14:paraId="5DA34059"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5AE87950"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2382C9E1"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6B879214"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 xml:space="preserve">Liczba składowisk odpadów, które zostały przebudowane w ramach projektu. </w:t>
            </w:r>
          </w:p>
          <w:p w14:paraId="4AFC0532"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 xml:space="preserve">Przez przebudowę rozumie się roboty o charakterze inwestycyjnym realizowane w istniejących obiektach służących zagospodarowaniu odpadów. O zaliczeniu do inwestycji przebudowy decydują kryteria rzeczowe a nie finansowe. Przebudowa polega na polepszeniu parametrów technicznych budowli lub instalacji. </w:t>
            </w:r>
          </w:p>
          <w:p w14:paraId="416039CA"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Jeśli składowisko stanowi element jednego zakładu zagospodarowania odpadów, to nie należy go wykazywać w ramach tego wskaźnika, a w ramach wskaźnika dot. ZZO. Zakres wsparcia zgodny z UP i zapisami linii demarkacyjnej dla PI 6.1.</w:t>
            </w:r>
          </w:p>
        </w:tc>
      </w:tr>
      <w:tr w:rsidR="009114D9" w:rsidRPr="009114D9" w14:paraId="0DCB3DD4" w14:textId="77777777" w:rsidTr="00A06C6C">
        <w:tc>
          <w:tcPr>
            <w:tcW w:w="671" w:type="dxa"/>
            <w:vAlign w:val="center"/>
          </w:tcPr>
          <w:p w14:paraId="42F6232B" w14:textId="77777777" w:rsidR="009114D9" w:rsidRPr="009114D9" w:rsidRDefault="009114D9" w:rsidP="00A06C6C">
            <w:pPr>
              <w:spacing w:before="80" w:after="80" w:line="276" w:lineRule="auto"/>
              <w:jc w:val="center"/>
              <w:rPr>
                <w:sz w:val="24"/>
                <w:szCs w:val="24"/>
              </w:rPr>
            </w:pPr>
            <w:r w:rsidRPr="009114D9">
              <w:rPr>
                <w:sz w:val="24"/>
                <w:szCs w:val="24"/>
              </w:rPr>
              <w:t>4.</w:t>
            </w:r>
          </w:p>
        </w:tc>
        <w:tc>
          <w:tcPr>
            <w:tcW w:w="2716" w:type="dxa"/>
            <w:vAlign w:val="center"/>
          </w:tcPr>
          <w:p w14:paraId="77AFFE09"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zamkniętych lub zrekultywowanych składowisk odpadów</w:t>
            </w:r>
          </w:p>
        </w:tc>
        <w:tc>
          <w:tcPr>
            <w:tcW w:w="1276" w:type="dxa"/>
            <w:vAlign w:val="center"/>
          </w:tcPr>
          <w:p w14:paraId="35B1A22C"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vAlign w:val="center"/>
          </w:tcPr>
          <w:p w14:paraId="7AA7320B"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7B37DBC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28F8924E"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631188C9"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 xml:space="preserve">Liczba składowisk odpadów, które zostały zamknięte lub zrekultywowane w ramach projektu. </w:t>
            </w:r>
            <w:r w:rsidRPr="009114D9">
              <w:rPr>
                <w:rFonts w:cs="Times New Roman"/>
                <w:i/>
                <w:sz w:val="24"/>
                <w:szCs w:val="24"/>
              </w:rPr>
              <w:t xml:space="preserve">Zamkniecie, </w:t>
            </w:r>
            <w:r>
              <w:rPr>
                <w:rFonts w:cs="Times New Roman"/>
                <w:i/>
                <w:sz w:val="24"/>
                <w:szCs w:val="24"/>
              </w:rPr>
              <w:br/>
            </w:r>
            <w:r w:rsidRPr="009114D9">
              <w:rPr>
                <w:rFonts w:cs="Times New Roman"/>
                <w:i/>
                <w:sz w:val="24"/>
                <w:szCs w:val="24"/>
              </w:rPr>
              <w:t>a następnie rekultywacja składowiska polega na zakończeniu działania składowiska i jego zabezpieczeniu przed zagrożeniami zanieczyszczenia środowiska.</w:t>
            </w:r>
            <w:r w:rsidRPr="009114D9">
              <w:rPr>
                <w:rFonts w:cs="Times New Roman"/>
                <w:sz w:val="24"/>
                <w:szCs w:val="24"/>
              </w:rPr>
              <w:t xml:space="preserve"> </w:t>
            </w:r>
          </w:p>
          <w:p w14:paraId="32B967AE"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Zakres wsparcia zgodny z UP i zapisami linii demarkacyjnej dla PI 6.1.</w:t>
            </w:r>
          </w:p>
        </w:tc>
      </w:tr>
      <w:tr w:rsidR="009114D9" w:rsidRPr="009114D9" w14:paraId="66236108" w14:textId="77777777" w:rsidTr="00A06C6C">
        <w:tc>
          <w:tcPr>
            <w:tcW w:w="671" w:type="dxa"/>
            <w:vAlign w:val="center"/>
          </w:tcPr>
          <w:p w14:paraId="490FA9A9" w14:textId="77777777" w:rsidR="009114D9" w:rsidRPr="009114D9" w:rsidRDefault="009114D9" w:rsidP="00A06C6C">
            <w:pPr>
              <w:spacing w:before="80" w:after="80" w:line="276" w:lineRule="auto"/>
              <w:jc w:val="center"/>
              <w:rPr>
                <w:sz w:val="24"/>
                <w:szCs w:val="24"/>
              </w:rPr>
            </w:pPr>
            <w:r w:rsidRPr="009114D9">
              <w:rPr>
                <w:sz w:val="24"/>
                <w:szCs w:val="24"/>
              </w:rPr>
              <w:t>5.</w:t>
            </w:r>
          </w:p>
        </w:tc>
        <w:tc>
          <w:tcPr>
            <w:tcW w:w="2716" w:type="dxa"/>
            <w:vAlign w:val="center"/>
          </w:tcPr>
          <w:p w14:paraId="78EC8258"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wybudowanych zakładów zagospodarowania odpadów</w:t>
            </w:r>
          </w:p>
        </w:tc>
        <w:tc>
          <w:tcPr>
            <w:tcW w:w="1276" w:type="dxa"/>
            <w:vAlign w:val="center"/>
          </w:tcPr>
          <w:p w14:paraId="245174E3"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vAlign w:val="center"/>
          </w:tcPr>
          <w:p w14:paraId="63FDF950"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21524B87"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6D284F3C"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3E749ECB"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 xml:space="preserve">Liczba  obiektów wybudowanych w ramach zrealizowanych projektów. </w:t>
            </w:r>
          </w:p>
          <w:p w14:paraId="1AFC9E1A"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 xml:space="preserve">Przez zakład rozumie się jedną lub kilka instalacji wraz </w:t>
            </w:r>
            <w:r w:rsidRPr="009114D9">
              <w:rPr>
                <w:rFonts w:cs="Times New Roman"/>
                <w:i/>
                <w:sz w:val="24"/>
                <w:szCs w:val="24"/>
              </w:rPr>
              <w:br/>
              <w:t xml:space="preserve">z terenem, do którego prowadzący instalacje posiada tytuł prawny, oraz znajdującymi się na nim urządzeniami. [Art. 3, pkt 48 ustawy z dn. 27 kwietnia 2001 r. Prawo ochrony środowiska (Dz. U. z 2001 r., Nr 62, poz. 627 </w:t>
            </w:r>
            <w:r>
              <w:rPr>
                <w:rFonts w:cs="Times New Roman"/>
                <w:i/>
                <w:sz w:val="24"/>
                <w:szCs w:val="24"/>
              </w:rPr>
              <w:br/>
            </w:r>
            <w:r w:rsidRPr="009114D9">
              <w:rPr>
                <w:rFonts w:cs="Times New Roman"/>
                <w:i/>
                <w:sz w:val="24"/>
                <w:szCs w:val="24"/>
              </w:rPr>
              <w:t xml:space="preserve">z późn. zm.)]. </w:t>
            </w:r>
          </w:p>
          <w:p w14:paraId="684A0271"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 14 grudnia 2012 r. o odpadach (Dz.U. z 2013 r. poz. 21)]. </w:t>
            </w:r>
          </w:p>
          <w:p w14:paraId="7A4C8F53" w14:textId="77777777" w:rsidR="009114D9" w:rsidRPr="009114D9" w:rsidRDefault="009114D9" w:rsidP="00A06C6C">
            <w:pPr>
              <w:autoSpaceDE w:val="0"/>
              <w:autoSpaceDN w:val="0"/>
              <w:adjustRightInd w:val="0"/>
              <w:spacing w:before="60" w:after="60" w:line="276" w:lineRule="auto"/>
              <w:rPr>
                <w:rFonts w:cs="Times New Roman"/>
                <w:i/>
                <w:sz w:val="24"/>
                <w:szCs w:val="24"/>
              </w:rPr>
            </w:pPr>
            <w:r w:rsidRPr="009114D9">
              <w:rPr>
                <w:rFonts w:cs="Times New Roman"/>
                <w:i/>
                <w:sz w:val="24"/>
                <w:szCs w:val="24"/>
              </w:rPr>
              <w:t xml:space="preserve">Przez wybudowanie rozumie się roboty o charakterze inwestycyjnym polegające na wzniesieniu nowych obiektów wraz z wyposażeniem służącym zagospodarowaniu odpadów. O zaliczeniu do inwestycji budowlanej decydują kryteria rzeczowe a nie finansowe.  </w:t>
            </w:r>
            <w:r w:rsidRPr="009114D9">
              <w:rPr>
                <w:rFonts w:cs="Times New Roman"/>
                <w:sz w:val="24"/>
                <w:szCs w:val="24"/>
              </w:rPr>
              <w:t>Zakres wsparcia zgodny z UP i zapisami linii demarkacyjnej dla PI 6.1.</w:t>
            </w:r>
          </w:p>
        </w:tc>
      </w:tr>
      <w:tr w:rsidR="009114D9" w:rsidRPr="009114D9" w14:paraId="75ED7343" w14:textId="77777777" w:rsidTr="00A06C6C">
        <w:tc>
          <w:tcPr>
            <w:tcW w:w="671" w:type="dxa"/>
            <w:vAlign w:val="center"/>
          </w:tcPr>
          <w:p w14:paraId="764E4FBD" w14:textId="77777777" w:rsidR="009114D9" w:rsidRPr="009114D9" w:rsidRDefault="009114D9" w:rsidP="00A06C6C">
            <w:pPr>
              <w:spacing w:before="80" w:after="80" w:line="276" w:lineRule="auto"/>
              <w:jc w:val="center"/>
              <w:rPr>
                <w:sz w:val="24"/>
                <w:szCs w:val="24"/>
              </w:rPr>
            </w:pPr>
            <w:r w:rsidRPr="009114D9">
              <w:rPr>
                <w:sz w:val="24"/>
                <w:szCs w:val="24"/>
              </w:rPr>
              <w:t>6.</w:t>
            </w:r>
          </w:p>
        </w:tc>
        <w:tc>
          <w:tcPr>
            <w:tcW w:w="2716" w:type="dxa"/>
            <w:vAlign w:val="center"/>
          </w:tcPr>
          <w:p w14:paraId="3555EBB7"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przebudowanych zakładów zagospodarowania odpadów</w:t>
            </w:r>
          </w:p>
        </w:tc>
        <w:tc>
          <w:tcPr>
            <w:tcW w:w="1276" w:type="dxa"/>
            <w:vAlign w:val="center"/>
          </w:tcPr>
          <w:p w14:paraId="3C408E3E" w14:textId="77777777" w:rsidR="009114D9" w:rsidRPr="009114D9" w:rsidRDefault="009114D9" w:rsidP="00A06C6C">
            <w:pPr>
              <w:spacing w:before="60" w:after="60" w:line="276" w:lineRule="auto"/>
              <w:rPr>
                <w:rFonts w:cs="Arial"/>
                <w:sz w:val="24"/>
                <w:szCs w:val="24"/>
              </w:rPr>
            </w:pPr>
            <w:r w:rsidRPr="009114D9">
              <w:rPr>
                <w:rFonts w:cs="Arial"/>
                <w:sz w:val="24"/>
                <w:szCs w:val="24"/>
              </w:rPr>
              <w:t>szt.</w:t>
            </w:r>
          </w:p>
        </w:tc>
        <w:tc>
          <w:tcPr>
            <w:tcW w:w="1418" w:type="dxa"/>
            <w:vAlign w:val="center"/>
          </w:tcPr>
          <w:p w14:paraId="139DB44C"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241A7DE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275E07C0"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5D5C26FE" w14:textId="77777777" w:rsidR="009114D9" w:rsidRPr="009114D9" w:rsidRDefault="009114D9" w:rsidP="00A06C6C">
            <w:pPr>
              <w:autoSpaceDE w:val="0"/>
              <w:autoSpaceDN w:val="0"/>
              <w:adjustRightInd w:val="0"/>
              <w:spacing w:before="80" w:after="40" w:line="276" w:lineRule="auto"/>
              <w:rPr>
                <w:rFonts w:cs="Times New Roman"/>
                <w:i/>
                <w:sz w:val="24"/>
                <w:szCs w:val="24"/>
              </w:rPr>
            </w:pPr>
            <w:r w:rsidRPr="009114D9">
              <w:rPr>
                <w:rFonts w:cs="Times New Roman"/>
                <w:sz w:val="24"/>
                <w:szCs w:val="24"/>
              </w:rPr>
              <w:t xml:space="preserve">Liczba  obiektów przebudowanych w ramach zrealizowanych projektów.  </w:t>
            </w:r>
            <w:r w:rsidRPr="009114D9">
              <w:rPr>
                <w:rFonts w:cs="Times New Roman"/>
                <w:i/>
                <w:sz w:val="24"/>
                <w:szCs w:val="24"/>
              </w:rPr>
              <w:t>Przez zakład rozumie się jedną lub kilka instalacji wraz  z terenem, do którego prowadzący instalacje posiada tytuł prawny, oraz znajdującymi się na nim urządzeniami. [Art. 3, pkt 48 ustawy z dn. 27 kwietnia 2001 r.</w:t>
            </w:r>
          </w:p>
          <w:p w14:paraId="3350BABC" w14:textId="77777777" w:rsidR="009114D9" w:rsidRPr="009114D9" w:rsidRDefault="009114D9" w:rsidP="00A06C6C">
            <w:pPr>
              <w:autoSpaceDE w:val="0"/>
              <w:autoSpaceDN w:val="0"/>
              <w:adjustRightInd w:val="0"/>
              <w:spacing w:before="80" w:after="40" w:line="276" w:lineRule="auto"/>
              <w:rPr>
                <w:rFonts w:cs="Times New Roman"/>
                <w:sz w:val="24"/>
                <w:szCs w:val="24"/>
              </w:rPr>
            </w:pPr>
            <w:r w:rsidRPr="009114D9">
              <w:rPr>
                <w:rFonts w:cs="Times New Roman"/>
                <w:i/>
                <w:sz w:val="24"/>
                <w:szCs w:val="24"/>
              </w:rPr>
              <w:t xml:space="preserve"> Prawo ochrony środowiska (Dz. U. z 2001 r., Nr 62, poz. 627 z późn. zm.)]. </w:t>
            </w:r>
          </w:p>
          <w:p w14:paraId="3B189DAE" w14:textId="77777777" w:rsidR="009114D9" w:rsidRPr="009114D9" w:rsidRDefault="009114D9" w:rsidP="00A06C6C">
            <w:pPr>
              <w:autoSpaceDE w:val="0"/>
              <w:autoSpaceDN w:val="0"/>
              <w:adjustRightInd w:val="0"/>
              <w:spacing w:before="80" w:after="40" w:line="276" w:lineRule="auto"/>
              <w:rPr>
                <w:rFonts w:cs="Times New Roman"/>
                <w:i/>
                <w:sz w:val="24"/>
                <w:szCs w:val="24"/>
              </w:rPr>
            </w:pPr>
            <w:r w:rsidRPr="009114D9">
              <w:rPr>
                <w:rFonts w:cs="Times New Roman"/>
                <w:i/>
                <w:sz w:val="24"/>
                <w:szCs w:val="24"/>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 14 grudnia 2012 r. o odpadach </w:t>
            </w:r>
            <w:r>
              <w:rPr>
                <w:rFonts w:cs="Times New Roman"/>
                <w:i/>
                <w:sz w:val="24"/>
                <w:szCs w:val="24"/>
              </w:rPr>
              <w:br/>
            </w:r>
            <w:r w:rsidRPr="009114D9">
              <w:rPr>
                <w:rFonts w:cs="Times New Roman"/>
                <w:i/>
                <w:sz w:val="24"/>
                <w:szCs w:val="24"/>
              </w:rPr>
              <w:t xml:space="preserve">(Dz. U. z 2013 r. poz. 21)]. </w:t>
            </w:r>
          </w:p>
          <w:p w14:paraId="3A65FED1" w14:textId="77777777" w:rsidR="009114D9" w:rsidRPr="009114D9" w:rsidRDefault="009114D9" w:rsidP="00A06C6C">
            <w:pPr>
              <w:autoSpaceDE w:val="0"/>
              <w:autoSpaceDN w:val="0"/>
              <w:adjustRightInd w:val="0"/>
              <w:spacing w:before="80" w:after="40" w:line="276" w:lineRule="auto"/>
              <w:rPr>
                <w:rFonts w:cs="Times New Roman"/>
                <w:sz w:val="24"/>
                <w:szCs w:val="24"/>
              </w:rPr>
            </w:pPr>
            <w:r w:rsidRPr="009114D9">
              <w:rPr>
                <w:rFonts w:cs="Times New Roman"/>
                <w:sz w:val="24"/>
                <w:szCs w:val="24"/>
              </w:rPr>
              <w:t>Zakres wsparcia zgodny z UP i zapisami linii demarkacyjnej dla PI 6.1.</w:t>
            </w:r>
          </w:p>
        </w:tc>
      </w:tr>
      <w:tr w:rsidR="009114D9" w:rsidRPr="009114D9" w14:paraId="0720CB73" w14:textId="77777777" w:rsidTr="00A06C6C">
        <w:tc>
          <w:tcPr>
            <w:tcW w:w="671" w:type="dxa"/>
            <w:vAlign w:val="center"/>
          </w:tcPr>
          <w:p w14:paraId="316BBB4A" w14:textId="77777777" w:rsidR="009114D9" w:rsidRPr="009114D9" w:rsidRDefault="009114D9" w:rsidP="00A06C6C">
            <w:pPr>
              <w:spacing w:before="80" w:after="80" w:line="276" w:lineRule="auto"/>
              <w:jc w:val="center"/>
              <w:rPr>
                <w:sz w:val="24"/>
                <w:szCs w:val="24"/>
              </w:rPr>
            </w:pPr>
            <w:r w:rsidRPr="009114D9">
              <w:rPr>
                <w:sz w:val="24"/>
                <w:szCs w:val="24"/>
              </w:rPr>
              <w:t>7.</w:t>
            </w:r>
          </w:p>
        </w:tc>
        <w:tc>
          <w:tcPr>
            <w:tcW w:w="2716" w:type="dxa"/>
            <w:vAlign w:val="center"/>
          </w:tcPr>
          <w:p w14:paraId="0CFCD9BB"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 xml:space="preserve">Masa odpadów zebranych </w:t>
            </w:r>
            <w:r w:rsidRPr="009114D9">
              <w:rPr>
                <w:rFonts w:cs="Times New Roman"/>
                <w:i/>
                <w:sz w:val="24"/>
                <w:szCs w:val="24"/>
              </w:rPr>
              <w:br/>
              <w:t>z likwidowanych dzikich wysypisk</w:t>
            </w:r>
          </w:p>
        </w:tc>
        <w:tc>
          <w:tcPr>
            <w:tcW w:w="1276" w:type="dxa"/>
            <w:vAlign w:val="center"/>
          </w:tcPr>
          <w:p w14:paraId="5B399839" w14:textId="77777777" w:rsidR="009114D9" w:rsidRPr="009114D9" w:rsidRDefault="009114D9" w:rsidP="00A06C6C">
            <w:pPr>
              <w:spacing w:before="60" w:after="60" w:line="276" w:lineRule="auto"/>
              <w:rPr>
                <w:rFonts w:cs="Arial"/>
                <w:sz w:val="24"/>
                <w:szCs w:val="24"/>
              </w:rPr>
            </w:pPr>
            <w:r w:rsidRPr="009114D9">
              <w:rPr>
                <w:rFonts w:cs="Arial"/>
                <w:sz w:val="24"/>
                <w:szCs w:val="24"/>
              </w:rPr>
              <w:t>Mg</w:t>
            </w:r>
          </w:p>
        </w:tc>
        <w:tc>
          <w:tcPr>
            <w:tcW w:w="1418" w:type="dxa"/>
            <w:vAlign w:val="center"/>
          </w:tcPr>
          <w:p w14:paraId="4B91B2E0"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vAlign w:val="center"/>
          </w:tcPr>
          <w:p w14:paraId="2F8811FE"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12271637"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008C06C3" w14:textId="77777777" w:rsidR="009114D9" w:rsidRPr="009114D9" w:rsidRDefault="009114D9" w:rsidP="00A06C6C">
            <w:pPr>
              <w:autoSpaceDE w:val="0"/>
              <w:autoSpaceDN w:val="0"/>
              <w:adjustRightInd w:val="0"/>
              <w:spacing w:before="80" w:after="40" w:line="276" w:lineRule="auto"/>
              <w:rPr>
                <w:rFonts w:cs="Times New Roman"/>
                <w:sz w:val="24"/>
                <w:szCs w:val="24"/>
              </w:rPr>
            </w:pPr>
            <w:r w:rsidRPr="009114D9">
              <w:rPr>
                <w:rFonts w:cs="Times New Roman"/>
                <w:sz w:val="24"/>
                <w:szCs w:val="24"/>
              </w:rPr>
              <w:t xml:space="preserve">Masa odpadów, które zostały zebrane z likwidowanych dzikich wysypisk i poddane utylizacji w ramach zrealizowanych projektów. </w:t>
            </w:r>
          </w:p>
          <w:p w14:paraId="16EC24F5" w14:textId="77777777" w:rsidR="009114D9" w:rsidRPr="009114D9" w:rsidRDefault="009114D9" w:rsidP="00A06C6C">
            <w:pPr>
              <w:autoSpaceDE w:val="0"/>
              <w:autoSpaceDN w:val="0"/>
              <w:adjustRightInd w:val="0"/>
              <w:spacing w:before="80" w:after="40" w:line="276" w:lineRule="auto"/>
              <w:rPr>
                <w:rFonts w:cs="Times New Roman"/>
                <w:i/>
                <w:sz w:val="24"/>
                <w:szCs w:val="24"/>
              </w:rPr>
            </w:pPr>
            <w:r w:rsidRPr="009114D9">
              <w:rPr>
                <w:rFonts w:cs="Times New Roman"/>
                <w:i/>
                <w:sz w:val="24"/>
                <w:szCs w:val="24"/>
              </w:rPr>
              <w:t xml:space="preserve">Przez dzikie wysypiska należy rozumieć nie tylko miejsca nagromadzenia znacznej masy odpadów, do tego celu nie przeznaczone, ale również rozproszone odpady znajdujące się na większej przestrzeni.  </w:t>
            </w:r>
          </w:p>
          <w:p w14:paraId="7C5294BB" w14:textId="77777777" w:rsidR="009114D9" w:rsidRPr="009114D9" w:rsidRDefault="009114D9" w:rsidP="00A06C6C">
            <w:pPr>
              <w:autoSpaceDE w:val="0"/>
              <w:autoSpaceDN w:val="0"/>
              <w:adjustRightInd w:val="0"/>
              <w:spacing w:before="80" w:after="40" w:line="276" w:lineRule="auto"/>
              <w:rPr>
                <w:rFonts w:cs="Times New Roman"/>
                <w:sz w:val="24"/>
                <w:szCs w:val="24"/>
              </w:rPr>
            </w:pPr>
            <w:r w:rsidRPr="009114D9">
              <w:rPr>
                <w:rFonts w:cs="Times New Roman"/>
                <w:sz w:val="24"/>
                <w:szCs w:val="24"/>
              </w:rPr>
              <w:t>Zakres wsparcia zgodny z UP i zapisami linii demarkacyjnej dla PI 6.1.</w:t>
            </w:r>
          </w:p>
        </w:tc>
      </w:tr>
      <w:tr w:rsidR="009114D9" w:rsidRPr="009114D9" w14:paraId="1D2A8BE2" w14:textId="77777777" w:rsidTr="00A06C6C">
        <w:tc>
          <w:tcPr>
            <w:tcW w:w="671" w:type="dxa"/>
            <w:vAlign w:val="center"/>
          </w:tcPr>
          <w:p w14:paraId="1029C03D" w14:textId="77777777" w:rsidR="009114D9" w:rsidRPr="009114D9" w:rsidRDefault="009114D9" w:rsidP="00A06C6C">
            <w:pPr>
              <w:spacing w:before="80" w:after="80" w:line="276" w:lineRule="auto"/>
              <w:jc w:val="center"/>
              <w:rPr>
                <w:sz w:val="24"/>
                <w:szCs w:val="24"/>
              </w:rPr>
            </w:pPr>
            <w:r w:rsidRPr="009114D9">
              <w:rPr>
                <w:sz w:val="24"/>
                <w:szCs w:val="24"/>
              </w:rPr>
              <w:t>8.</w:t>
            </w:r>
          </w:p>
        </w:tc>
        <w:tc>
          <w:tcPr>
            <w:tcW w:w="2716" w:type="dxa"/>
            <w:tcBorders>
              <w:top w:val="single" w:sz="4" w:space="0" w:color="33CC33"/>
              <w:bottom w:val="single" w:sz="4" w:space="0" w:color="33CC33"/>
            </w:tcBorders>
            <w:vAlign w:val="center"/>
          </w:tcPr>
          <w:p w14:paraId="2CC0A640"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Arial"/>
                <w:i/>
                <w:sz w:val="24"/>
                <w:szCs w:val="24"/>
              </w:rPr>
              <w:t>Udział projektu w odniesieniu do obszaru objętego programem rewitalizacji</w:t>
            </w:r>
          </w:p>
        </w:tc>
        <w:tc>
          <w:tcPr>
            <w:tcW w:w="1276" w:type="dxa"/>
            <w:tcBorders>
              <w:top w:val="single" w:sz="4" w:space="0" w:color="33CC33"/>
              <w:bottom w:val="single" w:sz="4" w:space="0" w:color="33CC33"/>
            </w:tcBorders>
            <w:vAlign w:val="center"/>
          </w:tcPr>
          <w:p w14:paraId="75B6A0AA" w14:textId="77777777" w:rsidR="009114D9" w:rsidRPr="009114D9" w:rsidRDefault="009114D9" w:rsidP="00A06C6C">
            <w:pPr>
              <w:spacing w:before="60" w:after="60" w:line="276" w:lineRule="auto"/>
              <w:rPr>
                <w:rFonts w:cs="Arial"/>
                <w:sz w:val="24"/>
                <w:szCs w:val="24"/>
              </w:rPr>
            </w:pPr>
            <w:r w:rsidRPr="009114D9">
              <w:rPr>
                <w:sz w:val="24"/>
                <w:szCs w:val="24"/>
              </w:rPr>
              <w:t>%</w:t>
            </w:r>
          </w:p>
        </w:tc>
        <w:tc>
          <w:tcPr>
            <w:tcW w:w="1418" w:type="dxa"/>
            <w:tcBorders>
              <w:top w:val="single" w:sz="4" w:space="0" w:color="33CC33"/>
              <w:bottom w:val="single" w:sz="4" w:space="0" w:color="33CC33"/>
            </w:tcBorders>
            <w:vAlign w:val="center"/>
          </w:tcPr>
          <w:p w14:paraId="7A3E9B88" w14:textId="77777777" w:rsidR="009114D9" w:rsidRPr="009114D9" w:rsidRDefault="009114D9" w:rsidP="00A06C6C">
            <w:pPr>
              <w:spacing w:before="80" w:after="80" w:line="276" w:lineRule="auto"/>
              <w:rPr>
                <w:sz w:val="24"/>
                <w:szCs w:val="24"/>
              </w:rPr>
            </w:pPr>
            <w:r w:rsidRPr="009114D9">
              <w:rPr>
                <w:sz w:val="24"/>
                <w:szCs w:val="24"/>
              </w:rPr>
              <w:t>produkt</w:t>
            </w:r>
          </w:p>
        </w:tc>
        <w:tc>
          <w:tcPr>
            <w:tcW w:w="1417" w:type="dxa"/>
            <w:tcBorders>
              <w:top w:val="single" w:sz="4" w:space="0" w:color="33CC33"/>
              <w:bottom w:val="single" w:sz="4" w:space="0" w:color="33CC33"/>
            </w:tcBorders>
            <w:vAlign w:val="center"/>
          </w:tcPr>
          <w:p w14:paraId="4EE1A153" w14:textId="77777777" w:rsidR="009114D9" w:rsidRPr="009114D9" w:rsidRDefault="009114D9" w:rsidP="00A06C6C">
            <w:pPr>
              <w:spacing w:before="80" w:after="80" w:line="276" w:lineRule="auto"/>
              <w:rPr>
                <w:sz w:val="24"/>
                <w:szCs w:val="24"/>
              </w:rPr>
            </w:pPr>
            <w:r w:rsidRPr="009114D9">
              <w:rPr>
                <w:sz w:val="24"/>
                <w:szCs w:val="24"/>
              </w:rPr>
              <w:t>specyficzny</w:t>
            </w:r>
          </w:p>
        </w:tc>
        <w:tc>
          <w:tcPr>
            <w:tcW w:w="1276" w:type="dxa"/>
            <w:tcBorders>
              <w:top w:val="single" w:sz="4" w:space="0" w:color="33CC33"/>
              <w:bottom w:val="single" w:sz="4" w:space="0" w:color="33CC33"/>
            </w:tcBorders>
            <w:vAlign w:val="center"/>
          </w:tcPr>
          <w:p w14:paraId="40F6BCCD"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tcBorders>
              <w:top w:val="single" w:sz="4" w:space="0" w:color="33CC33"/>
              <w:bottom w:val="single" w:sz="4" w:space="0" w:color="33CC33"/>
            </w:tcBorders>
            <w:shd w:val="clear" w:color="auto" w:fill="auto"/>
            <w:vAlign w:val="center"/>
          </w:tcPr>
          <w:p w14:paraId="54B5E188" w14:textId="77777777" w:rsidR="009114D9" w:rsidRPr="009114D9" w:rsidRDefault="009114D9" w:rsidP="00A06C6C">
            <w:pPr>
              <w:shd w:val="clear" w:color="auto" w:fill="FFFFFF"/>
              <w:spacing w:before="60" w:line="276" w:lineRule="auto"/>
              <w:rPr>
                <w:sz w:val="24"/>
                <w:szCs w:val="24"/>
              </w:rPr>
            </w:pPr>
            <w:r w:rsidRPr="009114D9">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09A0F2C" w14:textId="77777777" w:rsidR="009114D9" w:rsidRPr="009114D9" w:rsidRDefault="009114D9" w:rsidP="00A06C6C">
            <w:pPr>
              <w:shd w:val="clear" w:color="auto" w:fill="FFFFFF"/>
              <w:spacing w:before="60" w:line="276" w:lineRule="auto"/>
              <w:rPr>
                <w:sz w:val="24"/>
                <w:szCs w:val="24"/>
              </w:rPr>
            </w:pPr>
            <w:r w:rsidRPr="009114D9">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1144F2FD" w14:textId="77777777" w:rsidR="009114D9" w:rsidRPr="009114D9" w:rsidRDefault="009114D9" w:rsidP="00A06C6C">
            <w:pPr>
              <w:autoSpaceDE w:val="0"/>
              <w:autoSpaceDN w:val="0"/>
              <w:adjustRightInd w:val="0"/>
              <w:spacing w:before="80" w:after="40" w:line="276" w:lineRule="auto"/>
              <w:rPr>
                <w:rFonts w:cs="Times New Roman"/>
                <w:sz w:val="24"/>
                <w:szCs w:val="24"/>
              </w:rPr>
            </w:pPr>
            <w:r w:rsidRPr="009114D9">
              <w:rPr>
                <w:sz w:val="24"/>
                <w:szCs w:val="24"/>
              </w:rPr>
              <w:t xml:space="preserve">Definicja programu rewitalizacji zgodnie z </w:t>
            </w:r>
            <w:r w:rsidRPr="009114D9">
              <w:rPr>
                <w:i/>
                <w:sz w:val="24"/>
                <w:szCs w:val="24"/>
              </w:rPr>
              <w:t xml:space="preserve">Wytycznymi </w:t>
            </w:r>
            <w:r>
              <w:rPr>
                <w:i/>
                <w:sz w:val="24"/>
                <w:szCs w:val="24"/>
              </w:rPr>
              <w:br/>
            </w:r>
            <w:r w:rsidRPr="009114D9">
              <w:rPr>
                <w:i/>
                <w:sz w:val="24"/>
                <w:szCs w:val="24"/>
              </w:rPr>
              <w:t>w zakresie rewitalizacji w programach operacyjnych na lata 2014-2020</w:t>
            </w:r>
            <w:r w:rsidRPr="009114D9">
              <w:rPr>
                <w:sz w:val="24"/>
                <w:szCs w:val="24"/>
              </w:rPr>
              <w:t>.</w:t>
            </w:r>
          </w:p>
        </w:tc>
      </w:tr>
      <w:tr w:rsidR="009114D9" w:rsidRPr="009114D9" w14:paraId="6E417604" w14:textId="77777777" w:rsidTr="00A06C6C">
        <w:tc>
          <w:tcPr>
            <w:tcW w:w="671" w:type="dxa"/>
            <w:vAlign w:val="center"/>
          </w:tcPr>
          <w:p w14:paraId="04452AE2" w14:textId="77777777" w:rsidR="009114D9" w:rsidRPr="009114D9" w:rsidRDefault="009114D9" w:rsidP="00A06C6C">
            <w:pPr>
              <w:spacing w:before="80" w:after="80" w:line="276" w:lineRule="auto"/>
              <w:jc w:val="center"/>
              <w:rPr>
                <w:sz w:val="24"/>
                <w:szCs w:val="24"/>
              </w:rPr>
            </w:pPr>
            <w:r w:rsidRPr="009114D9">
              <w:rPr>
                <w:sz w:val="24"/>
                <w:szCs w:val="24"/>
              </w:rPr>
              <w:t>9.</w:t>
            </w:r>
          </w:p>
        </w:tc>
        <w:tc>
          <w:tcPr>
            <w:tcW w:w="2716" w:type="dxa"/>
            <w:vAlign w:val="center"/>
          </w:tcPr>
          <w:p w14:paraId="6C8AC20B"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Dodatkowe możliwości przerobowe w zakresie recyklingu odpadów</w:t>
            </w:r>
          </w:p>
        </w:tc>
        <w:tc>
          <w:tcPr>
            <w:tcW w:w="1276" w:type="dxa"/>
            <w:vAlign w:val="center"/>
          </w:tcPr>
          <w:p w14:paraId="224304B4" w14:textId="77777777" w:rsidR="009114D9" w:rsidRPr="009114D9" w:rsidRDefault="009114D9" w:rsidP="00A06C6C">
            <w:pPr>
              <w:spacing w:before="60" w:after="60" w:line="276" w:lineRule="auto"/>
              <w:rPr>
                <w:rFonts w:cs="Arial"/>
                <w:sz w:val="24"/>
                <w:szCs w:val="24"/>
              </w:rPr>
            </w:pPr>
            <w:r w:rsidRPr="009114D9">
              <w:rPr>
                <w:rFonts w:cs="Arial"/>
                <w:sz w:val="24"/>
                <w:szCs w:val="24"/>
              </w:rPr>
              <w:t>tony/rok</w:t>
            </w:r>
          </w:p>
        </w:tc>
        <w:tc>
          <w:tcPr>
            <w:tcW w:w="1418" w:type="dxa"/>
            <w:vAlign w:val="center"/>
          </w:tcPr>
          <w:p w14:paraId="001825AA"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vAlign w:val="center"/>
          </w:tcPr>
          <w:p w14:paraId="3969AE0B"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2646BA2F" w14:textId="77777777" w:rsidR="009114D9" w:rsidRPr="009114D9" w:rsidRDefault="009114D9" w:rsidP="00A06C6C">
            <w:pPr>
              <w:spacing w:before="80" w:after="80" w:line="276" w:lineRule="auto"/>
              <w:rPr>
                <w:sz w:val="24"/>
                <w:szCs w:val="24"/>
              </w:rPr>
            </w:pPr>
            <w:r w:rsidRPr="009114D9">
              <w:rPr>
                <w:sz w:val="24"/>
                <w:szCs w:val="24"/>
              </w:rPr>
              <w:t>Common Indicator</w:t>
            </w:r>
          </w:p>
        </w:tc>
        <w:tc>
          <w:tcPr>
            <w:tcW w:w="5812" w:type="dxa"/>
            <w:vAlign w:val="center"/>
          </w:tcPr>
          <w:p w14:paraId="02616A8E" w14:textId="77777777" w:rsidR="009114D9" w:rsidRPr="009114D9" w:rsidRDefault="00CF71CE" w:rsidP="00CF71CE">
            <w:pPr>
              <w:autoSpaceDE w:val="0"/>
              <w:autoSpaceDN w:val="0"/>
              <w:adjustRightInd w:val="0"/>
              <w:spacing w:before="80" w:after="40" w:line="276" w:lineRule="auto"/>
              <w:rPr>
                <w:rFonts w:cs="Times New Roman"/>
                <w:sz w:val="24"/>
                <w:szCs w:val="24"/>
              </w:rPr>
            </w:pPr>
            <w:r w:rsidRPr="00CF71CE">
              <w:rPr>
                <w:rFonts w:cs="Times New Roman"/>
                <w:sz w:val="24"/>
                <w:szCs w:val="24"/>
              </w:rPr>
              <w:t>Roczne możliwości przerobowe nowo budowanych instalacji do recyklingu odpadów. Wsparcie obejmuje również zwiększenie możliwości istniejących obiektów. Wartość wskaźnika oznacza różnicę możliwości przerobowych po zakończeniu realizacji projektu w stosunku do możliwości przed realizacją projektu. Obliczając wskaźnik należy brać pod uwagę pracę instalacji ze 100% sprawnością, a nie rzeczywistą masę poddanych recyklingowi odpadów.</w:t>
            </w:r>
          </w:p>
        </w:tc>
      </w:tr>
      <w:tr w:rsidR="009114D9" w:rsidRPr="009114D9" w14:paraId="34774702" w14:textId="77777777" w:rsidTr="00A06C6C">
        <w:tc>
          <w:tcPr>
            <w:tcW w:w="671" w:type="dxa"/>
            <w:vAlign w:val="center"/>
          </w:tcPr>
          <w:p w14:paraId="60596CA4" w14:textId="77777777" w:rsidR="009114D9" w:rsidRPr="009114D9" w:rsidRDefault="009114D9" w:rsidP="00A06C6C">
            <w:pPr>
              <w:spacing w:before="80" w:after="80" w:line="276" w:lineRule="auto"/>
              <w:jc w:val="center"/>
              <w:rPr>
                <w:sz w:val="24"/>
                <w:szCs w:val="24"/>
              </w:rPr>
            </w:pPr>
            <w:r w:rsidRPr="009114D9">
              <w:rPr>
                <w:sz w:val="24"/>
                <w:szCs w:val="24"/>
              </w:rPr>
              <w:t>10.</w:t>
            </w:r>
          </w:p>
        </w:tc>
        <w:tc>
          <w:tcPr>
            <w:tcW w:w="2716" w:type="dxa"/>
            <w:vAlign w:val="center"/>
          </w:tcPr>
          <w:p w14:paraId="61A9C3CA"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osób objętych selektywnym zbieraniem odpadów</w:t>
            </w:r>
          </w:p>
        </w:tc>
        <w:tc>
          <w:tcPr>
            <w:tcW w:w="1276" w:type="dxa"/>
            <w:vAlign w:val="center"/>
          </w:tcPr>
          <w:p w14:paraId="48C91205" w14:textId="77777777" w:rsidR="009114D9" w:rsidRPr="009114D9" w:rsidRDefault="009114D9" w:rsidP="00A06C6C">
            <w:pPr>
              <w:spacing w:before="60" w:after="60" w:line="276" w:lineRule="auto"/>
              <w:rPr>
                <w:rFonts w:cs="Arial"/>
                <w:sz w:val="24"/>
                <w:szCs w:val="24"/>
              </w:rPr>
            </w:pPr>
            <w:r w:rsidRPr="009114D9">
              <w:rPr>
                <w:rFonts w:cs="Arial"/>
                <w:sz w:val="24"/>
                <w:szCs w:val="24"/>
              </w:rPr>
              <w:t>osoby</w:t>
            </w:r>
          </w:p>
        </w:tc>
        <w:tc>
          <w:tcPr>
            <w:tcW w:w="1418" w:type="dxa"/>
            <w:vAlign w:val="center"/>
          </w:tcPr>
          <w:p w14:paraId="64C52A66"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vAlign w:val="center"/>
          </w:tcPr>
          <w:p w14:paraId="7AF86A0F"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2709CDF1"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3E2E6035"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Liczba osób objętych selektywnym zbieraniem odpadów w związku z eksploatacją Punktów Selektywnego Zbierania Odpadów Komunalnych [</w:t>
            </w:r>
            <w:r w:rsidRPr="009114D9">
              <w:rPr>
                <w:rFonts w:cs="Times New Roman"/>
                <w:i/>
                <w:sz w:val="24"/>
                <w:szCs w:val="24"/>
              </w:rPr>
              <w:t xml:space="preserve">Ustawa z dnia </w:t>
            </w:r>
            <w:r w:rsidR="00CF71CE">
              <w:rPr>
                <w:rFonts w:cs="Times New Roman"/>
                <w:i/>
                <w:sz w:val="24"/>
                <w:szCs w:val="24"/>
              </w:rPr>
              <w:br/>
            </w:r>
            <w:r w:rsidRPr="009114D9">
              <w:rPr>
                <w:rFonts w:cs="Times New Roman"/>
                <w:i/>
                <w:sz w:val="24"/>
                <w:szCs w:val="24"/>
              </w:rPr>
              <w:t xml:space="preserve">13 września 1996 r. o utrzymaniu czystości i porządku </w:t>
            </w:r>
            <w:r w:rsidR="00CF71CE">
              <w:rPr>
                <w:rFonts w:cs="Times New Roman"/>
                <w:i/>
                <w:sz w:val="24"/>
                <w:szCs w:val="24"/>
              </w:rPr>
              <w:br/>
            </w:r>
            <w:r w:rsidRPr="009114D9">
              <w:rPr>
                <w:rFonts w:cs="Times New Roman"/>
                <w:i/>
                <w:sz w:val="24"/>
                <w:szCs w:val="24"/>
              </w:rPr>
              <w:t>w gminach (t.j. Dz. U. z 2018 r. poz. 1454 z późn. zm.</w:t>
            </w:r>
            <w:r w:rsidR="00CF71CE">
              <w:rPr>
                <w:rFonts w:cs="Times New Roman"/>
                <w:i/>
                <w:sz w:val="24"/>
                <w:szCs w:val="24"/>
              </w:rPr>
              <w:t>)]</w:t>
            </w:r>
            <w:r w:rsidRPr="009114D9">
              <w:rPr>
                <w:rFonts w:cs="Times New Roman"/>
                <w:sz w:val="24"/>
                <w:szCs w:val="24"/>
              </w:rPr>
              <w:t xml:space="preserve">. </w:t>
            </w:r>
          </w:p>
          <w:p w14:paraId="142D99F0" w14:textId="77777777" w:rsidR="009114D9" w:rsidRPr="009114D9" w:rsidRDefault="009114D9" w:rsidP="00A06C6C">
            <w:pPr>
              <w:autoSpaceDE w:val="0"/>
              <w:autoSpaceDN w:val="0"/>
              <w:adjustRightInd w:val="0"/>
              <w:spacing w:before="60" w:after="60" w:line="276" w:lineRule="auto"/>
              <w:rPr>
                <w:rFonts w:cs="Times New Roman"/>
                <w:sz w:val="24"/>
                <w:szCs w:val="24"/>
              </w:rPr>
            </w:pPr>
            <w:r w:rsidRPr="009114D9">
              <w:rPr>
                <w:rFonts w:cs="Times New Roman"/>
                <w:sz w:val="24"/>
                <w:szCs w:val="24"/>
              </w:rPr>
              <w:t>Wsparcie może polegać na budowie, przebudowie, rozbudowie, remoncie lub wyposażeniu obiektu.  Zakres wsparcia zgodny z UP i zapisami linii demarkacyjnej dla PI 6.1.</w:t>
            </w:r>
          </w:p>
        </w:tc>
      </w:tr>
      <w:tr w:rsidR="009114D9" w:rsidRPr="009114D9" w14:paraId="6792D82A" w14:textId="77777777" w:rsidTr="00A06C6C">
        <w:tc>
          <w:tcPr>
            <w:tcW w:w="671" w:type="dxa"/>
            <w:vAlign w:val="center"/>
          </w:tcPr>
          <w:p w14:paraId="5EEBE1C1" w14:textId="77777777" w:rsidR="009114D9" w:rsidRPr="009114D9" w:rsidRDefault="009114D9" w:rsidP="00A06C6C">
            <w:pPr>
              <w:spacing w:before="80" w:after="80" w:line="276" w:lineRule="auto"/>
              <w:jc w:val="center"/>
              <w:rPr>
                <w:sz w:val="24"/>
                <w:szCs w:val="24"/>
              </w:rPr>
            </w:pPr>
            <w:r w:rsidRPr="009114D9">
              <w:rPr>
                <w:sz w:val="24"/>
                <w:szCs w:val="24"/>
              </w:rPr>
              <w:t>11.</w:t>
            </w:r>
          </w:p>
        </w:tc>
        <w:tc>
          <w:tcPr>
            <w:tcW w:w="2716" w:type="dxa"/>
            <w:vAlign w:val="center"/>
          </w:tcPr>
          <w:p w14:paraId="1A4094A3"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Liczba osób objętych systemem zagospodarowania odpadów</w:t>
            </w:r>
          </w:p>
        </w:tc>
        <w:tc>
          <w:tcPr>
            <w:tcW w:w="1276" w:type="dxa"/>
            <w:vAlign w:val="center"/>
          </w:tcPr>
          <w:p w14:paraId="3A92FDCB" w14:textId="77777777" w:rsidR="009114D9" w:rsidRPr="009114D9" w:rsidRDefault="009114D9" w:rsidP="00A06C6C">
            <w:pPr>
              <w:spacing w:before="60" w:after="60" w:line="276" w:lineRule="auto"/>
              <w:rPr>
                <w:rFonts w:cs="Arial"/>
                <w:sz w:val="24"/>
                <w:szCs w:val="24"/>
              </w:rPr>
            </w:pPr>
            <w:r w:rsidRPr="009114D9">
              <w:rPr>
                <w:rFonts w:cs="Arial"/>
                <w:sz w:val="24"/>
                <w:szCs w:val="24"/>
              </w:rPr>
              <w:t>osoby</w:t>
            </w:r>
          </w:p>
        </w:tc>
        <w:tc>
          <w:tcPr>
            <w:tcW w:w="1418" w:type="dxa"/>
            <w:vAlign w:val="center"/>
          </w:tcPr>
          <w:p w14:paraId="341F20A6"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vAlign w:val="center"/>
          </w:tcPr>
          <w:p w14:paraId="29345A38"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vAlign w:val="center"/>
          </w:tcPr>
          <w:p w14:paraId="5875EEFC"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vAlign w:val="center"/>
          </w:tcPr>
          <w:p w14:paraId="3F5E0ED1" w14:textId="77777777" w:rsidR="009114D9" w:rsidRPr="009114D9" w:rsidRDefault="009114D9" w:rsidP="00A06C6C">
            <w:pPr>
              <w:pStyle w:val="Default"/>
              <w:spacing w:before="60" w:after="60" w:line="276" w:lineRule="auto"/>
              <w:rPr>
                <w:rFonts w:asciiTheme="minorHAnsi" w:hAnsiTheme="minorHAnsi"/>
              </w:rPr>
            </w:pPr>
            <w:r w:rsidRPr="009114D9">
              <w:rPr>
                <w:rFonts w:asciiTheme="minorHAnsi" w:hAnsiTheme="minorHAnsi"/>
              </w:rPr>
              <w:t xml:space="preserve">Wskaźnik mierzy liczbę osób objętych systemem zagospodarowania odpadów. </w:t>
            </w:r>
          </w:p>
          <w:p w14:paraId="166B3687" w14:textId="77777777" w:rsidR="009114D9" w:rsidRPr="009114D9" w:rsidRDefault="009114D9" w:rsidP="00A06C6C">
            <w:pPr>
              <w:autoSpaceDE w:val="0"/>
              <w:autoSpaceDN w:val="0"/>
              <w:adjustRightInd w:val="0"/>
              <w:spacing w:before="60" w:after="60" w:line="276" w:lineRule="auto"/>
              <w:rPr>
                <w:sz w:val="24"/>
                <w:szCs w:val="24"/>
              </w:rPr>
            </w:pPr>
            <w:r w:rsidRPr="009114D9">
              <w:rPr>
                <w:i/>
                <w:iCs/>
                <w:sz w:val="24"/>
                <w:szCs w:val="24"/>
              </w:rPr>
              <w:t xml:space="preserve">Gospodarowanie odpadami </w:t>
            </w:r>
            <w:r w:rsidRPr="009114D9">
              <w:rPr>
                <w:sz w:val="24"/>
                <w:szCs w:val="24"/>
              </w:rPr>
              <w:t xml:space="preserve">– zbieranie, transport, przetwarzanie odpadów, łącznie z nadzorem nad tego rodzaju działaniami, jak również późniejsze postępowanie z miejscami unieszkodliwiania odpadów oraz działania wykonywane w charakterze sprzedawcy odpadów lub pośrednika w obrocie odpadami (art. 3 ust. 1 pkt 2 ustawy z dnia 14 grudnia 2012 r. o odpadach). </w:t>
            </w:r>
          </w:p>
          <w:p w14:paraId="2A17A147" w14:textId="77777777" w:rsidR="009114D9" w:rsidRPr="009114D9" w:rsidRDefault="009114D9" w:rsidP="00A06C6C">
            <w:pPr>
              <w:autoSpaceDE w:val="0"/>
              <w:autoSpaceDN w:val="0"/>
              <w:adjustRightInd w:val="0"/>
              <w:spacing w:before="60" w:after="60" w:line="276" w:lineRule="auto"/>
              <w:rPr>
                <w:sz w:val="24"/>
                <w:szCs w:val="24"/>
              </w:rPr>
            </w:pPr>
            <w:r w:rsidRPr="009114D9">
              <w:rPr>
                <w:rFonts w:cs="Times New Roman"/>
                <w:i/>
                <w:sz w:val="24"/>
                <w:szCs w:val="24"/>
              </w:rPr>
              <w:t>[Definicja opracowana przez IZ RPO WO 2014-2020]</w:t>
            </w:r>
          </w:p>
        </w:tc>
      </w:tr>
      <w:tr w:rsidR="009114D9" w:rsidRPr="009114D9" w14:paraId="11A47983" w14:textId="77777777" w:rsidTr="00A06C6C">
        <w:tc>
          <w:tcPr>
            <w:tcW w:w="671" w:type="dxa"/>
            <w:tcBorders>
              <w:bottom w:val="single" w:sz="12" w:space="0" w:color="33CC33"/>
            </w:tcBorders>
            <w:vAlign w:val="center"/>
          </w:tcPr>
          <w:p w14:paraId="077BA604" w14:textId="77777777" w:rsidR="009114D9" w:rsidRPr="009114D9" w:rsidRDefault="009114D9" w:rsidP="00A06C6C">
            <w:pPr>
              <w:spacing w:before="80" w:after="80" w:line="276" w:lineRule="auto"/>
              <w:jc w:val="center"/>
              <w:rPr>
                <w:sz w:val="24"/>
                <w:szCs w:val="24"/>
              </w:rPr>
            </w:pPr>
            <w:r w:rsidRPr="009114D9">
              <w:rPr>
                <w:sz w:val="24"/>
                <w:szCs w:val="24"/>
              </w:rPr>
              <w:t>12.</w:t>
            </w:r>
          </w:p>
        </w:tc>
        <w:tc>
          <w:tcPr>
            <w:tcW w:w="2716" w:type="dxa"/>
            <w:tcBorders>
              <w:bottom w:val="single" w:sz="12" w:space="0" w:color="33CC33"/>
            </w:tcBorders>
            <w:vAlign w:val="center"/>
          </w:tcPr>
          <w:p w14:paraId="2D9CAA5E" w14:textId="77777777" w:rsidR="009114D9" w:rsidRPr="009114D9" w:rsidRDefault="009114D9" w:rsidP="00A06C6C">
            <w:pPr>
              <w:autoSpaceDE w:val="0"/>
              <w:autoSpaceDN w:val="0"/>
              <w:adjustRightInd w:val="0"/>
              <w:spacing w:line="276" w:lineRule="auto"/>
              <w:rPr>
                <w:rFonts w:cs="Times New Roman"/>
                <w:i/>
                <w:sz w:val="24"/>
                <w:szCs w:val="24"/>
              </w:rPr>
            </w:pPr>
            <w:r w:rsidRPr="009114D9">
              <w:rPr>
                <w:rFonts w:cs="Times New Roman"/>
                <w:i/>
                <w:sz w:val="24"/>
                <w:szCs w:val="24"/>
              </w:rPr>
              <w:t>Moc przerobowa zakładu zagospodarowania odpadów</w:t>
            </w:r>
          </w:p>
        </w:tc>
        <w:tc>
          <w:tcPr>
            <w:tcW w:w="1276" w:type="dxa"/>
            <w:tcBorders>
              <w:bottom w:val="single" w:sz="12" w:space="0" w:color="33CC33"/>
            </w:tcBorders>
            <w:vAlign w:val="center"/>
          </w:tcPr>
          <w:p w14:paraId="6E40937D" w14:textId="77777777" w:rsidR="009114D9" w:rsidRPr="009114D9" w:rsidRDefault="009114D9" w:rsidP="00A06C6C">
            <w:pPr>
              <w:spacing w:before="60" w:after="60" w:line="276" w:lineRule="auto"/>
              <w:rPr>
                <w:rFonts w:cs="Arial"/>
                <w:sz w:val="24"/>
                <w:szCs w:val="24"/>
              </w:rPr>
            </w:pPr>
            <w:r w:rsidRPr="009114D9">
              <w:rPr>
                <w:rFonts w:cs="Arial"/>
                <w:sz w:val="24"/>
                <w:szCs w:val="24"/>
              </w:rPr>
              <w:t>Mg/rok</w:t>
            </w:r>
          </w:p>
        </w:tc>
        <w:tc>
          <w:tcPr>
            <w:tcW w:w="1418" w:type="dxa"/>
            <w:tcBorders>
              <w:bottom w:val="single" w:sz="12" w:space="0" w:color="33CC33"/>
            </w:tcBorders>
            <w:vAlign w:val="center"/>
          </w:tcPr>
          <w:p w14:paraId="3E671D38" w14:textId="77777777" w:rsidR="009114D9" w:rsidRPr="009114D9" w:rsidRDefault="009114D9" w:rsidP="00A06C6C">
            <w:pPr>
              <w:spacing w:before="80" w:after="80" w:line="276" w:lineRule="auto"/>
              <w:rPr>
                <w:sz w:val="24"/>
                <w:szCs w:val="24"/>
              </w:rPr>
            </w:pPr>
            <w:r w:rsidRPr="009114D9">
              <w:rPr>
                <w:sz w:val="24"/>
                <w:szCs w:val="24"/>
              </w:rPr>
              <w:t>rezultat</w:t>
            </w:r>
          </w:p>
        </w:tc>
        <w:tc>
          <w:tcPr>
            <w:tcW w:w="1417" w:type="dxa"/>
            <w:tcBorders>
              <w:bottom w:val="single" w:sz="12" w:space="0" w:color="33CC33"/>
            </w:tcBorders>
            <w:vAlign w:val="center"/>
          </w:tcPr>
          <w:p w14:paraId="14D8BC19" w14:textId="77777777" w:rsidR="009114D9" w:rsidRPr="009114D9" w:rsidRDefault="009114D9" w:rsidP="00A06C6C">
            <w:pPr>
              <w:spacing w:before="80" w:after="80" w:line="276" w:lineRule="auto"/>
              <w:rPr>
                <w:sz w:val="24"/>
                <w:szCs w:val="24"/>
              </w:rPr>
            </w:pPr>
            <w:r w:rsidRPr="009114D9">
              <w:rPr>
                <w:sz w:val="24"/>
                <w:szCs w:val="24"/>
              </w:rPr>
              <w:t>kluczowy</w:t>
            </w:r>
          </w:p>
        </w:tc>
        <w:tc>
          <w:tcPr>
            <w:tcW w:w="1276" w:type="dxa"/>
            <w:tcBorders>
              <w:bottom w:val="single" w:sz="12" w:space="0" w:color="33CC33"/>
            </w:tcBorders>
            <w:vAlign w:val="center"/>
          </w:tcPr>
          <w:p w14:paraId="59B4BAE3" w14:textId="77777777" w:rsidR="009114D9" w:rsidRPr="009114D9" w:rsidRDefault="009114D9" w:rsidP="00A06C6C">
            <w:pPr>
              <w:spacing w:before="80" w:after="80" w:line="276" w:lineRule="auto"/>
              <w:jc w:val="center"/>
              <w:rPr>
                <w:sz w:val="24"/>
                <w:szCs w:val="24"/>
              </w:rPr>
            </w:pPr>
            <w:r w:rsidRPr="009114D9">
              <w:rPr>
                <w:sz w:val="24"/>
                <w:szCs w:val="24"/>
              </w:rPr>
              <w:t>-</w:t>
            </w:r>
          </w:p>
        </w:tc>
        <w:tc>
          <w:tcPr>
            <w:tcW w:w="5812" w:type="dxa"/>
            <w:tcBorders>
              <w:bottom w:val="single" w:sz="12" w:space="0" w:color="33CC33"/>
            </w:tcBorders>
            <w:vAlign w:val="center"/>
          </w:tcPr>
          <w:p w14:paraId="05726BF6" w14:textId="77777777" w:rsidR="009114D9" w:rsidRPr="009114D9" w:rsidRDefault="009114D9" w:rsidP="00CF71CE">
            <w:pPr>
              <w:autoSpaceDE w:val="0"/>
              <w:autoSpaceDN w:val="0"/>
              <w:adjustRightInd w:val="0"/>
              <w:spacing w:before="60" w:after="60" w:line="276" w:lineRule="auto"/>
              <w:rPr>
                <w:rFonts w:cs="Times New Roman"/>
                <w:sz w:val="24"/>
                <w:szCs w:val="24"/>
                <w:highlight w:val="green"/>
              </w:rPr>
            </w:pPr>
            <w:r w:rsidRPr="009114D9">
              <w:rPr>
                <w:rFonts w:cs="Times New Roman"/>
                <w:sz w:val="24"/>
                <w:szCs w:val="24"/>
              </w:rPr>
              <w:t>Masa odpadów, jaką może przyjąć do odzysku i/lub unieszkodliwiania w ciągu roku zakład zagospodarowania odpadów (ZZO), który otrzymał wsparcie w ramach dofinansowanego projektu. Zakres wsparcia zgodny z UP i zapisami linii demarkacyjnej dla PI 6.1.</w:t>
            </w:r>
          </w:p>
        </w:tc>
      </w:tr>
    </w:tbl>
    <w:p w14:paraId="6DD65275" w14:textId="77777777" w:rsidR="00E80877" w:rsidRPr="00615E36" w:rsidRDefault="00E80877" w:rsidP="00E80877">
      <w:pPr>
        <w:spacing w:after="0" w:line="240" w:lineRule="auto"/>
        <w:jc w:val="both"/>
        <w:rPr>
          <w:b/>
          <w:sz w:val="24"/>
          <w:szCs w:val="24"/>
        </w:rPr>
      </w:pPr>
    </w:p>
    <w:p w14:paraId="5226315D" w14:textId="77777777" w:rsidR="00F122C5" w:rsidRPr="004A2391" w:rsidRDefault="00F122C5" w:rsidP="00F122C5">
      <w:pPr>
        <w:spacing w:after="0"/>
        <w:rPr>
          <w:b/>
        </w:rPr>
      </w:pPr>
    </w:p>
    <w:sectPr w:rsidR="00F122C5" w:rsidRPr="004A2391" w:rsidSect="00E151AB">
      <w:headerReference w:type="default" r:id="rId9"/>
      <w:footerReference w:type="default" r:id="rId10"/>
      <w:headerReference w:type="first" r:id="rId11"/>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4B74" w14:textId="77777777" w:rsidR="00C918AE" w:rsidRDefault="00C918AE" w:rsidP="00A11280">
      <w:pPr>
        <w:spacing w:after="0" w:line="240" w:lineRule="auto"/>
      </w:pPr>
      <w:r>
        <w:separator/>
      </w:r>
    </w:p>
  </w:endnote>
  <w:endnote w:type="continuationSeparator" w:id="0">
    <w:p w14:paraId="3B589661" w14:textId="77777777" w:rsidR="00C918AE" w:rsidRDefault="00C918A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14:paraId="5B8C6CEE" w14:textId="77777777" w:rsidR="00954099" w:rsidRPr="00D47A5A" w:rsidRDefault="00F63012">
        <w:pPr>
          <w:pStyle w:val="Stopka"/>
          <w:jc w:val="center"/>
          <w:rPr>
            <w:sz w:val="20"/>
          </w:rPr>
        </w:pPr>
        <w:r w:rsidRPr="00D47A5A">
          <w:rPr>
            <w:sz w:val="20"/>
          </w:rPr>
          <w:fldChar w:fldCharType="begin"/>
        </w:r>
        <w:r w:rsidR="00954099" w:rsidRPr="00D47A5A">
          <w:rPr>
            <w:sz w:val="20"/>
          </w:rPr>
          <w:instrText xml:space="preserve"> PAGE   \* MERGEFORMAT </w:instrText>
        </w:r>
        <w:r w:rsidRPr="00D47A5A">
          <w:rPr>
            <w:sz w:val="20"/>
          </w:rPr>
          <w:fldChar w:fldCharType="separate"/>
        </w:r>
        <w:r w:rsidR="0034425A">
          <w:rPr>
            <w:noProof/>
            <w:sz w:val="20"/>
          </w:rPr>
          <w:t>3</w:t>
        </w:r>
        <w:r w:rsidRPr="00D47A5A">
          <w:rPr>
            <w:sz w:val="20"/>
          </w:rPr>
          <w:fldChar w:fldCharType="end"/>
        </w:r>
      </w:p>
    </w:sdtContent>
  </w:sdt>
  <w:p w14:paraId="353BE098" w14:textId="77777777" w:rsidR="00954099" w:rsidRDefault="00954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2B1F" w14:textId="77777777" w:rsidR="00C918AE" w:rsidRDefault="00C918AE" w:rsidP="00A11280">
      <w:pPr>
        <w:spacing w:after="0" w:line="240" w:lineRule="auto"/>
      </w:pPr>
      <w:r>
        <w:separator/>
      </w:r>
    </w:p>
  </w:footnote>
  <w:footnote w:type="continuationSeparator" w:id="0">
    <w:p w14:paraId="4231ECF4" w14:textId="77777777" w:rsidR="00C918AE" w:rsidRDefault="00C918AE" w:rsidP="00A11280">
      <w:pPr>
        <w:spacing w:after="0" w:line="240" w:lineRule="auto"/>
      </w:pPr>
      <w:r>
        <w:continuationSeparator/>
      </w:r>
    </w:p>
  </w:footnote>
  <w:footnote w:id="1">
    <w:p w14:paraId="050B8FB8" w14:textId="77777777" w:rsidR="009114D9" w:rsidRPr="00137AD2" w:rsidRDefault="009114D9" w:rsidP="009114D9">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39F45" w14:textId="77777777" w:rsidR="00954099" w:rsidRDefault="00954099"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A934" w14:textId="77777777" w:rsidR="00954099" w:rsidRPr="00007637" w:rsidRDefault="00954099" w:rsidP="004E05C0">
    <w:pPr>
      <w:spacing w:after="0" w:line="240" w:lineRule="auto"/>
      <w:jc w:val="right"/>
      <w:rPr>
        <w:rFonts w:eastAsia="Times New Roman"/>
        <w:i/>
        <w:sz w:val="20"/>
        <w:szCs w:val="24"/>
        <w:lang w:eastAsia="en-US"/>
      </w:rPr>
    </w:pPr>
    <w:r>
      <w:rPr>
        <w:rFonts w:eastAsia="Times New Roman"/>
        <w:b/>
        <w:i/>
        <w:sz w:val="20"/>
        <w:szCs w:val="24"/>
        <w:lang w:eastAsia="en-US"/>
      </w:rPr>
      <w:t xml:space="preserve">Załącznik nr 8  </w:t>
    </w:r>
    <w:r w:rsidRPr="00007637">
      <w:rPr>
        <w:rFonts w:eastAsia="Times New Roman"/>
        <w:i/>
        <w:sz w:val="20"/>
        <w:szCs w:val="24"/>
        <w:lang w:eastAsia="en-US"/>
      </w:rPr>
      <w:t xml:space="preserve">do </w:t>
    </w:r>
    <w:r w:rsidRPr="003A2670">
      <w:rPr>
        <w:rFonts w:eastAsia="Times New Roman"/>
        <w:i/>
        <w:sz w:val="20"/>
        <w:szCs w:val="24"/>
        <w:lang w:eastAsia="en-US"/>
      </w:rPr>
      <w:t>Regulaminu konkursu</w:t>
    </w:r>
  </w:p>
  <w:p w14:paraId="37862C7F" w14:textId="77777777" w:rsidR="00954099" w:rsidRDefault="00FB0D0F" w:rsidP="004E05C0">
    <w:pPr>
      <w:spacing w:after="0" w:line="240" w:lineRule="auto"/>
      <w:jc w:val="right"/>
      <w:rPr>
        <w:i/>
        <w:sz w:val="20"/>
        <w:szCs w:val="24"/>
      </w:rPr>
    </w:pPr>
    <w:r>
      <w:rPr>
        <w:i/>
        <w:sz w:val="20"/>
        <w:szCs w:val="24"/>
      </w:rPr>
      <w:t>D</w:t>
    </w:r>
    <w:r w:rsidR="00954099">
      <w:rPr>
        <w:i/>
        <w:sz w:val="20"/>
        <w:szCs w:val="24"/>
      </w:rPr>
      <w:t xml:space="preserve">ziałanie </w:t>
    </w:r>
    <w:r>
      <w:rPr>
        <w:i/>
        <w:sz w:val="20"/>
        <w:szCs w:val="24"/>
      </w:rPr>
      <w:t>5.2 Poprawa gospodarowania odpadami komunalnymi</w:t>
    </w:r>
    <w:r w:rsidR="00954099">
      <w:rPr>
        <w:i/>
        <w:sz w:val="20"/>
        <w:szCs w:val="24"/>
      </w:rPr>
      <w:t xml:space="preserve"> RPO WO 2014-2020</w:t>
    </w:r>
  </w:p>
  <w:p w14:paraId="3165E099" w14:textId="77777777" w:rsidR="00954099" w:rsidRDefault="00954099" w:rsidP="004E05C0">
    <w:pPr>
      <w:spacing w:after="0" w:line="240" w:lineRule="auto"/>
      <w:jc w:val="right"/>
      <w:rPr>
        <w:sz w:val="24"/>
        <w:szCs w:val="20"/>
      </w:rPr>
    </w:pPr>
    <w:r>
      <w:rPr>
        <w:i/>
        <w:sz w:val="20"/>
      </w:rPr>
      <w:t xml:space="preserve">Wersja 1, </w:t>
    </w:r>
    <w:r w:rsidR="00FB0D0F">
      <w:rPr>
        <w:i/>
        <w:sz w:val="20"/>
      </w:rPr>
      <w:t>marzec</w:t>
    </w:r>
    <w:r>
      <w:rPr>
        <w:i/>
        <w:sz w:val="20"/>
      </w:rPr>
      <w:t xml:space="preserve"> 201</w:t>
    </w:r>
    <w:r w:rsidR="00662361">
      <w:rPr>
        <w:i/>
        <w:sz w:val="20"/>
      </w:rPr>
      <w:t>9</w:t>
    </w:r>
    <w:r>
      <w:rPr>
        <w:i/>
        <w:sz w:val="20"/>
      </w:rPr>
      <w:t xml:space="preserve"> r.</w:t>
    </w:r>
  </w:p>
  <w:p w14:paraId="2C662CF8" w14:textId="77777777" w:rsidR="00954099" w:rsidRPr="004E05C0" w:rsidRDefault="00954099" w:rsidP="004E0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765"/>
    <w:rsid w:val="00063C1C"/>
    <w:rsid w:val="00063E65"/>
    <w:rsid w:val="000653E0"/>
    <w:rsid w:val="00070958"/>
    <w:rsid w:val="00083072"/>
    <w:rsid w:val="00083B3C"/>
    <w:rsid w:val="00086315"/>
    <w:rsid w:val="000908A9"/>
    <w:rsid w:val="0009185C"/>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1909"/>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2B61"/>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4775"/>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22D9A"/>
    <w:rsid w:val="003317C9"/>
    <w:rsid w:val="0033221C"/>
    <w:rsid w:val="00335B0D"/>
    <w:rsid w:val="003414F1"/>
    <w:rsid w:val="00342EC8"/>
    <w:rsid w:val="0034425A"/>
    <w:rsid w:val="00350F73"/>
    <w:rsid w:val="0035163A"/>
    <w:rsid w:val="00354DFA"/>
    <w:rsid w:val="00355D2E"/>
    <w:rsid w:val="00357688"/>
    <w:rsid w:val="0036037A"/>
    <w:rsid w:val="003612BE"/>
    <w:rsid w:val="00365665"/>
    <w:rsid w:val="00367BF2"/>
    <w:rsid w:val="00370247"/>
    <w:rsid w:val="00370E0C"/>
    <w:rsid w:val="00377C57"/>
    <w:rsid w:val="003814B8"/>
    <w:rsid w:val="003834FF"/>
    <w:rsid w:val="00386AE6"/>
    <w:rsid w:val="00392470"/>
    <w:rsid w:val="00392E28"/>
    <w:rsid w:val="00394920"/>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6963"/>
    <w:rsid w:val="003F6F05"/>
    <w:rsid w:val="003F72FA"/>
    <w:rsid w:val="0040005D"/>
    <w:rsid w:val="004013E2"/>
    <w:rsid w:val="00401E7A"/>
    <w:rsid w:val="00406A0A"/>
    <w:rsid w:val="0041762F"/>
    <w:rsid w:val="00423636"/>
    <w:rsid w:val="00423AD3"/>
    <w:rsid w:val="0042589E"/>
    <w:rsid w:val="00433964"/>
    <w:rsid w:val="00436C1C"/>
    <w:rsid w:val="004456DF"/>
    <w:rsid w:val="0044584A"/>
    <w:rsid w:val="00447214"/>
    <w:rsid w:val="00447566"/>
    <w:rsid w:val="004515CA"/>
    <w:rsid w:val="00452468"/>
    <w:rsid w:val="00454B8E"/>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05C0"/>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0244"/>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E36"/>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361"/>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0EFF"/>
    <w:rsid w:val="006F1B2C"/>
    <w:rsid w:val="006F42E6"/>
    <w:rsid w:val="006F57DD"/>
    <w:rsid w:val="006F5963"/>
    <w:rsid w:val="006F7A2D"/>
    <w:rsid w:val="00700637"/>
    <w:rsid w:val="00702EF1"/>
    <w:rsid w:val="007048A7"/>
    <w:rsid w:val="007055BC"/>
    <w:rsid w:val="00706A63"/>
    <w:rsid w:val="00707207"/>
    <w:rsid w:val="00707B16"/>
    <w:rsid w:val="007109A7"/>
    <w:rsid w:val="00711603"/>
    <w:rsid w:val="00712637"/>
    <w:rsid w:val="007132A9"/>
    <w:rsid w:val="00713693"/>
    <w:rsid w:val="007171D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04F"/>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0D64"/>
    <w:rsid w:val="00856D21"/>
    <w:rsid w:val="00856DFC"/>
    <w:rsid w:val="00857429"/>
    <w:rsid w:val="0086008B"/>
    <w:rsid w:val="008601B4"/>
    <w:rsid w:val="00860C57"/>
    <w:rsid w:val="00861EFF"/>
    <w:rsid w:val="00864144"/>
    <w:rsid w:val="0086454C"/>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14D9"/>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4099"/>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3222"/>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6A0"/>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3412F"/>
    <w:rsid w:val="00B3671D"/>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56D0"/>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69DA"/>
    <w:rsid w:val="00C77EF3"/>
    <w:rsid w:val="00C83731"/>
    <w:rsid w:val="00C83F50"/>
    <w:rsid w:val="00C8445E"/>
    <w:rsid w:val="00C851B1"/>
    <w:rsid w:val="00C918AE"/>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CF71CE"/>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43E9"/>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85D45"/>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4957"/>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35EAB"/>
    <w:rsid w:val="00E41444"/>
    <w:rsid w:val="00E43283"/>
    <w:rsid w:val="00E43E7A"/>
    <w:rsid w:val="00E47908"/>
    <w:rsid w:val="00E503EA"/>
    <w:rsid w:val="00E50DE7"/>
    <w:rsid w:val="00E51454"/>
    <w:rsid w:val="00E572EF"/>
    <w:rsid w:val="00E61651"/>
    <w:rsid w:val="00E63D0A"/>
    <w:rsid w:val="00E652A8"/>
    <w:rsid w:val="00E713B3"/>
    <w:rsid w:val="00E735DF"/>
    <w:rsid w:val="00E7550B"/>
    <w:rsid w:val="00E76D66"/>
    <w:rsid w:val="00E80877"/>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07E1E"/>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53559"/>
    <w:rsid w:val="00F63012"/>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0D0F"/>
    <w:rsid w:val="00FB3A48"/>
    <w:rsid w:val="00FB3CFD"/>
    <w:rsid w:val="00FB43CA"/>
    <w:rsid w:val="00FB66D0"/>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96B35"/>
  <w15:docId w15:val="{33892821-6315-4CD8-86E7-752A9BE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421832244">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1822-7271-4819-9F7E-D41A7CD3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2916</Words>
  <Characters>17502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Małgorzata Kąpała</cp:lastModifiedBy>
  <cp:revision>3</cp:revision>
  <cp:lastPrinted>2019-03-13T12:02:00Z</cp:lastPrinted>
  <dcterms:created xsi:type="dcterms:W3CDTF">2019-03-11T08:18:00Z</dcterms:created>
  <dcterms:modified xsi:type="dcterms:W3CDTF">2019-03-13T12:02:00Z</dcterms:modified>
</cp:coreProperties>
</file>