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C" w:rsidRDefault="00E26D4C" w:rsidP="00E26D4C">
      <w:pPr>
        <w:jc w:val="center"/>
        <w:rPr>
          <w:b/>
          <w:color w:val="000099"/>
          <w:sz w:val="36"/>
          <w:szCs w:val="36"/>
          <w:lang w:eastAsia="pl-PL"/>
        </w:rPr>
      </w:pPr>
      <w:r w:rsidRPr="0060149B">
        <w:rPr>
          <w:noProof/>
          <w:lang w:eastAsia="pl-PL"/>
        </w:rPr>
        <w:drawing>
          <wp:inline distT="0" distB="0" distL="0" distR="0" wp14:anchorId="7C5C2C98" wp14:editId="7727CC7C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4C" w:rsidRDefault="00E26D4C" w:rsidP="00E26D4C">
      <w:pPr>
        <w:jc w:val="center"/>
        <w:rPr>
          <w:b/>
          <w:color w:val="000099"/>
          <w:sz w:val="36"/>
          <w:szCs w:val="36"/>
          <w:lang w:eastAsia="pl-PL"/>
        </w:rPr>
      </w:pPr>
    </w:p>
    <w:p w:rsidR="00E26D4C" w:rsidRDefault="00E26D4C" w:rsidP="00E26D4C">
      <w:pPr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E26D4C" w:rsidRDefault="00E26D4C" w:rsidP="00E26D4C">
      <w:pPr>
        <w:jc w:val="center"/>
        <w:rPr>
          <w:b/>
          <w:color w:val="000099"/>
          <w:sz w:val="36"/>
          <w:szCs w:val="36"/>
          <w:lang w:eastAsia="pl-PL"/>
        </w:rPr>
      </w:pPr>
    </w:p>
    <w:p w:rsidR="00E26D4C" w:rsidRPr="001015B8" w:rsidRDefault="00E26D4C" w:rsidP="00E26D4C">
      <w:pPr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E26D4C" w:rsidRPr="001015B8" w:rsidRDefault="00E26D4C" w:rsidP="00E26D4C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E26D4C" w:rsidRPr="001015B8" w:rsidRDefault="00E26D4C" w:rsidP="00E26D4C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E26D4C" w:rsidRPr="001015B8" w:rsidRDefault="00E26D4C" w:rsidP="00E26D4C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E26D4C" w:rsidRDefault="00E26D4C" w:rsidP="00E26D4C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  <w:r>
        <w:rPr>
          <w:b/>
          <w:color w:val="000099"/>
          <w:sz w:val="36"/>
          <w:szCs w:val="36"/>
          <w:lang w:eastAsia="pl-PL"/>
        </w:rPr>
        <w:br w:type="page"/>
      </w:r>
    </w:p>
    <w:p w:rsidR="00E81825" w:rsidRDefault="00E81825"/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277"/>
        <w:gridCol w:w="1559"/>
        <w:gridCol w:w="1701"/>
        <w:gridCol w:w="8788"/>
      </w:tblGrid>
      <w:tr w:rsidR="00E81825" w:rsidRPr="00997DD2" w:rsidTr="00E81825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rFonts w:ascii="Times New Roman" w:hAnsi="Times New Roman"/>
                <w:b/>
              </w:rPr>
              <w:br w:type="page"/>
            </w:r>
            <w:r w:rsidRPr="00997DD2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E81825" w:rsidRPr="00997DD2" w:rsidTr="00E81825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E81825" w:rsidRPr="00997DD2" w:rsidTr="00E81825">
        <w:trPr>
          <w:trHeight w:val="376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E81825" w:rsidRPr="00013891" w:rsidRDefault="00E81825" w:rsidP="00E81825">
            <w:pPr>
              <w:pStyle w:val="Akapitzlist"/>
              <w:numPr>
                <w:ilvl w:val="0"/>
                <w:numId w:val="5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013891">
              <w:rPr>
                <w:rFonts w:asciiTheme="minorHAnsi" w:hAnsiTheme="minorHAnsi" w:cstheme="minorHAnsi"/>
                <w:b/>
              </w:rPr>
              <w:t>ikwidacja indywidualnych źródeł ciepła w celu przyłączenia do sieci ciepłowniczych lub sieci gazowych wraz z niezbędnymi pracami termomodernizacyjnymi,</w:t>
            </w:r>
          </w:p>
          <w:p w:rsidR="00E81825" w:rsidRPr="00013891" w:rsidRDefault="00E81825" w:rsidP="00E81825">
            <w:pPr>
              <w:pStyle w:val="Akapitzlist"/>
              <w:numPr>
                <w:ilvl w:val="0"/>
                <w:numId w:val="5"/>
              </w:numPr>
              <w:spacing w:after="0"/>
              <w:ind w:left="455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013891">
              <w:rPr>
                <w:rFonts w:asciiTheme="minorHAnsi" w:hAnsiTheme="minorHAnsi" w:cstheme="minorHAnsi"/>
                <w:b/>
              </w:rPr>
              <w:t>ymiana indywidualnych źródeł ciepła na bardziej ekologiczne wraz z niezbędnymi pracami termomodernizacyjnymi.</w:t>
            </w:r>
          </w:p>
          <w:p w:rsidR="00E81825" w:rsidRPr="00013891" w:rsidRDefault="00E81825" w:rsidP="00E81825">
            <w:pPr>
              <w:spacing w:before="120" w:after="0"/>
              <w:rPr>
                <w:rFonts w:cstheme="minorHAnsi"/>
                <w:b/>
              </w:rPr>
            </w:pPr>
            <w:r w:rsidRPr="00013891">
              <w:rPr>
                <w:rFonts w:cstheme="minorHAnsi"/>
                <w:b/>
              </w:rPr>
              <w:t>Wyżej wymienione przedsięwzięcia dotyczyć będą:</w:t>
            </w:r>
          </w:p>
          <w:p w:rsidR="00E81825" w:rsidRPr="00013891" w:rsidRDefault="00E81825" w:rsidP="00E81825">
            <w:pPr>
              <w:pStyle w:val="Akapitzlist"/>
              <w:numPr>
                <w:ilvl w:val="0"/>
                <w:numId w:val="3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013891">
              <w:rPr>
                <w:rFonts w:asciiTheme="minorHAnsi" w:hAnsiTheme="minorHAnsi" w:cstheme="minorHAnsi"/>
                <w:b/>
              </w:rPr>
              <w:t>budynków jednorodzinnych,</w:t>
            </w:r>
          </w:p>
          <w:p w:rsidR="00E81825" w:rsidRPr="00013891" w:rsidRDefault="00E81825" w:rsidP="00E81825">
            <w:pPr>
              <w:pStyle w:val="Akapitzlist"/>
              <w:numPr>
                <w:ilvl w:val="0"/>
                <w:numId w:val="3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013891">
              <w:rPr>
                <w:rFonts w:asciiTheme="minorHAnsi" w:hAnsiTheme="minorHAnsi" w:cstheme="minorHAnsi"/>
                <w:b/>
              </w:rPr>
              <w:t>budynków wielorodzinnych zarządzanych przez wspólnoty,</w:t>
            </w:r>
          </w:p>
          <w:p w:rsidR="00E81825" w:rsidRPr="00013891" w:rsidRDefault="00E81825" w:rsidP="00E81825">
            <w:pPr>
              <w:pStyle w:val="Akapitzlist"/>
              <w:numPr>
                <w:ilvl w:val="0"/>
                <w:numId w:val="3"/>
              </w:numPr>
              <w:spacing w:after="0"/>
              <w:ind w:left="709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013891">
              <w:rPr>
                <w:rFonts w:asciiTheme="minorHAnsi" w:hAnsiTheme="minorHAnsi" w:cstheme="minorHAnsi"/>
                <w:b/>
              </w:rPr>
              <w:t>budynków i lokali mieszkalnych stanowiących zasób gminy,</w:t>
            </w:r>
          </w:p>
          <w:p w:rsidR="00E81825" w:rsidRPr="00013891" w:rsidRDefault="00E81825" w:rsidP="00E8182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013891">
              <w:rPr>
                <w:rFonts w:asciiTheme="minorHAnsi" w:hAnsiTheme="minorHAnsi" w:cstheme="minorHAnsi"/>
                <w:b/>
              </w:rPr>
              <w:t>budynków użyteczności publicznej.</w:t>
            </w:r>
            <w:r w:rsidRPr="00013891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:rsidR="00E81825" w:rsidRPr="003C72E8" w:rsidRDefault="00E81825" w:rsidP="00E818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2"/>
              <w:rPr>
                <w:b/>
                <w:color w:val="000099"/>
                <w:lang w:eastAsia="pl-PL"/>
              </w:rPr>
            </w:pPr>
          </w:p>
        </w:tc>
      </w:tr>
      <w:tr w:rsidR="00E81825" w:rsidRPr="00997DD2" w:rsidTr="00E81825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E81825" w:rsidRPr="00997DD2" w:rsidTr="00E81825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788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E81825" w:rsidRPr="00997DD2" w:rsidTr="00E81825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color w:val="000099"/>
                <w:lang w:eastAsia="pl-PL"/>
              </w:rPr>
              <w:t>5</w:t>
            </w:r>
          </w:p>
        </w:tc>
      </w:tr>
      <w:tr w:rsidR="00E81825" w:rsidRPr="00997DD2" w:rsidTr="00E81825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 w:line="240" w:lineRule="auto"/>
            </w:pPr>
            <w:r w:rsidRPr="007B1D0F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pStyle w:val="Akapitzlist"/>
              <w:numPr>
                <w:ilvl w:val="0"/>
                <w:numId w:val="1"/>
              </w:numPr>
              <w:ind w:left="226" w:hanging="226"/>
              <w:jc w:val="both"/>
            </w:pPr>
            <w:r w:rsidRPr="007B1D0F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:rsidR="00E81825" w:rsidRPr="007B1D0F" w:rsidRDefault="00E81825" w:rsidP="00E81825">
            <w:pPr>
              <w:pStyle w:val="Akapitzlist"/>
              <w:numPr>
                <w:ilvl w:val="0"/>
                <w:numId w:val="1"/>
              </w:numPr>
              <w:spacing w:after="0"/>
              <w:ind w:left="226" w:hanging="226"/>
              <w:jc w:val="both"/>
            </w:pPr>
            <w:r w:rsidRPr="007B1D0F">
              <w:t xml:space="preserve">W przypadku, gdy podłączenie do sieci ciepłowniczej lub sieci gazowej na danym obszarze jest </w:t>
            </w:r>
            <w:r w:rsidRPr="007B1D0F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7B1D0F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E81825" w:rsidRPr="00997DD2" w:rsidTr="00E81825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/>
              <w:jc w:val="center"/>
            </w:pPr>
            <w:r>
              <w:t>2</w:t>
            </w:r>
            <w:r w:rsidRPr="007B1D0F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 w:line="240" w:lineRule="auto"/>
            </w:pPr>
            <w:r w:rsidRPr="007B1D0F">
              <w:t xml:space="preserve">Określenie potrzeb </w:t>
            </w:r>
            <w:r w:rsidRPr="007B1D0F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before="240"/>
              <w:jc w:val="both"/>
            </w:pPr>
            <w:r w:rsidRPr="007B1D0F">
              <w:t xml:space="preserve">Dofinansowanie uzyskają projekty, w ramach których Wnioskodawca rzetelnie określił potrzeby </w:t>
            </w:r>
            <w:r w:rsidRPr="007B1D0F">
              <w:br/>
              <w:t xml:space="preserve">w zakresie wymiany </w:t>
            </w:r>
            <w:r>
              <w:t xml:space="preserve">lub/i likwidacji </w:t>
            </w:r>
            <w:r w:rsidRPr="007B1D0F">
              <w:t>źród</w:t>
            </w:r>
            <w:r>
              <w:t>e</w:t>
            </w:r>
            <w:r w:rsidRPr="007B1D0F">
              <w:t>ł ciepła, a na podstawie przeprowadzonego określenia potrzeb właściwie ustalił wartość wydatków kwalifikowalnych w projekcie.</w:t>
            </w:r>
          </w:p>
          <w:p w:rsidR="00E81825" w:rsidRDefault="00E81825" w:rsidP="00E81825">
            <w:pPr>
              <w:spacing w:after="0"/>
            </w:pPr>
            <w:r w:rsidRPr="007B1D0F">
              <w:t>Określenie potrzeb stanowi wynik przeprowadzonej ankietyzacji</w:t>
            </w:r>
            <w:r>
              <w:t>/inwentaryzacji</w:t>
            </w:r>
            <w:r w:rsidRPr="007B1D0F">
              <w:t xml:space="preserve">, którą przeprowadzono zgodnie z zakresem wynikającym z dokumentu pn. </w:t>
            </w:r>
            <w:r w:rsidRPr="00C36DD1">
              <w:rPr>
                <w:i/>
              </w:rPr>
              <w:t>Formularz do ankiety w zakresie potrzeb wymiany źródeł ciepła w ramach działania 5.5 Ochrona powietrza</w:t>
            </w:r>
            <w:r>
              <w:rPr>
                <w:i/>
              </w:rPr>
              <w:t xml:space="preserve"> </w:t>
            </w:r>
            <w:r w:rsidRPr="00C36DD1">
              <w:rPr>
                <w:i/>
              </w:rPr>
              <w:t>(dla budynków mieszkalnych)</w:t>
            </w:r>
            <w:r w:rsidRPr="007B1D0F">
              <w:t>, stanowiąc</w:t>
            </w:r>
            <w:r>
              <w:t>ym</w:t>
            </w:r>
            <w:r w:rsidRPr="007B1D0F">
              <w:t xml:space="preserve"> </w:t>
            </w:r>
            <w:r w:rsidRPr="007B1D0F">
              <w:rPr>
                <w:i/>
              </w:rPr>
              <w:t>Załącznik nr 7</w:t>
            </w:r>
            <w:r>
              <w:rPr>
                <w:i/>
              </w:rPr>
              <w:t xml:space="preserve">a </w:t>
            </w:r>
            <w:r w:rsidRPr="007B1D0F">
              <w:rPr>
                <w:i/>
              </w:rPr>
              <w:t xml:space="preserve"> do SZOOP EFRR</w:t>
            </w:r>
            <w:r w:rsidRPr="007B1D0F">
              <w:t xml:space="preserve"> oraz obligatoryjny załącznik do wniosku o dofinansowanie. </w:t>
            </w:r>
          </w:p>
          <w:p w:rsidR="00E81825" w:rsidRDefault="00E81825" w:rsidP="00E81825">
            <w:pPr>
              <w:spacing w:after="0"/>
            </w:pPr>
            <w:r>
              <w:t xml:space="preserve">Dla projektów dotyczących budynków użyteczności publicznej wnioskodawca przeprowadza ankietyzację/inwentaryzację budynków </w:t>
            </w:r>
            <w:r w:rsidRPr="007B1D0F">
              <w:t xml:space="preserve">zgodnie z zakresem wynikającym z dokumentu pn. </w:t>
            </w:r>
            <w:r w:rsidRPr="00C36DD1">
              <w:rPr>
                <w:i/>
              </w:rPr>
              <w:t>Formularz w zakresie oceny potrzeb wymiany źródeł ciepła dla budynków użyteczności publicznej</w:t>
            </w:r>
            <w:r w:rsidRPr="007B1D0F">
              <w:t>, stanowiąc</w:t>
            </w:r>
            <w:r>
              <w:t>ym</w:t>
            </w:r>
            <w:r w:rsidRPr="007B1D0F">
              <w:t xml:space="preserve"> </w:t>
            </w:r>
            <w:r w:rsidRPr="007B1D0F">
              <w:rPr>
                <w:i/>
              </w:rPr>
              <w:t>Załącznik nr 7</w:t>
            </w:r>
            <w:r>
              <w:rPr>
                <w:i/>
              </w:rPr>
              <w:t xml:space="preserve">b </w:t>
            </w:r>
            <w:r w:rsidRPr="007B1D0F">
              <w:rPr>
                <w:i/>
              </w:rPr>
              <w:t xml:space="preserve"> do SZOOP EFRR</w:t>
            </w:r>
            <w:r w:rsidRPr="007B1D0F">
              <w:t xml:space="preserve"> oraz obligatoryjny załącznik do wniosku o dofinansowanie.</w:t>
            </w:r>
          </w:p>
          <w:p w:rsidR="00E81825" w:rsidRPr="007B1D0F" w:rsidRDefault="00E81825" w:rsidP="00E26D4C">
            <w:pPr>
              <w:spacing w:after="0"/>
            </w:pPr>
            <w:r w:rsidRPr="007B1D0F">
              <w:t>Pozyskane i przedstawione w ww. dokumen</w:t>
            </w:r>
            <w:r>
              <w:t>tach</w:t>
            </w:r>
            <w:r w:rsidRPr="007B1D0F">
              <w:t xml:space="preserve"> dane stanowią rzetelną podstawę do realizacji działań zmierzających do ograniczenia niskiej emisji.</w:t>
            </w:r>
          </w:p>
        </w:tc>
      </w:tr>
      <w:tr w:rsidR="00E81825" w:rsidRPr="00997DD2" w:rsidTr="00E81825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/>
              <w:jc w:val="center"/>
            </w:pPr>
            <w:r>
              <w:t>3</w:t>
            </w:r>
            <w:r w:rsidRPr="007B1D0F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 w:line="240" w:lineRule="auto"/>
            </w:pPr>
            <w:r w:rsidRPr="007B1D0F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before="240"/>
              <w:jc w:val="both"/>
            </w:pPr>
            <w:r w:rsidRPr="007B1D0F">
              <w:t xml:space="preserve">Wsparcie uzyskają wyłącznie projekty, w których przewidziano działania zapewniające osiągniecie minimalnego poziomu efektywności energetycznej budynku zgodnie ze </w:t>
            </w:r>
            <w:r w:rsidRPr="007B1D0F">
              <w:rPr>
                <w:i/>
              </w:rPr>
              <w:t>Standardem minimum zakresu przeprowadzenia oceny energetycznej budynku w ramach działania 5.5 Ochrona powietrza</w:t>
            </w:r>
            <w:r w:rsidRPr="007B1D0F">
              <w:t xml:space="preserve">, stanowiącym </w:t>
            </w:r>
            <w:r w:rsidRPr="007B1D0F">
              <w:rPr>
                <w:i/>
              </w:rPr>
              <w:t>Załącznik nr 8</w:t>
            </w:r>
            <w:r>
              <w:rPr>
                <w:i/>
              </w:rPr>
              <w:t xml:space="preserve">b </w:t>
            </w:r>
            <w:r w:rsidRPr="007B1D0F">
              <w:rPr>
                <w:i/>
              </w:rPr>
              <w:t xml:space="preserve"> do SZOOP EFRR</w:t>
            </w:r>
            <w:r>
              <w:t xml:space="preserve"> (dot. budynków użyteczności publicznej) lub Załącznik nr 8a do SZOOP EFRR (dotyczy budynków mieszkalnych)</w:t>
            </w:r>
          </w:p>
        </w:tc>
      </w:tr>
      <w:tr w:rsidR="00E81825" w:rsidRPr="00997DD2" w:rsidTr="00E81825">
        <w:trPr>
          <w:trHeight w:val="40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/>
              <w:jc w:val="center"/>
            </w:pPr>
            <w:r>
              <w:t>4</w:t>
            </w:r>
            <w:r w:rsidRPr="007B1D0F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 w:line="240" w:lineRule="auto"/>
            </w:pPr>
            <w:r w:rsidRPr="007B1D0F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before="240"/>
              <w:jc w:val="both"/>
            </w:pPr>
            <w:r w:rsidRPr="007B1D0F">
              <w:t>W ramach działania, dofinansowanie otrzymają wyłącznie inwestycje, w ramach których nowe (bardziej ekologiczne) źródła ciepła:</w:t>
            </w:r>
          </w:p>
          <w:p w:rsidR="00E81825" w:rsidRPr="001B0430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 w:rsidRPr="007B1D0F">
              <w:t xml:space="preserve">będą wyposażone w automatyczny podajnik paliwa (nie dotyczy kotłów zgazowujących) </w:t>
            </w:r>
            <w:r>
              <w:br/>
            </w:r>
            <w:r w:rsidRPr="007B1D0F">
              <w:t>i nie będą posiadały rusztu awaryjnego ani elementów umożliwiających jego zamontowanie;</w:t>
            </w:r>
          </w:p>
          <w:p w:rsidR="00E81825" w:rsidRDefault="00E81825" w:rsidP="00E81825">
            <w:pPr>
              <w:spacing w:before="120" w:after="120"/>
              <w:ind w:left="226"/>
              <w:jc w:val="both"/>
            </w:pPr>
            <w:r>
              <w:t>- ch</w:t>
            </w:r>
            <w:r w:rsidRPr="007B1D0F">
              <w:t xml:space="preserve">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</w:t>
            </w:r>
            <w:r>
              <w:br/>
            </w:r>
            <w:r w:rsidRPr="007B1D0F">
              <w:t xml:space="preserve">z energią (jeśli dotyczy). Wymóg dotyczy wszystkich paliw dopuszczonych do stosowania </w:t>
            </w:r>
            <w:r>
              <w:br/>
            </w:r>
            <w:r w:rsidRPr="007B1D0F">
              <w:t>w instrukcji użytkowania urządzenia.</w:t>
            </w:r>
          </w:p>
          <w:p w:rsidR="00E81825" w:rsidRPr="00A805B1" w:rsidRDefault="00E81825" w:rsidP="00E81825">
            <w:pPr>
              <w:spacing w:after="0"/>
            </w:pPr>
            <w:r w:rsidRPr="00A805B1">
              <w:t xml:space="preserve">Środki wykonawcze do dyrektywy 2009/125/WE z dnia 21 października 2009 r. ustanawiającej ogólne zasady ustalania wymogów dotyczących ekoprojektu dla produktów związanych z energią to w szczególności: </w:t>
            </w:r>
          </w:p>
          <w:p w:rsidR="00E81825" w:rsidRPr="00A805B1" w:rsidRDefault="00E81825" w:rsidP="00E81825">
            <w:pPr>
              <w:numPr>
                <w:ilvl w:val="0"/>
                <w:numId w:val="2"/>
              </w:numPr>
              <w:spacing w:after="0" w:line="276" w:lineRule="auto"/>
              <w:ind w:left="226" w:hanging="141"/>
            </w:pPr>
            <w:r w:rsidRPr="00A805B1">
              <w:t>rozporządzenie Komisji (UE) 2015/1185 z dnia 24 kwietnia 2015 r. w sprawie wykonania dyrektywy Parlamentu Europejskiego i Rady 2009/125/WE w odniesieniu do wymogów dotyczących ekoprojektu dla miejscowych ogrzewaczy pomieszczeń na paliwo stałe</w:t>
            </w:r>
            <w:r>
              <w:t>,</w:t>
            </w:r>
          </w:p>
          <w:p w:rsidR="00E81825" w:rsidRPr="00A805B1" w:rsidRDefault="00E81825" w:rsidP="00E81825">
            <w:pPr>
              <w:numPr>
                <w:ilvl w:val="0"/>
                <w:numId w:val="2"/>
              </w:numPr>
              <w:spacing w:after="0" w:line="276" w:lineRule="auto"/>
              <w:ind w:left="226" w:hanging="141"/>
            </w:pPr>
            <w:r w:rsidRPr="00A805B1">
              <w:t>rozporządzenie Komisji (UE) 2015/1188 z dnia 28 kwietnia 2015 r. w sprawie wykonania dyrektywy Parlamentu Europejskiego i Rady 2009/125/WE w odniesieniu do wymogów dotyczących ekoprojektu dla miejscowych ogrzewaczy pomieszczeń</w:t>
            </w:r>
            <w:r>
              <w:t>,</w:t>
            </w:r>
          </w:p>
          <w:p w:rsidR="00E81825" w:rsidRPr="00A805B1" w:rsidRDefault="00E81825" w:rsidP="00E81825">
            <w:pPr>
              <w:numPr>
                <w:ilvl w:val="0"/>
                <w:numId w:val="2"/>
              </w:numPr>
              <w:spacing w:after="0" w:line="276" w:lineRule="auto"/>
              <w:ind w:left="226" w:hanging="141"/>
            </w:pPr>
            <w:r w:rsidRPr="00A805B1">
              <w:t>rozporządzenie Komisji (UE) 2015/1189 z dnia 28 kwietnia 2015 r. w sprawie wykonania dyrektywy Parlamentu Europejskiego i Rady 2009/125/WE w odniesieniu do wymogów dotyczących ekoprojektu dla kotłów na paliwo stałe.</w:t>
            </w:r>
          </w:p>
          <w:p w:rsidR="00E81825" w:rsidRPr="00544A15" w:rsidRDefault="00E81825" w:rsidP="00E81825">
            <w:pPr>
              <w:spacing w:before="120" w:after="120"/>
              <w:ind w:left="226"/>
              <w:jc w:val="both"/>
            </w:pPr>
            <w:r>
              <w:t>Komitet Monitorujący RPO WO 2014 – 2020 upoważnia Instytucję Orgaznizującą Konkurs do doprecyzowania w Regulaminie Konkursu przepisów prawa, które będą obowiązywały w ramach konkursu.</w:t>
            </w:r>
          </w:p>
        </w:tc>
      </w:tr>
      <w:tr w:rsidR="00E81825" w:rsidRPr="00997DD2" w:rsidTr="00E81825">
        <w:trPr>
          <w:trHeight w:val="3628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/>
              <w:jc w:val="center"/>
            </w:pPr>
            <w:r>
              <w:lastRenderedPageBreak/>
              <w:t>5</w:t>
            </w:r>
            <w:r w:rsidRPr="007B1D0F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7B1D0F" w:rsidRDefault="00E81825" w:rsidP="00E81825">
            <w:pPr>
              <w:spacing w:after="0" w:line="240" w:lineRule="auto"/>
            </w:pPr>
            <w:r w:rsidRPr="007B1D0F">
              <w:t>Ograniczenie emisji CO</w:t>
            </w:r>
            <w:r w:rsidRPr="007B1D0F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7B1D0F" w:rsidRDefault="00E81825" w:rsidP="00E81825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/>
              <w:jc w:val="both"/>
            </w:pPr>
            <w:r w:rsidRPr="007B1D0F">
              <w:t>Projekt przyczynia się do redukcji emisji gazów cieplarnianych mierzonej jako ekwiwalent CO</w:t>
            </w:r>
            <w:r w:rsidRPr="007B1D0F">
              <w:rPr>
                <w:vertAlign w:val="subscript"/>
              </w:rPr>
              <w:t>2</w:t>
            </w:r>
            <w:r w:rsidRPr="007B1D0F">
              <w:t>. Analizie poddane zostaną dane wynikające z wniosku o dofinansowanie (wybór i określenie wartości docelowej innej niż zero dla wskaźnika „</w:t>
            </w:r>
            <w:r w:rsidRPr="007B1D0F">
              <w:rPr>
                <w:i/>
              </w:rPr>
              <w:t>Szacowany roczny spadek emisji gazów cieplarnianych”</w:t>
            </w:r>
            <w:r w:rsidRPr="007B1D0F">
              <w:t xml:space="preserve">) oraz </w:t>
            </w:r>
            <w:r w:rsidRPr="007B1D0F">
              <w:rPr>
                <w:i/>
              </w:rPr>
              <w:t>Studium Wykonalności Inwestycji</w:t>
            </w:r>
            <w:r w:rsidRPr="007B1D0F">
              <w:t>, tj. sekcji H pn. „</w:t>
            </w:r>
            <w:r w:rsidRPr="007B1D0F">
              <w:rPr>
                <w:i/>
              </w:rPr>
              <w:t xml:space="preserve">Specyficzne analizy </w:t>
            </w:r>
            <w:r w:rsidRPr="007B1D0F">
              <w:rPr>
                <w:i/>
              </w:rPr>
              <w:br/>
              <w:t>dla danego rodzaju projektu/sektora”</w:t>
            </w:r>
            <w:r w:rsidRPr="007B1D0F">
              <w:t>.</w:t>
            </w:r>
          </w:p>
          <w:p w:rsidR="00E81825" w:rsidRPr="007B1D0F" w:rsidRDefault="00E81825" w:rsidP="00E81825">
            <w:pPr>
              <w:spacing w:before="240" w:after="0"/>
              <w:jc w:val="both"/>
            </w:pPr>
            <w:r w:rsidRPr="007B1D0F">
              <w:t>Projekty, w których przewidziano wymianę istniejących pieców gazowych, uzyskają dofinansowanie tylko w przypadku, gdy skutkować będą redukcją emisji CO</w:t>
            </w:r>
            <w:r w:rsidRPr="007B1D0F">
              <w:rPr>
                <w:vertAlign w:val="subscript"/>
              </w:rPr>
              <w:t xml:space="preserve">2 </w:t>
            </w:r>
            <w:r w:rsidRPr="007B1D0F">
              <w:rPr>
                <w:vertAlign w:val="subscript"/>
              </w:rPr>
              <w:br/>
            </w:r>
            <w:r w:rsidRPr="007B1D0F">
              <w:t>o co najmniej 30% w odniesieniu do istniejących instalacji (dotyczy typu projektu nr 1).</w:t>
            </w:r>
          </w:p>
        </w:tc>
      </w:tr>
      <w:tr w:rsidR="00E81825" w:rsidRPr="00997DD2" w:rsidTr="00E26D4C">
        <w:trPr>
          <w:trHeight w:val="297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6</w:t>
            </w:r>
            <w:r w:rsidRPr="00287177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 w:rsidRPr="00287177">
              <w:t xml:space="preserve">Ograniczenie emisji </w:t>
            </w:r>
            <w:r w:rsidRPr="00287177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/>
              <w:jc w:val="both"/>
            </w:pPr>
            <w:r w:rsidRPr="00287177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287177">
              <w:br/>
            </w:r>
            <w:r w:rsidRPr="00287177">
              <w:rPr>
                <w:i/>
              </w:rPr>
              <w:t>Studium Wykonalności Inwestycji</w:t>
            </w:r>
            <w:r w:rsidRPr="00287177">
              <w:t>, tj.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 xml:space="preserve">. </w:t>
            </w:r>
          </w:p>
        </w:tc>
      </w:tr>
      <w:tr w:rsidR="00E81825" w:rsidRPr="00997DD2" w:rsidTr="00E26D4C">
        <w:trPr>
          <w:trHeight w:val="2819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7</w:t>
            </w:r>
            <w:r w:rsidRPr="00287177"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 w:rsidRPr="00287177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/>
              <w:jc w:val="both"/>
            </w:pPr>
            <w:r w:rsidRPr="00287177">
              <w:t xml:space="preserve">Dofinansowanie uzyskają projekty spełniające kryterium efektywności kosztowej w powiązaniu </w:t>
            </w:r>
            <w:r w:rsidRPr="00287177">
              <w:br/>
              <w:t xml:space="preserve">z osiąganymi efektami społeczno-gospodarczymi (w tym zmniejszenie kosztów zużycia paliw) </w:t>
            </w:r>
            <w:r w:rsidRPr="00287177">
              <w:br/>
              <w:t xml:space="preserve">w stosunku do planowanych nakładów finansowych. Wskaźnik ekonomicznej wartości netto </w:t>
            </w:r>
            <w:r w:rsidRPr="00287177">
              <w:br/>
              <w:t>dla projektu jest dodatni, ENPV&gt;0.</w:t>
            </w:r>
          </w:p>
        </w:tc>
      </w:tr>
      <w:tr w:rsidR="00E81825" w:rsidRPr="00997DD2" w:rsidTr="00E26D4C">
        <w:trPr>
          <w:trHeight w:val="239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Default="00E81825" w:rsidP="00E81825">
            <w:pPr>
              <w:spacing w:after="0" w:line="240" w:lineRule="auto"/>
            </w:pPr>
            <w:r>
              <w:t>Realizacja projektu w oparciu o ś</w:t>
            </w:r>
            <w:r w:rsidRPr="00B64C74">
              <w:t>wiadectwo charakterystyki energetycznej budynku</w:t>
            </w:r>
            <w:r>
              <w:t xml:space="preserve"> lub audyt energetyczny </w:t>
            </w:r>
          </w:p>
          <w:p w:rsidR="00E81825" w:rsidRPr="00287177" w:rsidRDefault="00E81825" w:rsidP="00E81825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E81825" w:rsidRPr="00287177" w:rsidRDefault="00E81825" w:rsidP="00E81825">
            <w:pPr>
              <w:spacing w:after="0"/>
              <w:jc w:val="both"/>
            </w:pPr>
            <w:r>
              <w:t>Projekty dot. budynków użyteczności publicznej zostaną objęte wsparciem  wyłącznie wtedy, gdy dla budynku sporządzony został audyt energetyczny lub budynek posiada świadectwo charakterystyki energetycznej.</w:t>
            </w:r>
          </w:p>
        </w:tc>
      </w:tr>
    </w:tbl>
    <w:p w:rsidR="00E81825" w:rsidRDefault="00E81825"/>
    <w:tbl>
      <w:tblPr>
        <w:tblW w:w="1532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2265"/>
        <w:gridCol w:w="1417"/>
        <w:gridCol w:w="851"/>
        <w:gridCol w:w="1539"/>
        <w:gridCol w:w="8793"/>
      </w:tblGrid>
      <w:tr w:rsidR="00E81825" w:rsidRPr="00997DD2" w:rsidTr="00E81825">
        <w:trPr>
          <w:trHeight w:val="549"/>
          <w:jc w:val="center"/>
        </w:trPr>
        <w:tc>
          <w:tcPr>
            <w:tcW w:w="1532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E81825" w:rsidRPr="00997DD2" w:rsidTr="00E81825">
        <w:trPr>
          <w:trHeight w:val="386"/>
          <w:jc w:val="center"/>
        </w:trPr>
        <w:tc>
          <w:tcPr>
            <w:tcW w:w="459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793" w:type="dxa"/>
            <w:shd w:val="clear" w:color="auto" w:fill="D9D9D9"/>
            <w:vAlign w:val="center"/>
          </w:tcPr>
          <w:p w:rsidR="00E81825" w:rsidRPr="00997DD2" w:rsidRDefault="00E81825" w:rsidP="00E81825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E81825" w:rsidRPr="00997DD2" w:rsidTr="00E81825">
        <w:trPr>
          <w:trHeight w:val="127"/>
          <w:jc w:val="center"/>
        </w:trPr>
        <w:tc>
          <w:tcPr>
            <w:tcW w:w="4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79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E81825" w:rsidRPr="00997DD2" w:rsidRDefault="00E81825" w:rsidP="00E81825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E81825" w:rsidRPr="00997DD2" w:rsidTr="00E81825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 w:rsidRPr="00287177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620EEB" w:rsidRDefault="00E81825" w:rsidP="00E81825">
            <w:pPr>
              <w:spacing w:after="0"/>
              <w:rPr>
                <w:rFonts w:cstheme="minorHAnsi"/>
              </w:rPr>
            </w:pPr>
            <w:r w:rsidRPr="00287177">
              <w:t>Kryterium środowiskowe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:rsidR="00E81825" w:rsidRPr="00620EEB" w:rsidRDefault="00E81825" w:rsidP="00E81825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:rsidR="00E81825" w:rsidRPr="00620EEB" w:rsidRDefault="00E81825" w:rsidP="00E81825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  <w:p w:rsidR="00E81825" w:rsidRPr="00287177" w:rsidRDefault="00E81825" w:rsidP="00E8182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/>
              <w:jc w:val="both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</w:t>
            </w:r>
            <w:r>
              <w:br/>
            </w:r>
            <w:r w:rsidRPr="00287177">
              <w:t xml:space="preserve">przy jednocześnie jak najniższych nakładach finansowych. </w:t>
            </w:r>
          </w:p>
          <w:p w:rsidR="00E81825" w:rsidRPr="00287177" w:rsidRDefault="00E81825" w:rsidP="00E81825">
            <w:pPr>
              <w:spacing w:after="0" w:line="240" w:lineRule="auto"/>
            </w:pPr>
            <w:r w:rsidRPr="00287177">
              <w:t>Wpływ będzie mierzony wg wzoru:</w:t>
            </w:r>
          </w:p>
          <w:p w:rsidR="00E81825" w:rsidRPr="00287177" w:rsidRDefault="00E81825" w:rsidP="00E81825">
            <w:pPr>
              <w:spacing w:after="0" w:line="240" w:lineRule="auto"/>
              <w:rPr>
                <w:sz w:val="8"/>
                <w:szCs w:val="8"/>
              </w:rPr>
            </w:pPr>
          </w:p>
          <w:p w:rsidR="00E81825" w:rsidRPr="00287177" w:rsidRDefault="00E81825" w:rsidP="00E81825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:rsidR="00E81825" w:rsidRPr="00287177" w:rsidRDefault="00E81825" w:rsidP="00E81825">
            <w:pPr>
              <w:spacing w:before="240"/>
              <w:jc w:val="both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E81825" w:rsidRDefault="00E81825" w:rsidP="00E81825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:rsidR="00E81825" w:rsidRPr="007565BE" w:rsidRDefault="00E81825" w:rsidP="00E81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:rsidR="00E81825" w:rsidRPr="007565BE" w:rsidRDefault="00E81825" w:rsidP="00E81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:rsidR="00E81825" w:rsidRPr="00287177" w:rsidRDefault="00E81825" w:rsidP="00E81825">
            <w:pPr>
              <w:spacing w:before="240" w:after="0"/>
              <w:jc w:val="both"/>
            </w:pPr>
            <w:r w:rsidRPr="00287177">
              <w:t xml:space="preserve">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E81825" w:rsidRPr="00997DD2" w:rsidTr="00E81825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041F2B" w:rsidRDefault="00E81825" w:rsidP="00E81825">
            <w:pPr>
              <w:spacing w:after="0" w:line="240" w:lineRule="auto"/>
            </w:pPr>
            <w:r w:rsidRPr="00041F2B">
              <w:t>Kryterium środowiskowe</w:t>
            </w:r>
          </w:p>
          <w:p w:rsidR="00E81825" w:rsidRPr="00287177" w:rsidRDefault="00E81825" w:rsidP="00E81825">
            <w:pPr>
              <w:spacing w:after="0"/>
            </w:pPr>
            <w:r w:rsidRPr="00041F2B">
              <w:rPr>
                <w:i/>
              </w:rPr>
              <w:t>(dotyczy budynków użyteczności publicznej)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041F2B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 w:rsidRPr="00041F2B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041F2B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041F2B" w:rsidRDefault="00E81825" w:rsidP="00E81825">
            <w:pPr>
              <w:spacing w:before="120" w:after="0" w:line="240" w:lineRule="auto"/>
            </w:pPr>
            <w:r w:rsidRPr="00041F2B">
              <w:t>Premiowane będą projekty, które w największym stopniu wpłyną na redukcję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. </w:t>
            </w:r>
          </w:p>
          <w:p w:rsidR="00E81825" w:rsidRPr="00041F2B" w:rsidRDefault="00E81825" w:rsidP="00E81825">
            <w:pPr>
              <w:spacing w:before="120" w:after="0" w:line="240" w:lineRule="auto"/>
            </w:pPr>
            <w:r w:rsidRPr="00041F2B">
              <w:t>Obliczenia poziomu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według wskazanej metodologii*, Wnioskodawca ma obowiązek przedstawić w </w:t>
            </w:r>
            <w:r w:rsidRPr="00041F2B">
              <w:rPr>
                <w:i/>
              </w:rPr>
              <w:t>Studium Wykonalności Inwestycji</w:t>
            </w:r>
            <w:r w:rsidRPr="00041F2B">
              <w:t>, tj. w sekcji H pn. „</w:t>
            </w:r>
            <w:r w:rsidRPr="00041F2B">
              <w:rPr>
                <w:i/>
              </w:rPr>
              <w:t>Specyficzne analizy dla danego rodzaju projektu/sektora”</w:t>
            </w:r>
            <w:r w:rsidRPr="00041F2B">
              <w:t>.</w:t>
            </w:r>
          </w:p>
          <w:p w:rsidR="00E81825" w:rsidRPr="00041F2B" w:rsidRDefault="00E81825" w:rsidP="00E81825">
            <w:pPr>
              <w:spacing w:before="120" w:after="0" w:line="240" w:lineRule="auto"/>
              <w:rPr>
                <w:b/>
              </w:rPr>
            </w:pPr>
            <w:r w:rsidRPr="00041F2B">
              <w:t xml:space="preserve">Rankingowanie </w:t>
            </w:r>
            <w:r>
              <w:t xml:space="preserve">wg </w:t>
            </w:r>
            <w:r w:rsidRPr="00041F2B">
              <w:t>redukcji emisji CO</w:t>
            </w:r>
            <w:r w:rsidRPr="00041F2B">
              <w:rPr>
                <w:vertAlign w:val="subscript"/>
              </w:rPr>
              <w:t xml:space="preserve">2 </w:t>
            </w:r>
            <w:r w:rsidRPr="00041F2B">
              <w:t>w ramach realizacji projektu [Mg]. Otrzymane wartości dla poszczególnych projektów zostaną zestawione ze sobą, a następnie podzielone na cztery przedziały.</w:t>
            </w:r>
            <w:r w:rsidRPr="00041F2B">
              <w:rPr>
                <w:b/>
              </w:rPr>
              <w:t xml:space="preserve"> </w:t>
            </w:r>
          </w:p>
          <w:p w:rsidR="00E81825" w:rsidRPr="00287177" w:rsidRDefault="00E81825" w:rsidP="00E81825">
            <w:pPr>
              <w:spacing w:after="0"/>
              <w:jc w:val="both"/>
            </w:pPr>
            <w:r w:rsidRPr="00041F2B">
              <w:rPr>
                <w:b/>
              </w:rPr>
              <w:t>Projekty o najwyższej wartości wskaźnika otrzymają najwięcej punktów.</w:t>
            </w:r>
            <w:r w:rsidRPr="00041F2B">
              <w:t xml:space="preserve"> Zakwalifikowanie do konkretnego przedziału uzależnione jest od wartości ilościowej redukcji emisji CO</w:t>
            </w:r>
            <w:r w:rsidRPr="00041F2B">
              <w:rPr>
                <w:vertAlign w:val="subscript"/>
              </w:rPr>
              <w:t>2</w:t>
            </w:r>
            <w:r w:rsidRPr="00041F2B">
              <w:t xml:space="preserve"> w ramach realizacji projektu.</w:t>
            </w:r>
          </w:p>
        </w:tc>
      </w:tr>
      <w:tr w:rsidR="00E81825" w:rsidRPr="00997DD2" w:rsidTr="00E81825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3</w:t>
            </w:r>
            <w:r w:rsidRPr="00287177">
              <w:t>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620EEB" w:rsidRDefault="00E81825" w:rsidP="00E81825">
            <w:pPr>
              <w:spacing w:after="0"/>
              <w:rPr>
                <w:rFonts w:cstheme="minorHAnsi"/>
              </w:rPr>
            </w:pPr>
            <w:r w:rsidRPr="00287177">
              <w:t>Kryterium emisyjne</w:t>
            </w:r>
            <w:r>
              <w:t xml:space="preserve"> – nakład jednostkowy </w:t>
            </w:r>
            <w:r w:rsidRPr="00620EEB">
              <w:t xml:space="preserve">(dotyczy </w:t>
            </w:r>
            <w:r w:rsidRPr="00620EEB">
              <w:rPr>
                <w:rFonts w:cstheme="minorHAnsi"/>
              </w:rPr>
              <w:t>budynków jednorodzinnych,</w:t>
            </w:r>
          </w:p>
          <w:p w:rsidR="00E81825" w:rsidRPr="00620EEB" w:rsidRDefault="00E81825" w:rsidP="00E81825">
            <w:pPr>
              <w:spacing w:after="0"/>
              <w:rPr>
                <w:rFonts w:cstheme="minorHAnsi"/>
              </w:rPr>
            </w:pPr>
            <w:r w:rsidRPr="00620EEB">
              <w:rPr>
                <w:rFonts w:cstheme="minorHAnsi"/>
              </w:rPr>
              <w:t>budynków wielorodzinnych zarządzanych przez wspólnoty,</w:t>
            </w:r>
          </w:p>
          <w:p w:rsidR="00E81825" w:rsidRDefault="00E81825" w:rsidP="00E81825">
            <w:pPr>
              <w:spacing w:after="0" w:line="240" w:lineRule="auto"/>
            </w:pPr>
            <w:r w:rsidRPr="00620EEB">
              <w:rPr>
                <w:rFonts w:cstheme="minorHAnsi"/>
              </w:rPr>
              <w:lastRenderedPageBreak/>
              <w:t>budynków i lokali mieszk</w:t>
            </w:r>
            <w:r>
              <w:rPr>
                <w:rFonts w:cstheme="minorHAnsi"/>
              </w:rPr>
              <w:t>alnych stanowiących zasób gminy)</w:t>
            </w:r>
          </w:p>
          <w:p w:rsidR="00E81825" w:rsidRPr="00602903" w:rsidRDefault="00E81825" w:rsidP="00E81825"/>
          <w:p w:rsidR="00E81825" w:rsidRDefault="00E81825" w:rsidP="00E81825"/>
          <w:p w:rsidR="00E81825" w:rsidRPr="00602903" w:rsidRDefault="00E81825" w:rsidP="00E81825"/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lastRenderedPageBreak/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/>
              <w:jc w:val="both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:rsidR="00E81825" w:rsidRPr="00287177" w:rsidRDefault="00E81825" w:rsidP="00E81825">
            <w:pPr>
              <w:spacing w:after="0" w:line="240" w:lineRule="auto"/>
            </w:pPr>
            <w:r w:rsidRPr="00287177">
              <w:t>Wpływ będzie mierzony wg wzoru:</w:t>
            </w:r>
          </w:p>
          <w:p w:rsidR="00E81825" w:rsidRPr="00287177" w:rsidRDefault="00E81825" w:rsidP="00E81825">
            <w:pPr>
              <w:spacing w:after="0" w:line="240" w:lineRule="auto"/>
              <w:rPr>
                <w:sz w:val="8"/>
                <w:szCs w:val="8"/>
              </w:rPr>
            </w:pPr>
          </w:p>
          <w:p w:rsidR="00E81825" w:rsidRPr="00287177" w:rsidRDefault="00E81825" w:rsidP="00E81825">
            <w:pPr>
              <w:spacing w:after="0"/>
              <w:jc w:val="both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:rsidR="00E81825" w:rsidRPr="00287177" w:rsidRDefault="00E81825" w:rsidP="00E81825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E81825" w:rsidRPr="00287177" w:rsidRDefault="00E81825" w:rsidP="00E81825">
            <w:pPr>
              <w:spacing w:after="0"/>
              <w:jc w:val="both"/>
            </w:pPr>
            <w:r w:rsidRPr="00287177">
              <w:lastRenderedPageBreak/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 xml:space="preserve">, tj. w sekcji H </w:t>
            </w:r>
            <w:r>
              <w:br/>
            </w:r>
            <w:r w:rsidRPr="00287177">
              <w:t>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E81825" w:rsidRDefault="00E81825" w:rsidP="00E81825">
            <w:pPr>
              <w:spacing w:after="0" w:line="240" w:lineRule="auto"/>
            </w:pPr>
            <w:r w:rsidRPr="00287177">
              <w:t xml:space="preserve">Rankingowanie wg obliczonej wartości nakładu jednostkowego. </w:t>
            </w:r>
            <w:r>
              <w:t>Rankingowanie sporządzane będzie osobno dla następujących budynków:</w:t>
            </w:r>
          </w:p>
          <w:p w:rsidR="00E81825" w:rsidRPr="007565BE" w:rsidRDefault="00E81825" w:rsidP="00E81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jednorodzinn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i wielorodzinn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zarządzan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przez wspólnoty, </w:t>
            </w:r>
          </w:p>
          <w:p w:rsidR="00E81825" w:rsidRPr="007565BE" w:rsidRDefault="00E81825" w:rsidP="00E81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8"/>
              <w:contextualSpacing w:val="0"/>
              <w:rPr>
                <w:rFonts w:asciiTheme="minorHAnsi" w:hAnsiTheme="minorHAnsi"/>
              </w:rPr>
            </w:pPr>
            <w:r w:rsidRPr="007565BE">
              <w:rPr>
                <w:rFonts w:asciiTheme="minorHAnsi" w:hAnsiTheme="minorHAnsi"/>
              </w:rPr>
              <w:t>budynk</w:t>
            </w:r>
            <w:r>
              <w:rPr>
                <w:rFonts w:asciiTheme="minorHAnsi" w:hAnsiTheme="minorHAnsi"/>
              </w:rPr>
              <w:t>i</w:t>
            </w:r>
            <w:r w:rsidRPr="007565BE">
              <w:rPr>
                <w:rFonts w:asciiTheme="minorHAnsi" w:hAnsiTheme="minorHAnsi"/>
              </w:rPr>
              <w:t xml:space="preserve"> i lokal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mieszkaln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stanowiąc</w:t>
            </w:r>
            <w:r>
              <w:rPr>
                <w:rFonts w:asciiTheme="minorHAnsi" w:hAnsiTheme="minorHAnsi"/>
              </w:rPr>
              <w:t>e</w:t>
            </w:r>
            <w:r w:rsidRPr="007565BE">
              <w:rPr>
                <w:rFonts w:asciiTheme="minorHAnsi" w:hAnsiTheme="minorHAnsi"/>
              </w:rPr>
              <w:t xml:space="preserve"> zasób gminy</w:t>
            </w:r>
            <w:r>
              <w:rPr>
                <w:rFonts w:asciiTheme="minorHAnsi" w:hAnsiTheme="minorHAnsi"/>
              </w:rPr>
              <w:t>.</w:t>
            </w:r>
          </w:p>
          <w:p w:rsidR="00E81825" w:rsidRPr="00287177" w:rsidRDefault="00E81825" w:rsidP="00E81825">
            <w:pPr>
              <w:spacing w:before="240" w:after="0"/>
              <w:jc w:val="both"/>
            </w:pPr>
            <w:r w:rsidRPr="00287177">
              <w:t>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E81825" w:rsidRPr="00997DD2" w:rsidTr="00E81825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lastRenderedPageBreak/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73DE8" w:rsidRDefault="00E81825" w:rsidP="00E81825">
            <w:pPr>
              <w:spacing w:after="0" w:line="240" w:lineRule="auto"/>
            </w:pPr>
            <w:r w:rsidRPr="00273DE8">
              <w:t>Kryterium emisyjne</w:t>
            </w:r>
          </w:p>
          <w:p w:rsidR="00E81825" w:rsidRPr="00287177" w:rsidRDefault="00E81825" w:rsidP="00E81825">
            <w:pPr>
              <w:spacing w:after="0"/>
            </w:pPr>
            <w:r w:rsidRPr="00273DE8">
              <w:t>(dotyczy budynków użyteczności publicznej)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 xml:space="preserve">1 – </w:t>
            </w:r>
            <w:r>
              <w:t>4</w:t>
            </w:r>
            <w:r w:rsidRPr="00287177">
              <w:t>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73DE8" w:rsidRDefault="00E81825" w:rsidP="00E81825">
            <w:pPr>
              <w:spacing w:before="120" w:after="0" w:line="240" w:lineRule="auto"/>
            </w:pPr>
            <w:r w:rsidRPr="00273DE8">
              <w:t>Premiowane będą projekty, które w największym stopniu wpłyną na redukcję emisji pyłu zawieszonego PM10.</w:t>
            </w:r>
          </w:p>
          <w:p w:rsidR="00E81825" w:rsidRPr="00273DE8" w:rsidRDefault="00E81825" w:rsidP="00E81825">
            <w:pPr>
              <w:spacing w:before="120" w:after="0" w:line="240" w:lineRule="auto"/>
            </w:pPr>
            <w:r w:rsidRPr="00273DE8">
              <w:t xml:space="preserve">Obliczenia poziomu redukcji emisji pyłu zawieszonego PM10 według wskazanej metodologii**, Wnioskodawca ma obowiązek przedstawić w </w:t>
            </w:r>
            <w:r w:rsidRPr="00273DE8">
              <w:rPr>
                <w:i/>
              </w:rPr>
              <w:t>Studium Wykonalności Inwestycji</w:t>
            </w:r>
            <w:r w:rsidRPr="00273DE8">
              <w:t>, tj. w sekcji H pn. „</w:t>
            </w:r>
            <w:r w:rsidRPr="00273DE8">
              <w:rPr>
                <w:i/>
              </w:rPr>
              <w:t>Specyficzne analizy dla danego rodzaju projektu/sektora”</w:t>
            </w:r>
            <w:r w:rsidRPr="00273DE8">
              <w:t>.</w:t>
            </w:r>
          </w:p>
          <w:p w:rsidR="00E81825" w:rsidRPr="00127334" w:rsidRDefault="00E81825" w:rsidP="00E81825">
            <w:pPr>
              <w:spacing w:before="120" w:after="0" w:line="240" w:lineRule="auto"/>
            </w:pPr>
            <w:r w:rsidRPr="00273DE8">
              <w:t>Rankingowanie</w:t>
            </w:r>
            <w:r>
              <w:t xml:space="preserve"> wg </w:t>
            </w:r>
            <w:r w:rsidRPr="00127334">
              <w:t>redukcji emisji pyłu zawieszonego PM10 w ramach realizacji projektu [Mg]</w:t>
            </w:r>
          </w:p>
          <w:p w:rsidR="00E81825" w:rsidRPr="00273DE8" w:rsidRDefault="00E81825" w:rsidP="00E81825">
            <w:pPr>
              <w:spacing w:before="120" w:after="0" w:line="240" w:lineRule="auto"/>
              <w:rPr>
                <w:b/>
              </w:rPr>
            </w:pPr>
            <w:r w:rsidRPr="00273DE8">
              <w:t>Otrzymane wartości dla poszczególnych projektów zostaną zestawione ze sobą, a następnie podzielone na cztery przedziały.</w:t>
            </w:r>
            <w:r w:rsidRPr="00273DE8">
              <w:rPr>
                <w:b/>
              </w:rPr>
              <w:t xml:space="preserve"> </w:t>
            </w:r>
          </w:p>
          <w:p w:rsidR="00E81825" w:rsidRPr="00287177" w:rsidRDefault="00E81825" w:rsidP="00E81825">
            <w:pPr>
              <w:spacing w:after="0"/>
              <w:jc w:val="both"/>
            </w:pPr>
            <w:r w:rsidRPr="00273DE8">
              <w:rPr>
                <w:b/>
              </w:rPr>
              <w:t>Projekty o najwyższej wartości wskaźnika otrzymają najwięcej punktów.</w:t>
            </w:r>
            <w:r w:rsidRPr="00273DE8">
              <w:t xml:space="preserve"> Zakwalifikowanie do konkretnego przedziału uzależnione jest od wartości ilościowej redukcji emisji pyłu zawieszonego PM10 w ramach realizacji projektu.</w:t>
            </w:r>
          </w:p>
        </w:tc>
      </w:tr>
      <w:tr w:rsidR="00E81825" w:rsidRPr="00997DD2" w:rsidTr="00E81825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>
              <w:t>Poprawa efektywności energetycznej (w %)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1-3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120" w:line="240" w:lineRule="auto"/>
            </w:pPr>
            <w:r>
              <w:t>Premiowane będą projekty, w których oszczędność energii w odniesieniu do stanu początkowego, obliczana dla energii pierwotnej – X, wynosi:</w:t>
            </w:r>
          </w:p>
          <w:p w:rsidR="00E81825" w:rsidRDefault="00E81825" w:rsidP="00E81825">
            <w:pPr>
              <w:spacing w:after="120" w:line="240" w:lineRule="auto"/>
            </w:pPr>
            <w:r>
              <w:t>≥25% ≤  40% - 1 pkt.</w:t>
            </w:r>
          </w:p>
          <w:p w:rsidR="00E81825" w:rsidRDefault="00E81825" w:rsidP="00E81825">
            <w:pPr>
              <w:spacing w:after="120" w:line="240" w:lineRule="auto"/>
            </w:pPr>
            <w:r>
              <w:t>&gt;40% &lt; 60% - 2 pkt.</w:t>
            </w:r>
          </w:p>
          <w:p w:rsidR="00E81825" w:rsidRDefault="00E81825" w:rsidP="00E81825">
            <w:pPr>
              <w:spacing w:after="0"/>
            </w:pPr>
            <w:r>
              <w:t>≥60% - 3 pkt.</w:t>
            </w:r>
          </w:p>
          <w:p w:rsidR="00E81825" w:rsidRPr="00287177" w:rsidRDefault="00E81825" w:rsidP="00E81825">
            <w:pPr>
              <w:spacing w:after="0"/>
              <w:jc w:val="both"/>
            </w:pPr>
            <w:r>
              <w:t xml:space="preserve">Oszczędność energii dokumentowana będzie na podstawie charakterystyki energetycznej budynku ex post.  </w:t>
            </w:r>
          </w:p>
        </w:tc>
      </w:tr>
      <w:tr w:rsidR="00E81825" w:rsidRPr="00997DD2" w:rsidTr="00E81825">
        <w:trPr>
          <w:trHeight w:val="167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6</w:t>
            </w:r>
            <w:r w:rsidRPr="00287177">
              <w:t>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 xml:space="preserve">na którym stwierdzono </w:t>
            </w:r>
            <w:r w:rsidRPr="00A20384">
              <w:rPr>
                <w:rFonts w:cstheme="minorHAnsi"/>
              </w:rPr>
              <w:t>przekroczenie wartości normatywnych stężeń dla jednego lub więcej niż jednego zanieczyszczenia powietrza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0</w:t>
            </w:r>
            <w:r>
              <w:t>, 1</w:t>
            </w:r>
            <w:r w:rsidRPr="00287177">
              <w:t xml:space="preserve">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line="240" w:lineRule="auto"/>
            </w:pPr>
            <w:r w:rsidRPr="00287177">
              <w:t>Premiowane będą projekty zlokalizowane na obszarach</w:t>
            </w:r>
            <w:r>
              <w:t xml:space="preserve">, na </w:t>
            </w:r>
            <w:r w:rsidRPr="005E1F0C">
              <w:t xml:space="preserve"> któr</w:t>
            </w:r>
            <w:r>
              <w:t>ych:</w:t>
            </w:r>
          </w:p>
          <w:p w:rsidR="00E81825" w:rsidRDefault="00E81825" w:rsidP="00E81825">
            <w:pPr>
              <w:spacing w:line="240" w:lineRule="auto"/>
              <w:rPr>
                <w:rFonts w:cstheme="minorHAnsi"/>
              </w:rPr>
            </w:pPr>
            <w:r>
              <w:t xml:space="preserve">- </w:t>
            </w:r>
            <w:r w:rsidRPr="005E1F0C">
              <w:t xml:space="preserve"> w aktualnej na dzień składania wniosku o dofinansowanie ocenie jakości </w:t>
            </w:r>
            <w:r w:rsidRPr="00A20384">
              <w:rPr>
                <w:rFonts w:cstheme="minorHAnsi"/>
              </w:rPr>
              <w:t>powietrza na terenie województwa opolskiego stwierdzono przekroczenie wartości normatywnych stężeń dla jednego lub więcej niż jednego zanieczyszczenia powietrza</w:t>
            </w:r>
            <w:r>
              <w:rPr>
                <w:rFonts w:cstheme="minorHAnsi"/>
              </w:rPr>
              <w:t xml:space="preserve"> </w:t>
            </w:r>
          </w:p>
          <w:p w:rsidR="00E81825" w:rsidRDefault="00E81825" w:rsidP="00E8182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oraz</w:t>
            </w:r>
          </w:p>
          <w:p w:rsidR="00E81825" w:rsidRPr="00A20384" w:rsidRDefault="00E81825" w:rsidP="00E8182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5E1F0C">
              <w:t>w aktualn</w:t>
            </w:r>
            <w:r>
              <w:t xml:space="preserve">ym </w:t>
            </w:r>
            <w:r w:rsidRPr="005E1F0C">
              <w:t xml:space="preserve">na dzień składania wniosku o dofinansowanie </w:t>
            </w:r>
            <w:r>
              <w:t>programie ochrony powietrza</w:t>
            </w:r>
            <w:r w:rsidRPr="00A20384">
              <w:rPr>
                <w:rFonts w:cstheme="minorHAnsi"/>
              </w:rPr>
              <w:t xml:space="preserve"> stwierdzono przekroczenie wartości normatywnych stężeń dla jednego lub więcej niż jednego zanieczyszczenia powietrza.</w:t>
            </w:r>
          </w:p>
          <w:p w:rsidR="00E81825" w:rsidRPr="00287177" w:rsidRDefault="00E81825" w:rsidP="00E81825">
            <w:pPr>
              <w:spacing w:line="240" w:lineRule="auto"/>
            </w:pPr>
            <w:r w:rsidRPr="00287177">
              <w:t xml:space="preserve">Ranking w oparciu o wartość koniecznej do osiągnięcia redukcji </w:t>
            </w:r>
            <w:r>
              <w:t>zanieczyszczeń</w:t>
            </w:r>
            <w:r w:rsidRPr="00287177">
              <w:t xml:space="preserve"> (sposób pomiaru: Mg), wynikającą z danych zawartych w </w:t>
            </w:r>
            <w:r>
              <w:t>ww. dokumentach.</w:t>
            </w:r>
          </w:p>
          <w:p w:rsidR="00E81825" w:rsidRPr="00287177" w:rsidRDefault="00E81825" w:rsidP="00E81825">
            <w:pPr>
              <w:spacing w:before="240" w:after="58" w:line="240" w:lineRule="auto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>ustalana jest przez Ekspertów na etapie oceny merytorycznej, a zakwalifikowanie do konkretnego przedziału uzależnione jest od miejsca realizacji projektu, określonego we wniosku o dofinansowanie.</w:t>
            </w:r>
          </w:p>
          <w:p w:rsidR="00E81825" w:rsidRPr="00287177" w:rsidRDefault="00E81825" w:rsidP="00E81825">
            <w:pPr>
              <w:spacing w:before="240" w:after="58" w:line="240" w:lineRule="auto"/>
            </w:pPr>
            <w:r w:rsidRPr="00287177">
              <w:t xml:space="preserve">Wykaz gmin, w których stwierdzono przekroczenie stężeń dobowych </w:t>
            </w:r>
            <w:r>
              <w:t>zanieczyszczeń</w:t>
            </w:r>
            <w:r w:rsidRPr="00287177">
              <w:t xml:space="preserve">, wraz z odpowiadającą im wartością koniecznej do osiągniecia redukcji,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:rsidR="00E81825" w:rsidRDefault="00E81825" w:rsidP="00E81825">
            <w:pPr>
              <w:spacing w:before="240" w:after="58" w:line="240" w:lineRule="auto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  <w:r>
              <w:t xml:space="preserve"> Rankingowanie ustalone będzie w oparciu o przedziały punktowe od 1 pkt do 4 pkt.</w:t>
            </w:r>
          </w:p>
          <w:p w:rsidR="00E81825" w:rsidRPr="00287177" w:rsidRDefault="00E81825" w:rsidP="00E81825">
            <w:pPr>
              <w:spacing w:before="240" w:after="58" w:line="240" w:lineRule="auto"/>
              <w:jc w:val="both"/>
            </w:pPr>
            <w:r>
              <w:t>W</w:t>
            </w:r>
            <w:r w:rsidRPr="00DD4C57">
              <w:t xml:space="preserve"> regulaminie konkursu </w:t>
            </w:r>
            <w:r>
              <w:t xml:space="preserve">wskazano </w:t>
            </w:r>
            <w:r w:rsidRPr="00DD4C57">
              <w:t>aktualn</w:t>
            </w:r>
            <w:r>
              <w:t>ą</w:t>
            </w:r>
            <w:r w:rsidRPr="00DD4C57">
              <w:t xml:space="preserve"> dla danego konkursu ocen</w:t>
            </w:r>
            <w:r>
              <w:t>ę</w:t>
            </w:r>
            <w:r w:rsidRPr="00DD4C57">
              <w:t xml:space="preserve"> jakości powietrza na terenie województwa </w:t>
            </w:r>
            <w:r>
              <w:t>opolskiego oraz aktualny program ochrony powietrza.</w:t>
            </w:r>
          </w:p>
        </w:tc>
      </w:tr>
      <w:tr w:rsidR="00E81825" w:rsidRPr="00997DD2" w:rsidTr="00E81825">
        <w:trPr>
          <w:trHeight w:val="252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7</w:t>
            </w:r>
            <w:r w:rsidRPr="00287177">
              <w:t>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5329D5">
              <w:t xml:space="preserve">0 – </w:t>
            </w:r>
            <w:r>
              <w:t>4</w:t>
            </w:r>
            <w:r w:rsidRPr="005329D5">
              <w:t>pkt</w:t>
            </w:r>
            <w:r w:rsidRPr="00287177" w:rsidDel="00287177">
              <w:t xml:space="preserve">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jc w:val="both"/>
            </w:pPr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:rsidR="00E81825" w:rsidRDefault="00E81825" w:rsidP="00E81825">
            <w:pPr>
              <w:spacing w:before="120" w:after="120"/>
              <w:jc w:val="both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 oraz inwestycje, które polegają na odłączeniu się od sieci gazowej lub ciepłowniczej w celu montażu urządzeń ogrzewania elektrycznego, gazowego lub olejowego;</w:t>
            </w:r>
          </w:p>
          <w:p w:rsidR="00E81825" w:rsidRPr="00EC79D4" w:rsidRDefault="00E81825" w:rsidP="00E81825">
            <w:pPr>
              <w:jc w:val="both"/>
            </w:pPr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</w:t>
            </w:r>
            <w:r>
              <w:br/>
            </w:r>
            <w:r w:rsidRPr="00EC79D4">
              <w:t xml:space="preserve">na ogrzewanie elektryczne, gazowe lub olejowe; </w:t>
            </w:r>
          </w:p>
          <w:p w:rsidR="00E81825" w:rsidRPr="00EC79D4" w:rsidRDefault="00E81825" w:rsidP="00E81825">
            <w:pPr>
              <w:jc w:val="both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</w:t>
            </w:r>
            <w:r>
              <w:t xml:space="preserve"> wraz z montażem kotłów/siłowni opalanych gazem</w:t>
            </w:r>
            <w:r w:rsidRPr="00EC79D4">
              <w:t>;</w:t>
            </w:r>
          </w:p>
          <w:p w:rsidR="00E81825" w:rsidRPr="00EC79D4" w:rsidRDefault="00E81825" w:rsidP="00E81825">
            <w:pPr>
              <w:jc w:val="both"/>
            </w:pPr>
            <w:r>
              <w:t>4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</w:t>
            </w:r>
            <w:r>
              <w:t>wymiana</w:t>
            </w:r>
            <w:r w:rsidRPr="00BC5F8A">
              <w:t xml:space="preserve"> istniejących indywidualnych źródeł ciepła na źródła odnawialne (energia wiatru, wody, słońca i geotermalna, pompa ciepła</w:t>
            </w:r>
            <w:r>
              <w:t>, instalacje wysokosprawnej kogeneracji/trigeneracji</w:t>
            </w:r>
            <w:r w:rsidRPr="00BC5F8A">
              <w:t>);</w:t>
            </w:r>
          </w:p>
          <w:p w:rsidR="00E81825" w:rsidRDefault="00E81825" w:rsidP="00E81825">
            <w:pPr>
              <w:spacing w:before="240" w:after="120"/>
              <w:jc w:val="both"/>
            </w:pPr>
            <w:r>
              <w:t>Punktację projektu oblicza się za pomocą poniższego wzoru:</w:t>
            </w:r>
          </w:p>
          <w:p w:rsidR="00E81825" w:rsidRDefault="00E81825" w:rsidP="00E81825">
            <w:pPr>
              <w:spacing w:before="24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*4pkt+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*1pkt</m:t>
                </m:r>
              </m:oMath>
            </m:oMathPara>
          </w:p>
          <w:p w:rsidR="00E81825" w:rsidRDefault="00E81825" w:rsidP="00E81825">
            <w:pPr>
              <w:spacing w:after="0"/>
              <w:jc w:val="both"/>
            </w:pPr>
            <w:r w:rsidRPr="00817AA1">
              <w:t>gdzie:</w:t>
            </w:r>
          </w:p>
          <w:p w:rsidR="00E81825" w:rsidRPr="00817AA1" w:rsidRDefault="00E81825" w:rsidP="00E81825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</w:t>
            </w:r>
            <w:r>
              <w:t>wy</w:t>
            </w:r>
            <w:r w:rsidRPr="00817AA1">
              <w:t>mianą istniejących indywidualnych źródeł ciepła na źródła odnawialne (energia wiatru, wody, słońca i geotermalna, pompa ciepła</w:t>
            </w:r>
            <w:r>
              <w:t>, wysokosprawna kogeneracja/</w:t>
            </w:r>
            <w:proofErr w:type="spellStart"/>
            <w:r>
              <w:t>trigeneracja</w:t>
            </w:r>
            <w:proofErr w:type="spellEnd"/>
            <w:r w:rsidRPr="00817AA1">
              <w:t>),</w:t>
            </w:r>
          </w:p>
          <w:p w:rsidR="00E81825" w:rsidRPr="00817AA1" w:rsidRDefault="00E81825" w:rsidP="00E81825">
            <w:pPr>
              <w:spacing w:after="0"/>
            </w:pPr>
            <w:proofErr w:type="spellStart"/>
            <w:r w:rsidRPr="00817AA1">
              <w:lastRenderedPageBreak/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:rsidR="00E81825" w:rsidRPr="00817AA1" w:rsidRDefault="00E81825" w:rsidP="00E81825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:rsidR="00E81825" w:rsidRPr="00817AA1" w:rsidRDefault="00E81825" w:rsidP="00E81825">
            <w:pPr>
              <w:suppressAutoHyphens/>
              <w:spacing w:after="0" w:line="240" w:lineRule="auto"/>
              <w:jc w:val="both"/>
            </w:pPr>
          </w:p>
          <w:p w:rsidR="00E81825" w:rsidRPr="00817AA1" w:rsidRDefault="00E81825" w:rsidP="00E81825">
            <w:pPr>
              <w:suppressAutoHyphens/>
              <w:spacing w:after="0" w:line="240" w:lineRule="auto"/>
              <w:jc w:val="both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:rsidR="00E81825" w:rsidRDefault="00E81825" w:rsidP="00E81825">
            <w:pPr>
              <w:suppressAutoHyphens/>
              <w:spacing w:before="240" w:after="0" w:line="240" w:lineRule="auto"/>
              <w:jc w:val="both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:rsidR="00E81825" w:rsidRPr="00287177" w:rsidRDefault="00E81825" w:rsidP="00E81825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:rsidR="00E81825" w:rsidRPr="00287177" w:rsidRDefault="00E81825" w:rsidP="00E81825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:rsidR="00E81825" w:rsidRPr="00287177" w:rsidRDefault="00E81825" w:rsidP="00E81825">
            <w:pPr>
              <w:suppressAutoHyphens/>
              <w:spacing w:before="240" w:after="0" w:line="240" w:lineRule="auto"/>
              <w:jc w:val="both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:rsidR="00E81825" w:rsidRDefault="00E81825" w:rsidP="00E81825">
            <w:pPr>
              <w:suppressAutoHyphens/>
              <w:spacing w:before="240" w:after="0" w:line="240" w:lineRule="auto"/>
              <w:jc w:val="both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:rsidR="00E81825" w:rsidRDefault="00E81825" w:rsidP="00E81825">
            <w:pPr>
              <w:suppressAutoHyphens/>
              <w:spacing w:before="240" w:after="0" w:line="240" w:lineRule="auto"/>
              <w:jc w:val="both"/>
            </w:pPr>
            <w:r>
              <w:t>- P ≥ 3</w:t>
            </w:r>
            <w:r w:rsidRPr="00287177">
              <w:t>,</w:t>
            </w:r>
            <w:r>
              <w:t xml:space="preserve">0 </w:t>
            </w:r>
            <w:r w:rsidRPr="00287177">
              <w:t xml:space="preserve"> – </w:t>
            </w:r>
            <w:r>
              <w:t xml:space="preserve">4 </w:t>
            </w:r>
            <w:r w:rsidRPr="00287177">
              <w:t xml:space="preserve"> pkt.</w:t>
            </w:r>
          </w:p>
          <w:p w:rsidR="00E81825" w:rsidRDefault="00E81825" w:rsidP="00E81825">
            <w:pPr>
              <w:suppressAutoHyphens/>
              <w:spacing w:before="240" w:after="0" w:line="240" w:lineRule="auto"/>
              <w:jc w:val="both"/>
            </w:pPr>
          </w:p>
          <w:p w:rsidR="00E81825" w:rsidRPr="00287177" w:rsidRDefault="00E81825" w:rsidP="00E81825">
            <w:pPr>
              <w:suppressAutoHyphens/>
              <w:spacing w:before="240" w:after="0" w:line="240" w:lineRule="auto"/>
              <w:jc w:val="both"/>
            </w:pPr>
            <w:r>
              <w:t xml:space="preserve">*** liczba likwidowanych (przy podłączeniach do sieci) lub wymienianych (przy wymianie </w:t>
            </w:r>
            <w:r>
              <w:br/>
              <w:t>na ogrzewanie elektryczne, gazowe, olejowe lub/i OZE) indywidualnych źródeł ciepła.</w:t>
            </w:r>
          </w:p>
        </w:tc>
      </w:tr>
      <w:tr w:rsidR="00E81825" w:rsidRPr="00997DD2" w:rsidTr="00E81825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lastRenderedPageBreak/>
              <w:t>8</w:t>
            </w:r>
            <w:r w:rsidRPr="00287177">
              <w:t>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 w:rsidRPr="00287177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  <w:r w:rsidRPr="00287177">
              <w:t>Wkład własny wyższy od minimalnego o:</w:t>
            </w:r>
          </w:p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  <w:r w:rsidRPr="00287177">
              <w:t xml:space="preserve">- ≤ 3 </w:t>
            </w:r>
            <w:proofErr w:type="spellStart"/>
            <w:r w:rsidRPr="00287177">
              <w:t>p.p</w:t>
            </w:r>
            <w:proofErr w:type="spellEnd"/>
            <w:r w:rsidRPr="00287177">
              <w:t>. - 0 pkt</w:t>
            </w:r>
          </w:p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  <w:r w:rsidRPr="00287177">
              <w:t xml:space="preserve">- &gt; 3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- 1 pkt </w:t>
            </w:r>
          </w:p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  <w:r w:rsidRPr="00287177">
              <w:t xml:space="preserve">- &gt;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- 2 pkt </w:t>
            </w:r>
          </w:p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  <w:r w:rsidRPr="00287177">
              <w:t xml:space="preserve">- &gt;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12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- 3 pkt </w:t>
            </w:r>
          </w:p>
          <w:p w:rsidR="00E81825" w:rsidRPr="00287177" w:rsidRDefault="00E81825" w:rsidP="00E81825">
            <w:pPr>
              <w:spacing w:after="0" w:line="240" w:lineRule="auto"/>
            </w:pPr>
            <w:r w:rsidRPr="00287177">
              <w:t xml:space="preserve">- &gt; 12 </w:t>
            </w:r>
            <w:proofErr w:type="spellStart"/>
            <w:r w:rsidRPr="00287177">
              <w:t>p.p</w:t>
            </w:r>
            <w:proofErr w:type="spellEnd"/>
            <w:r w:rsidRPr="00287177">
              <w:t>. - 4 pkt</w:t>
            </w:r>
          </w:p>
          <w:p w:rsidR="00E81825" w:rsidRPr="00287177" w:rsidRDefault="00E81825" w:rsidP="00E81825">
            <w:pPr>
              <w:spacing w:after="0" w:line="240" w:lineRule="auto"/>
            </w:pPr>
          </w:p>
          <w:p w:rsidR="00E81825" w:rsidRPr="00287177" w:rsidRDefault="00E81825" w:rsidP="00E81825">
            <w:pPr>
              <w:spacing w:after="0" w:line="240" w:lineRule="auto"/>
              <w:jc w:val="both"/>
            </w:pPr>
            <w:proofErr w:type="spellStart"/>
            <w:r w:rsidRPr="00287177">
              <w:t>p.p</w:t>
            </w:r>
            <w:proofErr w:type="spellEnd"/>
            <w:r w:rsidRPr="00287177">
              <w:t>. – punkt procentowy</w:t>
            </w:r>
          </w:p>
        </w:tc>
      </w:tr>
      <w:tr w:rsidR="00E81825" w:rsidRPr="00997DD2" w:rsidTr="00E26D4C">
        <w:trPr>
          <w:trHeight w:val="708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Pr="00287177" w:rsidRDefault="00E81825" w:rsidP="00E81825">
            <w:pPr>
              <w:spacing w:after="0" w:line="240" w:lineRule="auto"/>
            </w:pPr>
            <w:r>
              <w:t>Planowane ograniczenie „ubóstwa energetycznego” (jeśli dotyczy)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Pr="00287177" w:rsidRDefault="00E81825" w:rsidP="00E81825">
            <w:pPr>
              <w:spacing w:after="0" w:line="240" w:lineRule="auto"/>
              <w:jc w:val="center"/>
            </w:pPr>
            <w:r>
              <w:t>0 – 2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jc w:val="both"/>
            </w:pPr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:rsidR="00E81825" w:rsidRDefault="00E81825" w:rsidP="00E81825">
            <w:pPr>
              <w:jc w:val="both"/>
            </w:pPr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</w:t>
            </w:r>
            <w:r>
              <w:t>5</w:t>
            </w:r>
            <w:r w:rsidRPr="00786983">
              <w:t xml:space="preserve">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:rsidR="00E81825" w:rsidRDefault="00E81825" w:rsidP="00E81825">
            <w:pPr>
              <w:jc w:val="both"/>
            </w:pPr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, mieści się w przedziale między </w:t>
            </w:r>
            <w:r>
              <w:t>5</w:t>
            </w:r>
            <w:r w:rsidRPr="00786983">
              <w:t xml:space="preserve"> % a </w:t>
            </w:r>
            <w:r>
              <w:t>1</w:t>
            </w:r>
            <w:r w:rsidRPr="00786983">
              <w:t>0 % ogólnej liczby gospodar</w:t>
            </w:r>
            <w:r>
              <w:t>stw domowych objętych projektem;</w:t>
            </w:r>
          </w:p>
          <w:p w:rsidR="00E81825" w:rsidRDefault="00E81825" w:rsidP="00E81825">
            <w:pPr>
              <w:jc w:val="both"/>
            </w:pPr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 xml:space="preserve">jeżeli udział 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</w:t>
            </w:r>
            <w:r>
              <w:t>1</w:t>
            </w:r>
            <w:r w:rsidRPr="00786983">
              <w:t>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:rsidR="00E81825" w:rsidRDefault="00E81825" w:rsidP="00E81825">
            <w:pPr>
              <w:jc w:val="both"/>
            </w:pPr>
            <w:r>
              <w:t>Za gospodarstwa domowe dotknięte problemem ubóstwa energetycznego uznaje się gospodarstwa, w których:</w:t>
            </w:r>
          </w:p>
          <w:p w:rsidR="00E81825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>
              <w:t>w okresie 3 miesięcy poprzedzających miesiąc zawarcia umowy, o której mowa w art. 11d, ust. 2 ustawy z dnia 21 listopada 2008 r. o wspieraniu termomodernizacji i remontów (Dz. U. z 2020 r., poz. 22) średni miesięczny dochód na jednego członka gospodarstwa domowego, w rozumieniu ustawy z dnia 21 czerwca 2001 r. o dodatkach mieszkaniowych (Dz. U. z 2019 r. poz. 2133), nie przekracza 175% kwoty najniższej emerytury w gospodarstwie jednoosobowym i 125% tej kwoty w gospodarstwie wieloosobowym i złożyła oświadczenie, w którym określi liczbę osób w gospodarstwie domowym oraz dochód przypadający na jednego członka tego gospodarstwa.</w:t>
            </w:r>
          </w:p>
          <w:p w:rsidR="00E81825" w:rsidRDefault="00E81825" w:rsidP="00E81825">
            <w:pPr>
              <w:jc w:val="both"/>
            </w:pPr>
            <w:r w:rsidRPr="00786983">
              <w:t>Za gospodarstwa domowe dotknięte problemem ubóstwa energetycznego uważane są również:</w:t>
            </w:r>
          </w:p>
          <w:p w:rsidR="00E81825" w:rsidRDefault="00E81825" w:rsidP="00E81825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>
              <w:t xml:space="preserve"> 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r>
              <w:t xml:space="preserve">t.j. </w:t>
            </w:r>
            <w:r w:rsidRPr="00786983">
              <w:t>Dz. U. z</w:t>
            </w:r>
            <w:r>
              <w:t xml:space="preserve"> </w:t>
            </w:r>
            <w:r w:rsidRPr="00786983">
              <w:t>201</w:t>
            </w:r>
            <w:r>
              <w:t>9</w:t>
            </w:r>
            <w:r w:rsidRPr="00786983">
              <w:t xml:space="preserve"> r., poz. </w:t>
            </w:r>
            <w:r>
              <w:t xml:space="preserve">1172 z późn.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 xml:space="preserve">rozumieniu ustawy </w:t>
            </w:r>
            <w:r>
              <w:br/>
            </w:r>
            <w:r w:rsidRPr="00786983">
              <w:t>z</w:t>
            </w:r>
            <w:r>
              <w:t xml:space="preserve"> </w:t>
            </w:r>
            <w:r w:rsidRPr="00786983">
              <w:t>dnia 19 sierpnia 1994 r. o</w:t>
            </w:r>
            <w:r>
              <w:t xml:space="preserve"> </w:t>
            </w:r>
            <w:r w:rsidRPr="00786983">
              <w:t>ochronie zdrowia psychicznego (</w:t>
            </w:r>
            <w:r>
              <w:t>t.j.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>201</w:t>
            </w:r>
            <w:r>
              <w:t>8</w:t>
            </w:r>
            <w:r w:rsidRPr="00786983">
              <w:t xml:space="preserve"> r., poz. </w:t>
            </w:r>
            <w:r>
              <w:t>1878</w:t>
            </w:r>
            <w:r w:rsidRPr="00786983">
              <w:t xml:space="preserve"> z późn. zm.),</w:t>
            </w:r>
          </w:p>
          <w:p w:rsidR="00E81825" w:rsidRDefault="00E81825" w:rsidP="00E81825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:rsidR="00E81825" w:rsidRDefault="00E81825" w:rsidP="00E81825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>
              <w:t xml:space="preserve"> </w:t>
            </w:r>
            <w:r w:rsidRPr="00786983">
              <w:t>świadczeniach rodzinnych</w:t>
            </w:r>
            <w:r>
              <w:t xml:space="preserve"> (t.j.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</w:t>
            </w:r>
            <w:r>
              <w:t>20 r.</w:t>
            </w:r>
            <w:r w:rsidRPr="00CD5AA6">
              <w:t xml:space="preserve"> poz. </w:t>
            </w:r>
            <w:r>
              <w:t xml:space="preserve">111) </w:t>
            </w:r>
            <w:r w:rsidRPr="00786983">
              <w:t>oraz ustawy z</w:t>
            </w:r>
            <w:r>
              <w:t xml:space="preserve"> </w:t>
            </w:r>
            <w:r w:rsidRPr="00786983">
              <w:t>dnia 9 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t.j. </w:t>
            </w:r>
            <w:r w:rsidRPr="00683BD4">
              <w:t>Dz.U.</w:t>
            </w:r>
            <w:r>
              <w:t xml:space="preserve"> z</w:t>
            </w:r>
            <w:r w:rsidRPr="00683BD4">
              <w:t xml:space="preserve"> 201</w:t>
            </w:r>
            <w:r>
              <w:t>9 r.</w:t>
            </w:r>
            <w:r w:rsidRPr="00683BD4">
              <w:t xml:space="preserve"> poz. </w:t>
            </w:r>
            <w:r>
              <w:t xml:space="preserve">1111 z późn,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. Kryterium dotyczy osób zameldowanych w</w:t>
            </w:r>
            <w:r>
              <w:t xml:space="preserve"> 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:rsidR="00E81825" w:rsidRDefault="00A832DF" w:rsidP="00E81825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:rsidR="00E81825" w:rsidRDefault="00E81825" w:rsidP="00E81825">
            <w:pPr>
              <w:jc w:val="both"/>
            </w:pPr>
            <w:r w:rsidRPr="00786983">
              <w:t>Wzór do obliczeń:</w:t>
            </w:r>
          </w:p>
          <w:p w:rsidR="00E81825" w:rsidRDefault="00E81825" w:rsidP="00E81825">
            <w:pPr>
              <w:jc w:val="both"/>
            </w:pPr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:rsidR="00E81825" w:rsidRDefault="00E81825" w:rsidP="00E81825">
            <w:pPr>
              <w:jc w:val="both"/>
            </w:pPr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:rsidR="00E81825" w:rsidRDefault="00E81825" w:rsidP="00E81825">
            <w:pPr>
              <w:suppressAutoHyphens/>
              <w:spacing w:after="0" w:line="240" w:lineRule="auto"/>
              <w:jc w:val="both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  <w:p w:rsidR="00E81825" w:rsidRDefault="00E81825" w:rsidP="00E81825">
            <w:pPr>
              <w:suppressAutoHyphens/>
              <w:spacing w:after="0" w:line="240" w:lineRule="auto"/>
              <w:jc w:val="both"/>
            </w:pPr>
          </w:p>
          <w:p w:rsidR="00E81825" w:rsidRDefault="00E81825" w:rsidP="00E81825">
            <w:pPr>
              <w:suppressAutoHyphens/>
              <w:spacing w:after="0" w:line="240" w:lineRule="auto"/>
              <w:jc w:val="both"/>
            </w:pPr>
            <w:r>
              <w:t>Ocena dokonywana będzie na podstawie oświadczenia złożonego przez wnioskodawcę.</w:t>
            </w:r>
          </w:p>
          <w:p w:rsidR="00E81825" w:rsidRPr="00287177" w:rsidRDefault="00E81825" w:rsidP="00E81825">
            <w:pPr>
              <w:suppressAutoHyphens/>
              <w:spacing w:after="0" w:line="240" w:lineRule="auto"/>
              <w:jc w:val="both"/>
            </w:pPr>
          </w:p>
        </w:tc>
      </w:tr>
      <w:tr w:rsidR="00E81825" w:rsidRPr="00997DD2" w:rsidTr="00E81825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spacing w:after="0"/>
              <w:jc w:val="center"/>
            </w:pPr>
            <w:r>
              <w:lastRenderedPageBreak/>
              <w:t>10.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spacing w:after="0" w:line="240" w:lineRule="auto"/>
            </w:pPr>
            <w:r>
              <w:t>Oddziaływanie społeczne projektu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 xml:space="preserve">Wniosek wraz </w:t>
            </w:r>
          </w:p>
          <w:p w:rsidR="00E81825" w:rsidRDefault="00E81825" w:rsidP="00E81825">
            <w:pPr>
              <w:spacing w:after="0" w:line="240" w:lineRule="auto"/>
              <w:jc w:val="center"/>
            </w:pPr>
            <w:r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jc w:val="both"/>
            </w:pPr>
            <w:r>
              <w:t>Projekt realizowany na terenie gminy o gęstości zaludnienia:</w:t>
            </w:r>
          </w:p>
          <w:p w:rsidR="00E81825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>
              <w:t>do 50 osób/km</w:t>
            </w:r>
            <w:r>
              <w:rPr>
                <w:vertAlign w:val="superscript"/>
              </w:rPr>
              <w:t>2</w:t>
            </w:r>
            <w:r>
              <w:t xml:space="preserve"> – 1 pkt,</w:t>
            </w:r>
          </w:p>
          <w:p w:rsidR="00E81825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>
              <w:t>51-100 osób/km</w:t>
            </w:r>
            <w:r>
              <w:rPr>
                <w:vertAlign w:val="superscript"/>
              </w:rPr>
              <w:t>2</w:t>
            </w:r>
            <w:r>
              <w:t xml:space="preserve"> – 2 pkt,</w:t>
            </w:r>
          </w:p>
          <w:p w:rsidR="00E81825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>
              <w:t>101-200 osób/km</w:t>
            </w:r>
            <w:r>
              <w:rPr>
                <w:vertAlign w:val="superscript"/>
              </w:rPr>
              <w:t>2</w:t>
            </w:r>
            <w:r>
              <w:t xml:space="preserve"> –3 pkt,</w:t>
            </w:r>
          </w:p>
          <w:p w:rsidR="00E81825" w:rsidRDefault="00E81825" w:rsidP="00E81825">
            <w:pPr>
              <w:numPr>
                <w:ilvl w:val="0"/>
                <w:numId w:val="2"/>
              </w:numPr>
              <w:spacing w:before="120" w:after="120" w:line="276" w:lineRule="auto"/>
              <w:ind w:left="226" w:hanging="141"/>
              <w:jc w:val="both"/>
            </w:pPr>
            <w:r>
              <w:t>201 i więcej osób/km</w:t>
            </w:r>
            <w:r>
              <w:rPr>
                <w:vertAlign w:val="superscript"/>
              </w:rPr>
              <w:t>2</w:t>
            </w:r>
            <w:r>
              <w:t xml:space="preserve"> – 4 pkt,</w:t>
            </w:r>
          </w:p>
          <w:p w:rsidR="00E81825" w:rsidRDefault="00E81825" w:rsidP="00E81825">
            <w:pPr>
              <w:jc w:val="both"/>
            </w:pPr>
            <w:r>
              <w:t>Kryterium weryfikowane na podstawie danych z GUS.</w:t>
            </w:r>
          </w:p>
        </w:tc>
      </w:tr>
      <w:tr w:rsidR="00E81825" w:rsidRPr="00997DD2" w:rsidTr="00E81825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spacing w:after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spacing w:after="0" w:line="240" w:lineRule="auto"/>
            </w:pPr>
            <w:r>
              <w:t>Lokalizacja projektu na obszarze rewitalizowanym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</w:pPr>
            <w:r>
              <w:t xml:space="preserve">Wniosek wraz </w:t>
            </w:r>
          </w:p>
          <w:p w:rsidR="00E81825" w:rsidRDefault="00E81825" w:rsidP="00E81825">
            <w:pPr>
              <w:spacing w:after="0" w:line="240" w:lineRule="auto"/>
              <w:jc w:val="center"/>
            </w:pPr>
            <w:r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0 – 1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:rsidR="00E81825" w:rsidRPr="00025DD4" w:rsidRDefault="00E81825" w:rsidP="00E81825">
            <w:r w:rsidRPr="00025DD4">
              <w:t xml:space="preserve">0 pkt - projekt nie obejmuje budynków, które są zlokalizowane na obszarze rewitalizacji </w:t>
            </w:r>
            <w:r w:rsidRPr="00025DD4">
              <w:br/>
              <w:t>1 pkt - projekt obejmuje co najmniej jeden budynek, który znajduje się na obszarze rewitalizacji*</w:t>
            </w:r>
          </w:p>
          <w:p w:rsidR="00E81825" w:rsidRDefault="00E81825" w:rsidP="00E81825">
            <w:pPr>
              <w:jc w:val="both"/>
            </w:pPr>
            <w:r w:rsidRPr="00025DD4">
              <w:t>*wg stanu na koniec kwietnia 2020 (z uwagi na fakt, że część samorządów pr</w:t>
            </w:r>
            <w:r>
              <w:t>acuje nad uchyleniem</w:t>
            </w:r>
            <w:r w:rsidRPr="00025DD4">
              <w:t xml:space="preserve"> LPR i </w:t>
            </w:r>
            <w:r>
              <w:t xml:space="preserve">uruchomieniem </w:t>
            </w:r>
            <w:r w:rsidRPr="00025DD4">
              <w:t>proces</w:t>
            </w:r>
            <w:r>
              <w:t>u</w:t>
            </w:r>
            <w:r w:rsidRPr="00025DD4">
              <w:t xml:space="preserve"> przejścia na GPR)</w:t>
            </w:r>
          </w:p>
        </w:tc>
      </w:tr>
      <w:tr w:rsidR="00E81825" w:rsidRPr="00997DD2" w:rsidTr="00E81825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spacing w:after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E81825" w:rsidRDefault="00E81825" w:rsidP="00E81825">
            <w:pPr>
              <w:jc w:val="both"/>
              <w:rPr>
                <w:bCs/>
              </w:rPr>
            </w:pPr>
            <w:r>
              <w:rPr>
                <w:bCs/>
              </w:rPr>
              <w:t>Oddziaływanie f</w:t>
            </w:r>
            <w:r w:rsidRPr="00B53500">
              <w:rPr>
                <w:bCs/>
              </w:rPr>
              <w:t>unkcj</w:t>
            </w:r>
            <w:r>
              <w:rPr>
                <w:bCs/>
              </w:rPr>
              <w:t>i</w:t>
            </w:r>
            <w:r w:rsidRPr="00B53500">
              <w:rPr>
                <w:bCs/>
              </w:rPr>
              <w:t xml:space="preserve"> społeczn</w:t>
            </w:r>
            <w:r>
              <w:rPr>
                <w:bCs/>
              </w:rPr>
              <w:t>ych</w:t>
            </w:r>
            <w:r w:rsidRPr="00B53500">
              <w:rPr>
                <w:bCs/>
              </w:rPr>
              <w:t xml:space="preserve"> budynków użyteczności publicznej</w:t>
            </w:r>
          </w:p>
          <w:p w:rsidR="00E81825" w:rsidRDefault="00E81825" w:rsidP="00E81825">
            <w:pPr>
              <w:spacing w:after="0" w:line="240" w:lineRule="auto"/>
            </w:pPr>
            <w:r>
              <w:rPr>
                <w:bCs/>
              </w:rPr>
              <w:t>(jeśli dotyczy</w:t>
            </w:r>
            <w:r w:rsidRPr="00B53500" w:rsidDel="00B1004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</w:pPr>
            <w:r>
              <w:t>Wniosek wraz</w:t>
            </w:r>
          </w:p>
          <w:p w:rsidR="00E81825" w:rsidRDefault="00E81825" w:rsidP="00E81825">
            <w:pPr>
              <w:spacing w:after="0" w:line="240" w:lineRule="auto"/>
              <w:jc w:val="center"/>
            </w:pPr>
            <w:r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spacing w:after="0" w:line="240" w:lineRule="auto"/>
              <w:jc w:val="center"/>
            </w:pPr>
            <w:r>
              <w:t xml:space="preserve">1 lub 4pkt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:rsidR="00E81825" w:rsidRDefault="00E81825" w:rsidP="00E81825">
            <w:pPr>
              <w:ind w:right="84"/>
              <w:jc w:val="both"/>
              <w:rPr>
                <w:bCs/>
                <w:strike/>
              </w:rPr>
            </w:pPr>
            <w:r w:rsidRPr="00025DD4">
              <w:rPr>
                <w:bCs/>
              </w:rPr>
              <w:t>Premiowane będą projekty dotyczące budynków o znacząc</w:t>
            </w:r>
            <w:r>
              <w:rPr>
                <w:bCs/>
              </w:rPr>
              <w:t>ym oddziaływaniu</w:t>
            </w:r>
            <w:r w:rsidRPr="00025DD4">
              <w:rPr>
                <w:bCs/>
              </w:rPr>
              <w:t xml:space="preserve"> </w:t>
            </w:r>
            <w:r w:rsidRPr="00273DE8">
              <w:rPr>
                <w:bCs/>
              </w:rPr>
              <w:t>funkcji</w:t>
            </w:r>
            <w:r w:rsidRPr="00025DD4">
              <w:rPr>
                <w:bCs/>
              </w:rPr>
              <w:t xml:space="preserve"> społeczn</w:t>
            </w:r>
            <w:r>
              <w:rPr>
                <w:bCs/>
              </w:rPr>
              <w:t>ych:</w:t>
            </w:r>
          </w:p>
          <w:p w:rsidR="00E81825" w:rsidRPr="00997E88" w:rsidRDefault="00E81825" w:rsidP="00E81825">
            <w:pPr>
              <w:spacing w:before="120" w:after="0" w:line="240" w:lineRule="auto"/>
              <w:ind w:right="84"/>
            </w:pPr>
            <w:r w:rsidRPr="00997E88">
              <w:t>4 pkt –</w:t>
            </w:r>
            <w:r>
              <w:t xml:space="preserve"> szersze niż tylko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</w:t>
            </w:r>
            <w:r>
              <w:t xml:space="preserve">udynku  wpisanego </w:t>
            </w:r>
            <w:r w:rsidRPr="00997E88">
              <w:t>do rejestru zabytków</w:t>
            </w:r>
            <w:r>
              <w:t>,</w:t>
            </w:r>
          </w:p>
          <w:p w:rsidR="00E81825" w:rsidRPr="00997E88" w:rsidRDefault="00E81825" w:rsidP="00E81825">
            <w:pPr>
              <w:spacing w:before="120" w:after="0" w:line="240" w:lineRule="auto"/>
              <w:ind w:right="84"/>
            </w:pPr>
            <w:r w:rsidRPr="00997E88">
              <w:t xml:space="preserve">3 pkt – </w:t>
            </w:r>
            <w:r>
              <w:t>szersze niż tylko lokalne</w:t>
            </w:r>
            <w:r w:rsidRPr="00997E88">
              <w:t xml:space="preserve"> (gminn</w:t>
            </w:r>
            <w:r>
              <w:t>e</w:t>
            </w:r>
            <w:r w:rsidRPr="00997E88">
              <w:t>)</w:t>
            </w:r>
            <w:r>
              <w:t xml:space="preserve">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</w:t>
            </w:r>
            <w:r>
              <w:t>,</w:t>
            </w:r>
            <w:r w:rsidRPr="00997E88">
              <w:t xml:space="preserve"> </w:t>
            </w:r>
          </w:p>
          <w:p w:rsidR="00E81825" w:rsidRPr="00997E88" w:rsidRDefault="00E81825" w:rsidP="00E81825">
            <w:pPr>
              <w:spacing w:before="120" w:after="0" w:line="240" w:lineRule="auto"/>
              <w:ind w:right="84"/>
            </w:pPr>
            <w:r w:rsidRPr="00997E88">
              <w:t xml:space="preserve">2 pkt – </w:t>
            </w:r>
            <w:r>
              <w:t>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  <w:r>
              <w:t xml:space="preserve"> wpisanego</w:t>
            </w:r>
            <w:r w:rsidRPr="00997E88">
              <w:t xml:space="preserve"> do rejestru zabytków</w:t>
            </w:r>
            <w:r>
              <w:t>,</w:t>
            </w:r>
          </w:p>
          <w:p w:rsidR="00E81825" w:rsidRPr="00997E88" w:rsidRDefault="00E81825" w:rsidP="00E81825">
            <w:pPr>
              <w:spacing w:before="120" w:after="0" w:line="240" w:lineRule="auto"/>
              <w:ind w:right="84"/>
            </w:pPr>
            <w:r w:rsidRPr="00997E88">
              <w:t xml:space="preserve">1 pkt </w:t>
            </w:r>
            <w:r>
              <w:t>– lokalne (gminne) oddziaływanie</w:t>
            </w:r>
            <w:r w:rsidRPr="00997E88">
              <w:t xml:space="preserve"> </w:t>
            </w:r>
            <w:r>
              <w:t>funkcji społecznych</w:t>
            </w:r>
            <w:r w:rsidRPr="00997E88">
              <w:t xml:space="preserve"> budynku </w:t>
            </w:r>
          </w:p>
          <w:p w:rsidR="00E81825" w:rsidRPr="00997E88" w:rsidRDefault="00E81825" w:rsidP="00E81825">
            <w:pPr>
              <w:spacing w:before="120" w:after="0" w:line="240" w:lineRule="auto"/>
            </w:pPr>
          </w:p>
          <w:p w:rsidR="00E81825" w:rsidRDefault="00E81825" w:rsidP="00E81825">
            <w:pPr>
              <w:jc w:val="both"/>
            </w:pPr>
            <w:r w:rsidRPr="00997E88">
              <w:t xml:space="preserve">Projekt otrzyma powyższe punkty, jeśli obejmie swoim zasięgiem co najmniej jeden </w:t>
            </w:r>
            <w:r>
              <w:t>ww.</w:t>
            </w:r>
            <w:r w:rsidRPr="00997E88">
              <w:t xml:space="preserve"> obiekt/budynek.</w:t>
            </w:r>
          </w:p>
          <w:p w:rsidR="00E81825" w:rsidRPr="00997E88" w:rsidRDefault="00E81825" w:rsidP="00E81825">
            <w:pPr>
              <w:spacing w:before="120" w:after="0" w:line="240" w:lineRule="auto"/>
              <w:ind w:right="84"/>
            </w:pPr>
            <w:r w:rsidRPr="00997E88">
              <w:t>Ze wsparcia wykluczone są budynki instytucji opiekuńczo – pobytowych.</w:t>
            </w:r>
          </w:p>
          <w:p w:rsidR="00E81825" w:rsidRDefault="00E81825" w:rsidP="00E26D4C">
            <w:pPr>
              <w:jc w:val="both"/>
            </w:pPr>
          </w:p>
        </w:tc>
      </w:tr>
    </w:tbl>
    <w:p w:rsidR="00E81825" w:rsidRDefault="00E81825"/>
    <w:p w:rsidR="00E81825" w:rsidRPr="001B0430" w:rsidRDefault="00E81825" w:rsidP="00E81825">
      <w:pPr>
        <w:rPr>
          <w:vertAlign w:val="subscript"/>
        </w:rPr>
      </w:pPr>
      <w:r w:rsidRPr="001B0430">
        <w:rPr>
          <w:b/>
        </w:rPr>
        <w:t>*Metodologia o</w:t>
      </w:r>
      <w:r w:rsidRPr="001B0430">
        <w:t>bliczania poziomu redukcji emisji CO</w:t>
      </w:r>
      <w:r w:rsidRPr="001B0430">
        <w:rPr>
          <w:vertAlign w:val="subscript"/>
        </w:rPr>
        <w:t>2</w:t>
      </w:r>
    </w:p>
    <w:p w:rsidR="00E81825" w:rsidRPr="001B0430" w:rsidRDefault="00E81825" w:rsidP="00E81825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:rsidR="00E81825" w:rsidRPr="001B0430" w:rsidRDefault="00E81825" w:rsidP="00E81825">
      <w:pPr>
        <w:jc w:val="both"/>
      </w:pPr>
      <w:r w:rsidRPr="001B0430">
        <w:t xml:space="preserve">Dane źródłowe niezbędne do obliczenia redukcji emisji zanieczyszczeń dla budynku będą pochodzić z: </w:t>
      </w:r>
    </w:p>
    <w:p w:rsidR="00E81825" w:rsidRPr="001B0430" w:rsidRDefault="00E81825" w:rsidP="00E81825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E81825" w:rsidRPr="001B0430" w:rsidRDefault="00E81825" w:rsidP="00E81825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</w:rPr>
      </w:pPr>
      <w:r w:rsidRPr="001B0430">
        <w:t>przyjętych przez Instytucję Zarządzającą RPO WO wskaźników emisji zanieczyszczeń dla poszczególnych rodzajów nośników energii lub energii w urządzeniach/systemach grzewczych.</w:t>
      </w:r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E81825" w:rsidRPr="001B0430" w:rsidRDefault="00E81825" w:rsidP="00E81825">
      <w:pPr>
        <w:keepNext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r w:rsidRPr="001B0430">
        <w:t>e – efekt ekologiczny projektu [Mg]</w:t>
      </w:r>
    </w:p>
    <w:p w:rsidR="00E81825" w:rsidRPr="001B0430" w:rsidRDefault="00E81825" w:rsidP="00E81825">
      <w:pPr>
        <w:spacing w:after="0"/>
        <w:jc w:val="both"/>
      </w:pPr>
      <w:r w:rsidRPr="001B0430">
        <w:t>i – pojedyncza inwestycja</w:t>
      </w:r>
    </w:p>
    <w:p w:rsidR="00E81825" w:rsidRPr="001B0430" w:rsidRDefault="00E81825" w:rsidP="00E81825">
      <w:pPr>
        <w:spacing w:after="0"/>
        <w:jc w:val="both"/>
      </w:pPr>
      <w:proofErr w:type="spellStart"/>
      <w:r w:rsidRPr="001B0430">
        <w:t>e</w:t>
      </w:r>
      <w:r w:rsidRPr="001B0430">
        <w:rPr>
          <w:vertAlign w:val="subscript"/>
        </w:rPr>
        <w:t>i</w:t>
      </w:r>
      <w:proofErr w:type="spellEnd"/>
      <w:r w:rsidRPr="001B0430">
        <w:rPr>
          <w:vertAlign w:val="subscript"/>
        </w:rPr>
        <w:t xml:space="preserve"> </w:t>
      </w:r>
      <w:r w:rsidRPr="001B0430">
        <w:t>– efekt ekologiczny dla redukcji CO</w:t>
      </w:r>
      <w:r w:rsidRPr="001B0430">
        <w:rPr>
          <w:vertAlign w:val="subscript"/>
        </w:rPr>
        <w:t xml:space="preserve">2 </w:t>
      </w:r>
      <w:r w:rsidRPr="001B0430">
        <w:t>dla jednej inwestycji [Mg]</w:t>
      </w:r>
    </w:p>
    <w:p w:rsidR="00E81825" w:rsidRPr="001B0430" w:rsidRDefault="00E81825" w:rsidP="00E81825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:rsidR="00E81825" w:rsidRPr="001B0430" w:rsidRDefault="00E81825" w:rsidP="00E81825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:rsidR="00E81825" w:rsidRPr="001B0430" w:rsidRDefault="00E81825" w:rsidP="00E81825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:rsidR="00E81825" w:rsidRPr="001B0430" w:rsidRDefault="00E81825" w:rsidP="00E81825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:rsidR="00E81825" w:rsidRPr="001B0430" w:rsidRDefault="00E81825" w:rsidP="00E81825">
      <w:pPr>
        <w:keepNext/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:rsidR="00E81825" w:rsidRPr="001B0430" w:rsidRDefault="00A832DF" w:rsidP="00E81825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E81825" w:rsidRPr="001B0430" w:rsidRDefault="00E81825" w:rsidP="00E81825">
      <w:pPr>
        <w:spacing w:after="0"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proofErr w:type="spellStart"/>
      <w:r w:rsidRPr="001B0430">
        <w:t>Q</w:t>
      </w:r>
      <w:r w:rsidRPr="001B0430">
        <w:rPr>
          <w:vertAlign w:val="subscript"/>
        </w:rPr>
        <w:t>i</w:t>
      </w:r>
      <w:proofErr w:type="spellEnd"/>
      <w:r w:rsidRPr="001B0430">
        <w:t xml:space="preserve"> – wartość opałowa paliwa poprzednio stosowanego [GJ/Mg]</w:t>
      </w:r>
    </w:p>
    <w:p w:rsidR="00E81825" w:rsidRPr="001B0430" w:rsidRDefault="00E81825" w:rsidP="00E81825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:rsidR="00E81825" w:rsidRPr="001B0430" w:rsidRDefault="00E81825" w:rsidP="00E81825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:rsidR="00E81825" w:rsidRPr="001B0430" w:rsidRDefault="00A832DF" w:rsidP="00E81825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E81825" w:rsidRPr="001B0430" w:rsidRDefault="00E81825" w:rsidP="00E81825">
      <w:pPr>
        <w:spacing w:after="0"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:rsidR="00E81825" w:rsidRPr="001B0430" w:rsidRDefault="00E81825" w:rsidP="00E81825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:rsidR="00E81825" w:rsidRPr="001B0430" w:rsidRDefault="00E81825" w:rsidP="00E81825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:rsidR="00E81825" w:rsidRPr="00E81825" w:rsidRDefault="00E81825" w:rsidP="00E81825">
      <w:pPr>
        <w:spacing w:before="360" w:after="360"/>
        <w:jc w:val="both"/>
        <w:rPr>
          <w:i/>
        </w:rPr>
      </w:pPr>
      <w:r>
        <w:rPr>
          <w:i/>
        </w:rPr>
        <w:t>„</w:t>
      </w:r>
      <w:r w:rsidRPr="00E81825">
        <w:rPr>
          <w:i/>
        </w:rPr>
        <w:t>Wartość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oraz zgodnie z Rozporządzeniem Ministra Inwestycji i rozwoju z dnia 6 września 2019 r. zmieniające rozporządzenie w sprawie metodologii wyznaczania charakterystyki energetycznej budynku lub części budynku oraz świadectw charakterystyki energetycznej (Dz.U. 2019 poz. 1829) dla wybranego scenariusza realizacji modernizacji odpowiednio przed i po zastosowaniu środków poprawy efektywności energetycznej podając wartość redukcji jako różnicę obliczonych wartości emisji CO</w:t>
      </w:r>
      <w:r w:rsidRPr="00E81825">
        <w:rPr>
          <w:i/>
          <w:vertAlign w:val="subscript"/>
        </w:rPr>
        <w:t>2</w:t>
      </w:r>
      <w:r w:rsidRPr="00E81825">
        <w:rPr>
          <w:i/>
        </w:rPr>
        <w:t>.</w:t>
      </w:r>
      <w:r>
        <w:rPr>
          <w:i/>
        </w:rPr>
        <w:t>”</w:t>
      </w:r>
    </w:p>
    <w:p w:rsidR="00E81825" w:rsidRPr="001B0430" w:rsidRDefault="00E81825" w:rsidP="00E81825">
      <w:pPr>
        <w:spacing w:before="360" w:after="360"/>
        <w:jc w:val="both"/>
      </w:pPr>
      <w:r w:rsidRPr="001B0430">
        <w:lastRenderedPageBreak/>
        <w:t>Do obliczenia efektu ekologicznego wynikającego z ograniczenia zużycia energii elektrycznej mierzonej na granicy bilansowej budynku/-ów należy stosować wskaźnik emisji CO</w:t>
      </w:r>
      <w:r w:rsidRPr="001B0430">
        <w:rPr>
          <w:vertAlign w:val="subscript"/>
        </w:rPr>
        <w:t>2</w:t>
      </w:r>
      <w:r w:rsidRPr="001B0430">
        <w:t xml:space="preserve"> podany przez KOBIZE przypadający na 1 MWh energii elektrycznej wyprodukowanej w elektrowniach i elektrociepłowniach w roku 201</w:t>
      </w:r>
      <w:r>
        <w:t>8</w:t>
      </w:r>
      <w:r w:rsidRPr="001B0430">
        <w:t xml:space="preserve">, którym nie uwzględniono emisji ze spalania biomasy. Wynosi on  </w:t>
      </w:r>
      <w:r>
        <w:t>792</w:t>
      </w:r>
      <w:r w:rsidRPr="001B0430">
        <w:t>kg CO</w:t>
      </w:r>
      <w:r w:rsidRPr="001B0430">
        <w:rPr>
          <w:vertAlign w:val="subscript"/>
        </w:rPr>
        <w:t>2</w:t>
      </w:r>
      <w:r w:rsidRPr="001B0430">
        <w:t xml:space="preserve">/MWh co odpowiada </w:t>
      </w:r>
      <w:r>
        <w:rPr>
          <w:b/>
        </w:rPr>
        <w:t xml:space="preserve">220 </w:t>
      </w:r>
      <w:r w:rsidRPr="001B0430">
        <w:rPr>
          <w:b/>
        </w:rPr>
        <w:t>kg CO</w:t>
      </w:r>
      <w:r w:rsidRPr="001B0430">
        <w:rPr>
          <w:b/>
          <w:vertAlign w:val="subscript"/>
        </w:rPr>
        <w:t>2</w:t>
      </w:r>
      <w:r w:rsidRPr="001B0430">
        <w:rPr>
          <w:b/>
        </w:rPr>
        <w:t>/GJ.</w:t>
      </w:r>
    </w:p>
    <w:p w:rsidR="00E81825" w:rsidRPr="001B0430" w:rsidRDefault="00E81825" w:rsidP="00E81825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Pr="001B0430">
        <w:rPr>
          <w:bCs/>
          <w:i/>
          <w:noProof/>
          <w:sz w:val="20"/>
          <w:szCs w:val="20"/>
        </w:rPr>
        <w:t>1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1" w:type="pct"/>
        <w:jc w:val="center"/>
        <w:tblLook w:val="04A0" w:firstRow="1" w:lastRow="0" w:firstColumn="1" w:lastColumn="0" w:noHBand="0" w:noVBand="1"/>
      </w:tblPr>
      <w:tblGrid>
        <w:gridCol w:w="5817"/>
        <w:gridCol w:w="8180"/>
      </w:tblGrid>
      <w:tr w:rsidR="00E81825" w:rsidRPr="00287177" w:rsidTr="00E81825">
        <w:trPr>
          <w:jc w:val="center"/>
        </w:trPr>
        <w:tc>
          <w:tcPr>
            <w:tcW w:w="2078" w:type="pct"/>
            <w:shd w:val="clear" w:color="auto" w:fill="D9D9D9" w:themeFill="background1" w:themeFillShade="D9"/>
            <w:vAlign w:val="center"/>
          </w:tcPr>
          <w:p w:rsidR="00E81825" w:rsidRPr="00735431" w:rsidRDefault="00E81825" w:rsidP="00E81825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2922" w:type="pct"/>
            <w:shd w:val="clear" w:color="auto" w:fill="D9D9D9" w:themeFill="background1" w:themeFillShade="D9"/>
            <w:vAlign w:val="center"/>
          </w:tcPr>
          <w:p w:rsidR="00E81825" w:rsidRPr="00287177" w:rsidRDefault="00A832DF" w:rsidP="00E81825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E81825" w:rsidRPr="00287177">
              <w:rPr>
                <w:rFonts w:cs="Times New Roman"/>
                <w:b/>
                <w:sz w:val="18"/>
                <w:szCs w:val="18"/>
              </w:rPr>
              <w:t>[kg/GJ]</w:t>
            </w:r>
          </w:p>
        </w:tc>
      </w:tr>
      <w:tr w:rsidR="00E81825" w:rsidRPr="00287177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Pompa ciepła</w:t>
            </w:r>
          </w:p>
        </w:tc>
        <w:tc>
          <w:tcPr>
            <w:tcW w:w="2922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:rsidR="00E81825" w:rsidRPr="00AC06DE" w:rsidRDefault="00E81825" w:rsidP="00E81825">
            <w:pPr>
              <w:numPr>
                <w:ilvl w:val="0"/>
                <w:numId w:val="9"/>
              </w:numPr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:rsidR="00E81825" w:rsidRPr="00735431" w:rsidRDefault="00A832DF" w:rsidP="00E81825">
            <w:pPr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hyperlink r:id="rId8" w:history="1">
              <w:r w:rsidR="00E81825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:rsidR="00E81825" w:rsidRPr="00735431" w:rsidRDefault="00E81825" w:rsidP="00E81825">
            <w:pPr>
              <w:numPr>
                <w:ilvl w:val="0"/>
                <w:numId w:val="9"/>
              </w:numPr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E81825" w:rsidRPr="00287177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22" w:type="pct"/>
            <w:vAlign w:val="center"/>
          </w:tcPr>
          <w:p w:rsidR="00E81825" w:rsidRPr="001B0430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</w:t>
            </w:r>
            <w:r>
              <w:rPr>
                <w:b/>
                <w:sz w:val="18"/>
                <w:szCs w:val="18"/>
              </w:rPr>
              <w:t>46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kamiennego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Brykiety węgla brunatnego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Ropa naftowa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Drewno opałowe i odpady pochodzenia drzewnego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497463">
              <w:rPr>
                <w:rFonts w:cs="Times New Roman"/>
                <w:b/>
                <w:sz w:val="18"/>
                <w:szCs w:val="18"/>
              </w:rPr>
              <w:t>Biogaz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Gaz ziemny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55,54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Oleje opałowe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77,40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kamienny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94,71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Węgiel brunatny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104,14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Drewno/biomasa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81825" w:rsidRPr="00287177" w:rsidDel="009D0BB8" w:rsidTr="00E81825">
        <w:trPr>
          <w:jc w:val="center"/>
        </w:trPr>
        <w:tc>
          <w:tcPr>
            <w:tcW w:w="2078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 w:rsidRPr="00894673">
              <w:rPr>
                <w:rFonts w:cs="Times New Roman"/>
                <w:b/>
                <w:sz w:val="18"/>
                <w:szCs w:val="18"/>
              </w:rPr>
              <w:t>Olej napędowy (w tym olej opałowy lekki)</w:t>
            </w:r>
          </w:p>
        </w:tc>
        <w:tc>
          <w:tcPr>
            <w:tcW w:w="2922" w:type="pct"/>
            <w:vAlign w:val="center"/>
          </w:tcPr>
          <w:p w:rsidR="00E81825" w:rsidRPr="00287177" w:rsidDel="009D0BB8" w:rsidRDefault="00E81825" w:rsidP="00E81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74,10</w:t>
            </w:r>
          </w:p>
        </w:tc>
      </w:tr>
    </w:tbl>
    <w:p w:rsidR="00E81825" w:rsidRPr="001B0430" w:rsidRDefault="00E81825" w:rsidP="00E81825">
      <w:pPr>
        <w:rPr>
          <w:vertAlign w:val="subscript"/>
        </w:rPr>
      </w:pPr>
    </w:p>
    <w:p w:rsidR="00E81825" w:rsidRPr="001B0430" w:rsidRDefault="00E81825" w:rsidP="00E81825">
      <w:r w:rsidRPr="001B0430">
        <w:rPr>
          <w:b/>
        </w:rPr>
        <w:t xml:space="preserve">**Metodologia </w:t>
      </w:r>
      <w:r w:rsidRPr="00495BB2">
        <w:t>o</w:t>
      </w:r>
      <w:r w:rsidRPr="001B0430">
        <w:t>bliczania poziomu redukcji pyłu zawieszonego PM10</w:t>
      </w:r>
    </w:p>
    <w:p w:rsidR="00E81825" w:rsidRPr="001B0430" w:rsidRDefault="00E81825" w:rsidP="00E81825">
      <w:pPr>
        <w:jc w:val="both"/>
      </w:pPr>
      <w:r w:rsidRPr="001B0430">
        <w:t xml:space="preserve">Określenie redukcji emisji zanieczyszczeń będzie sumą redukcji emisji uzyskaną dla poszczególnych budynków wchodzących w skład projektu. </w:t>
      </w:r>
    </w:p>
    <w:p w:rsidR="00E81825" w:rsidRPr="001B0430" w:rsidRDefault="00E81825" w:rsidP="00E81825">
      <w:pPr>
        <w:jc w:val="both"/>
      </w:pPr>
      <w:r w:rsidRPr="001B0430">
        <w:t xml:space="preserve">Dane źródłowe niezbędne do obliczenia redukcji emisji zanieczyszczeń dla budynku będą pochodzić z: </w:t>
      </w:r>
    </w:p>
    <w:p w:rsidR="00E81825" w:rsidRPr="001B0430" w:rsidRDefault="00E81825" w:rsidP="00E81825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</w:rPr>
      </w:pPr>
      <w:r w:rsidRPr="001B0430"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E81825" w:rsidRPr="001B0430" w:rsidRDefault="00E81825" w:rsidP="00E81825">
      <w:pPr>
        <w:numPr>
          <w:ilvl w:val="0"/>
          <w:numId w:val="8"/>
        </w:numPr>
        <w:spacing w:after="0" w:line="276" w:lineRule="auto"/>
        <w:contextualSpacing/>
        <w:jc w:val="both"/>
        <w:rPr>
          <w:b/>
        </w:rPr>
      </w:pPr>
      <w:r w:rsidRPr="001B0430">
        <w:t xml:space="preserve">przyjętych przez Instytucję Zarządzającą RPO WO wskaźników emisji zanieczyszczeń dla poszczególnych rodzajów nośników energii lub energii </w:t>
      </w:r>
      <w:r>
        <w:br/>
      </w:r>
      <w:r w:rsidRPr="001B0430">
        <w:t>w urządzeniach/systemach grzewczych.</w:t>
      </w:r>
    </w:p>
    <w:p w:rsidR="00E81825" w:rsidRPr="001B0430" w:rsidRDefault="00E81825" w:rsidP="00E81825">
      <w:pPr>
        <w:spacing w:after="0"/>
        <w:ind w:left="720"/>
        <w:contextualSpacing/>
        <w:jc w:val="both"/>
        <w:rPr>
          <w:b/>
        </w:rPr>
      </w:pPr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E81825" w:rsidRPr="001B0430" w:rsidRDefault="00E81825" w:rsidP="00E81825">
      <w:pPr>
        <w:keepNext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r w:rsidRPr="001B0430">
        <w:t>e – efekt ekologiczny projektu [Mg]</w:t>
      </w:r>
    </w:p>
    <w:p w:rsidR="00E81825" w:rsidRPr="001B0430" w:rsidRDefault="00E81825" w:rsidP="00E81825">
      <w:pPr>
        <w:spacing w:after="0"/>
        <w:jc w:val="both"/>
      </w:pPr>
      <w:r w:rsidRPr="001B0430">
        <w:lastRenderedPageBreak/>
        <w:t>i – pojedyncza inwestycja</w:t>
      </w:r>
    </w:p>
    <w:p w:rsidR="00E81825" w:rsidRPr="001B0430" w:rsidRDefault="00E81825" w:rsidP="00E81825">
      <w:pPr>
        <w:spacing w:after="0"/>
        <w:jc w:val="both"/>
      </w:pPr>
      <w:proofErr w:type="spellStart"/>
      <w:r w:rsidRPr="001B0430">
        <w:t>e</w:t>
      </w:r>
      <w:r w:rsidRPr="001B0430">
        <w:rPr>
          <w:vertAlign w:val="subscript"/>
        </w:rPr>
        <w:t>i</w:t>
      </w:r>
      <w:proofErr w:type="spellEnd"/>
      <w:r w:rsidRPr="001B0430">
        <w:rPr>
          <w:vertAlign w:val="subscript"/>
        </w:rPr>
        <w:t xml:space="preserve"> </w:t>
      </w:r>
      <w:r w:rsidRPr="001B0430">
        <w:t>– efekt ekologiczny dla redukcji pyłu zawieszonego PM10 dla jednej inwestycji [Mg]</w:t>
      </w:r>
    </w:p>
    <w:p w:rsidR="00E81825" w:rsidRPr="001B0430" w:rsidRDefault="00E81825" w:rsidP="00E81825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1i</w:t>
      </w:r>
      <w:r w:rsidRPr="001B0430">
        <w:t xml:space="preserve"> – emisja zanieczyszczeń przed zmianą [Mg]</w:t>
      </w:r>
    </w:p>
    <w:p w:rsidR="00E81825" w:rsidRPr="001B0430" w:rsidRDefault="00E81825" w:rsidP="00E81825">
      <w:pPr>
        <w:spacing w:after="0"/>
        <w:jc w:val="both"/>
      </w:pPr>
      <w:r w:rsidRPr="001B0430">
        <w:t>E</w:t>
      </w:r>
      <w:r w:rsidRPr="001B0430">
        <w:rPr>
          <w:vertAlign w:val="subscript"/>
        </w:rPr>
        <w:t>2i</w:t>
      </w:r>
      <w:r w:rsidRPr="001B0430">
        <w:t xml:space="preserve"> – emisja zanieczyszczeń po zmianie [Mg]</w:t>
      </w:r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E81825" w:rsidRPr="001B0430" w:rsidRDefault="00A832DF" w:rsidP="00E81825">
      <w:pPr>
        <w:spacing w:before="360" w:after="360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>1i</w:t>
      </w:r>
      <w:r w:rsidRPr="001B0430">
        <w:t xml:space="preserve"> – roczne zużycie energii w </w:t>
      </w:r>
      <w:r w:rsidRPr="001B0430">
        <w:rPr>
          <w:rFonts w:hint="eastAsia"/>
        </w:rPr>
        <w:t>ź</w:t>
      </w:r>
      <w:r w:rsidRPr="001B0430">
        <w:t>ródle, w którym nast</w:t>
      </w:r>
      <w:r w:rsidRPr="001B0430">
        <w:rPr>
          <w:rFonts w:hint="eastAsia"/>
        </w:rPr>
        <w:t>ę</w:t>
      </w:r>
      <w:r w:rsidRPr="001B0430">
        <w:t>puje zamiana paliw (energia ko</w:t>
      </w:r>
      <w:r w:rsidRPr="001B0430">
        <w:rPr>
          <w:rFonts w:hint="eastAsia"/>
        </w:rPr>
        <w:t>ń</w:t>
      </w:r>
      <w:r w:rsidRPr="001B0430">
        <w:t>cowa) [GJ]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:rsidR="00E81825" w:rsidRPr="001B0430" w:rsidRDefault="00E81825" w:rsidP="00E81825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e1i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poprzednio stosowanego [kg/GJ]</w:t>
      </w:r>
    </w:p>
    <w:p w:rsidR="00E81825" w:rsidRPr="001B0430" w:rsidRDefault="00E81825" w:rsidP="00E81825">
      <w:pPr>
        <w:spacing w:after="0"/>
        <w:jc w:val="both"/>
      </w:pPr>
      <w:r w:rsidRPr="001B0430">
        <w:t>w</w:t>
      </w:r>
      <w:r w:rsidRPr="001B0430">
        <w:rPr>
          <w:vertAlign w:val="subscript"/>
        </w:rPr>
        <w:t>e2i</w:t>
      </w:r>
      <w:r w:rsidRPr="001B0430">
        <w:t xml:space="preserve"> – wska</w:t>
      </w:r>
      <w:r w:rsidRPr="001B0430">
        <w:rPr>
          <w:rFonts w:hint="eastAsia"/>
        </w:rPr>
        <w:t>ź</w:t>
      </w:r>
      <w:r w:rsidRPr="001B0430">
        <w:t>nik emisji dla paliwa proponowanego [kg/GJ]</w:t>
      </w:r>
    </w:p>
    <w:p w:rsidR="00E81825" w:rsidRPr="001B0430" w:rsidRDefault="00E81825" w:rsidP="00E81825">
      <w:pPr>
        <w:spacing w:before="240"/>
        <w:jc w:val="both"/>
        <w:rPr>
          <w:i/>
          <w:u w:val="single"/>
        </w:rPr>
      </w:pPr>
      <w:r w:rsidRPr="001B0430">
        <w:rPr>
          <w:i/>
          <w:u w:val="single"/>
        </w:rPr>
        <w:t xml:space="preserve">Roczne zużycie energii w </w:t>
      </w:r>
      <w:r w:rsidRPr="001B0430">
        <w:rPr>
          <w:rFonts w:hint="eastAsia"/>
          <w:i/>
          <w:u w:val="single"/>
        </w:rPr>
        <w:t>ź</w:t>
      </w:r>
      <w:r w:rsidRPr="001B0430">
        <w:rPr>
          <w:i/>
          <w:u w:val="single"/>
        </w:rPr>
        <w:t>ródle, w którym nast</w:t>
      </w:r>
      <w:r w:rsidRPr="001B0430">
        <w:rPr>
          <w:rFonts w:hint="eastAsia"/>
          <w:i/>
          <w:u w:val="single"/>
        </w:rPr>
        <w:t>ę</w:t>
      </w:r>
      <w:r w:rsidRPr="001B0430">
        <w:rPr>
          <w:i/>
          <w:u w:val="single"/>
        </w:rPr>
        <w:t>puje zamiana paliw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:rsidR="00E81825" w:rsidRPr="001B0430" w:rsidRDefault="00A832DF" w:rsidP="00E81825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E81825" w:rsidRPr="00287177" w:rsidRDefault="00E81825" w:rsidP="00E81825">
      <w:pPr>
        <w:spacing w:after="0"/>
        <w:jc w:val="both"/>
      </w:pPr>
    </w:p>
    <w:p w:rsidR="00E81825" w:rsidRPr="00287177" w:rsidRDefault="00E81825" w:rsidP="00E81825">
      <w:pPr>
        <w:spacing w:after="0"/>
        <w:jc w:val="both"/>
      </w:pPr>
    </w:p>
    <w:p w:rsidR="00E81825" w:rsidRPr="00287177" w:rsidRDefault="00E81825" w:rsidP="00E81825">
      <w:pPr>
        <w:spacing w:after="0"/>
        <w:jc w:val="both"/>
      </w:pPr>
    </w:p>
    <w:p w:rsidR="00E81825" w:rsidRPr="001B0430" w:rsidRDefault="00E81825" w:rsidP="00E81825">
      <w:pPr>
        <w:spacing w:after="0"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proofErr w:type="spellStart"/>
      <w:r w:rsidRPr="001B0430">
        <w:t>Q</w:t>
      </w:r>
      <w:r w:rsidRPr="001B0430">
        <w:rPr>
          <w:vertAlign w:val="subscript"/>
        </w:rPr>
        <w:t>i</w:t>
      </w:r>
      <w:proofErr w:type="spellEnd"/>
      <w:r w:rsidRPr="001B0430">
        <w:t xml:space="preserve"> – wartość opałowa paliwa poprzednio stosowanego [GJ/Mg]</w:t>
      </w:r>
    </w:p>
    <w:p w:rsidR="00E81825" w:rsidRPr="001B0430" w:rsidRDefault="00E81825" w:rsidP="00E81825">
      <w:pPr>
        <w:spacing w:after="0"/>
        <w:jc w:val="both"/>
      </w:pPr>
      <w:r w:rsidRPr="001B0430">
        <w:t>m</w:t>
      </w:r>
      <w:r w:rsidRPr="001B0430">
        <w:rPr>
          <w:vertAlign w:val="subscript"/>
        </w:rPr>
        <w:t xml:space="preserve">i </w:t>
      </w:r>
      <w:r w:rsidRPr="001B0430">
        <w:t>– zużycie paliwa [Mg] – założenie, nie więcej niż 5 Mg na 100 m</w:t>
      </w:r>
      <w:r w:rsidRPr="001B0430">
        <w:rPr>
          <w:vertAlign w:val="superscript"/>
        </w:rPr>
        <w:t>2</w:t>
      </w:r>
      <w:r w:rsidRPr="001B0430">
        <w:t xml:space="preserve"> powierzchni ogrzewanej dla budynków jednorodzinnych, natomiast dla budynków wielorodzinnych należy w celu udokumentowania zużycia paliwa przedstawić fakturę</w:t>
      </w:r>
    </w:p>
    <w:p w:rsidR="00E81825" w:rsidRPr="001B0430" w:rsidRDefault="00E81825" w:rsidP="00E81825">
      <w:pPr>
        <w:keepNext/>
        <w:jc w:val="both"/>
        <w:rPr>
          <w:i/>
          <w:u w:val="single"/>
        </w:rPr>
      </w:pPr>
      <w:r w:rsidRPr="001B0430">
        <w:rPr>
          <w:i/>
          <w:u w:val="single"/>
        </w:rPr>
        <w:t>Roczne zużycie energii po zmianie paliwa (energia ko</w:t>
      </w:r>
      <w:r w:rsidRPr="001B0430">
        <w:rPr>
          <w:rFonts w:hint="eastAsia"/>
          <w:i/>
          <w:u w:val="single"/>
        </w:rPr>
        <w:t>ń</w:t>
      </w:r>
      <w:r w:rsidRPr="001B0430">
        <w:rPr>
          <w:i/>
          <w:u w:val="single"/>
        </w:rPr>
        <w:t>cowa) [GJ]:</w:t>
      </w:r>
    </w:p>
    <w:p w:rsidR="00E81825" w:rsidRPr="001B0430" w:rsidRDefault="00A832DF" w:rsidP="00E81825">
      <w:pPr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E81825" w:rsidRPr="001B0430" w:rsidRDefault="00E81825" w:rsidP="00E81825">
      <w:pPr>
        <w:spacing w:after="0"/>
        <w:jc w:val="both"/>
      </w:pPr>
      <w:r w:rsidRPr="001B0430">
        <w:t>gdzie: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1i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przed zmian</w:t>
      </w:r>
      <w:r w:rsidRPr="001B0430">
        <w:rPr>
          <w:rFonts w:hint="eastAsia"/>
        </w:rPr>
        <w:t>ą</w:t>
      </w:r>
      <w:r w:rsidRPr="001B0430">
        <w:t xml:space="preserve"> [GJ]</w:t>
      </w:r>
    </w:p>
    <w:p w:rsidR="00E81825" w:rsidRPr="001B0430" w:rsidRDefault="00E81825" w:rsidP="00E81825">
      <w:pPr>
        <w:spacing w:after="0"/>
        <w:jc w:val="both"/>
      </w:pPr>
      <w:r w:rsidRPr="001B0430">
        <w:t>B</w:t>
      </w:r>
      <w:r w:rsidRPr="001B0430">
        <w:rPr>
          <w:vertAlign w:val="subscript"/>
        </w:rPr>
        <w:t xml:space="preserve">2i </w:t>
      </w:r>
      <w:r w:rsidRPr="001B0430">
        <w:t>– energia ko</w:t>
      </w:r>
      <w:r w:rsidRPr="001B0430">
        <w:rPr>
          <w:rFonts w:hint="eastAsia"/>
        </w:rPr>
        <w:t>ń</w:t>
      </w:r>
      <w:r w:rsidRPr="001B0430">
        <w:t>cowa paliwa po zmianie [GJ]</w:t>
      </w:r>
    </w:p>
    <w:p w:rsidR="00E81825" w:rsidRPr="001B0430" w:rsidRDefault="00E81825" w:rsidP="00E81825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1i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przed zmian</w:t>
      </w:r>
      <w:r w:rsidRPr="001B0430">
        <w:rPr>
          <w:rFonts w:hint="eastAsia"/>
        </w:rPr>
        <w:t>ą</w:t>
      </w:r>
      <w:r w:rsidRPr="001B0430">
        <w:t xml:space="preserve"> [%]</w:t>
      </w:r>
    </w:p>
    <w:p w:rsidR="00E81825" w:rsidRPr="001B0430" w:rsidRDefault="00E81825" w:rsidP="00E81825">
      <w:pPr>
        <w:spacing w:after="0"/>
        <w:jc w:val="both"/>
      </w:pPr>
      <w:r w:rsidRPr="001B0430">
        <w:t>η</w:t>
      </w:r>
      <w:r w:rsidRPr="001B0430">
        <w:rPr>
          <w:vertAlign w:val="subscript"/>
        </w:rPr>
        <w:t xml:space="preserve">2i </w:t>
      </w:r>
      <w:r w:rsidRPr="001B0430">
        <w:t>– sprawno</w:t>
      </w:r>
      <w:r w:rsidRPr="001B0430">
        <w:rPr>
          <w:rFonts w:hint="eastAsia"/>
        </w:rPr>
        <w:t>ść</w:t>
      </w:r>
      <w:r w:rsidRPr="001B0430">
        <w:t xml:space="preserve"> energetyczna kotła po zmianie [%]</w:t>
      </w:r>
    </w:p>
    <w:p w:rsidR="00E81825" w:rsidRDefault="00E81825" w:rsidP="00E81825">
      <w:pPr>
        <w:jc w:val="both"/>
      </w:pPr>
      <w:r w:rsidRPr="001B0430"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:rsidR="00E26D4C" w:rsidRDefault="00E26D4C" w:rsidP="00E81825">
      <w:pPr>
        <w:jc w:val="both"/>
      </w:pPr>
    </w:p>
    <w:p w:rsidR="00E26D4C" w:rsidRDefault="00E26D4C" w:rsidP="00E81825">
      <w:pPr>
        <w:jc w:val="both"/>
      </w:pPr>
    </w:p>
    <w:p w:rsidR="00E26D4C" w:rsidRPr="001B0430" w:rsidRDefault="00E26D4C" w:rsidP="00E81825">
      <w:pPr>
        <w:jc w:val="both"/>
      </w:pPr>
    </w:p>
    <w:p w:rsidR="00E81825" w:rsidRPr="001B0430" w:rsidRDefault="00E81825" w:rsidP="00E81825">
      <w:pPr>
        <w:tabs>
          <w:tab w:val="left" w:pos="851"/>
        </w:tabs>
        <w:spacing w:after="0" w:line="240" w:lineRule="auto"/>
        <w:ind w:left="851" w:hanging="851"/>
        <w:jc w:val="both"/>
        <w:rPr>
          <w:bCs/>
          <w:i/>
          <w:sz w:val="20"/>
          <w:szCs w:val="20"/>
        </w:rPr>
      </w:pPr>
      <w:r w:rsidRPr="001B0430">
        <w:rPr>
          <w:bCs/>
          <w:i/>
          <w:sz w:val="20"/>
          <w:szCs w:val="20"/>
        </w:rPr>
        <w:t xml:space="preserve">Tabela </w:t>
      </w:r>
      <w:r w:rsidRPr="001B0430">
        <w:rPr>
          <w:bCs/>
          <w:i/>
          <w:sz w:val="20"/>
          <w:szCs w:val="20"/>
        </w:rPr>
        <w:fldChar w:fldCharType="begin"/>
      </w:r>
      <w:r w:rsidRPr="001B0430">
        <w:rPr>
          <w:bCs/>
          <w:i/>
          <w:sz w:val="20"/>
          <w:szCs w:val="20"/>
        </w:rPr>
        <w:instrText xml:space="preserve"> SEQ Tabela \* ARABIC </w:instrText>
      </w:r>
      <w:r w:rsidRPr="001B0430">
        <w:rPr>
          <w:bCs/>
          <w:i/>
          <w:sz w:val="20"/>
          <w:szCs w:val="20"/>
        </w:rPr>
        <w:fldChar w:fldCharType="separate"/>
      </w:r>
      <w:r w:rsidRPr="001B0430">
        <w:rPr>
          <w:bCs/>
          <w:i/>
          <w:noProof/>
          <w:sz w:val="20"/>
          <w:szCs w:val="20"/>
        </w:rPr>
        <w:t>2</w:t>
      </w:r>
      <w:r w:rsidRPr="001B0430">
        <w:rPr>
          <w:bCs/>
          <w:i/>
          <w:sz w:val="20"/>
          <w:szCs w:val="20"/>
        </w:rPr>
        <w:fldChar w:fldCharType="end"/>
      </w:r>
      <w:r w:rsidRPr="001B0430">
        <w:rPr>
          <w:bCs/>
          <w:i/>
          <w:sz w:val="20"/>
          <w:szCs w:val="20"/>
        </w:rPr>
        <w:t xml:space="preserve">. </w:t>
      </w:r>
      <w:r w:rsidRPr="001B0430">
        <w:rPr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89"/>
        <w:gridCol w:w="4005"/>
      </w:tblGrid>
      <w:tr w:rsidR="00E81825" w:rsidRPr="00287177" w:rsidTr="00E81825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:rsidR="00E81825" w:rsidRPr="00287177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E81825" w:rsidRPr="00287177" w:rsidRDefault="00A832DF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735431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rFonts w:cs="Times New Roman"/>
                <w:b/>
                <w:sz w:val="18"/>
                <w:szCs w:val="18"/>
              </w:rPr>
              <w:t xml:space="preserve">– </w:t>
            </w:r>
            <w:r w:rsidRPr="00287177">
              <w:rPr>
                <w:b/>
                <w:sz w:val="18"/>
                <w:szCs w:val="18"/>
              </w:rPr>
              <w:t>stare kotły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04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brunatny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Gaz ziemny</w:t>
            </w:r>
            <w:r>
              <w:rPr>
                <w:rFonts w:cs="Times New Roman"/>
                <w:b/>
                <w:sz w:val="18"/>
                <w:szCs w:val="18"/>
              </w:rPr>
              <w:t>/LPG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Olej opałowy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E81825" w:rsidRPr="00287177" w:rsidTr="00E81825">
        <w:trPr>
          <w:jc w:val="center"/>
        </w:trPr>
        <w:tc>
          <w:tcPr>
            <w:tcW w:w="3569" w:type="pct"/>
            <w:vAlign w:val="center"/>
          </w:tcPr>
          <w:p w:rsidR="00E81825" w:rsidRPr="00287177" w:rsidRDefault="00E81825" w:rsidP="00E81825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:rsidR="00E81825" w:rsidRPr="00735431" w:rsidRDefault="00E81825" w:rsidP="00E818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:rsidR="00E81825" w:rsidRPr="001B0430" w:rsidRDefault="00E81825" w:rsidP="00E81825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  <w:lang w:val="en-US"/>
        </w:rPr>
      </w:pPr>
      <w:r w:rsidRPr="001B0430">
        <w:rPr>
          <w:i/>
          <w:sz w:val="18"/>
          <w:szCs w:val="18"/>
          <w:vertAlign w:val="superscript"/>
          <w:lang w:val="en-US"/>
        </w:rPr>
        <w:t>1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b/>
          <w:i/>
          <w:sz w:val="18"/>
          <w:szCs w:val="18"/>
          <w:lang w:val="en-US"/>
        </w:rPr>
        <w:t>–</w:t>
      </w:r>
      <w:r w:rsidRPr="001B0430">
        <w:rPr>
          <w:i/>
          <w:sz w:val="18"/>
          <w:szCs w:val="18"/>
          <w:lang w:val="en-US"/>
        </w:rPr>
        <w:t xml:space="preserve"> </w:t>
      </w:r>
      <w:r w:rsidRPr="001B0430">
        <w:rPr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:rsidR="00E81825" w:rsidRPr="001B0430" w:rsidRDefault="00E81825" w:rsidP="00E81825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2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:rsidR="00E81825" w:rsidRDefault="00E81825" w:rsidP="00E81825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  <w:r w:rsidRPr="001B0430">
        <w:rPr>
          <w:i/>
          <w:sz w:val="18"/>
          <w:szCs w:val="18"/>
          <w:vertAlign w:val="superscript"/>
        </w:rPr>
        <w:t>3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b/>
          <w:i/>
          <w:sz w:val="18"/>
          <w:szCs w:val="18"/>
        </w:rPr>
        <w:t>–</w:t>
      </w:r>
      <w:r w:rsidRPr="001B0430">
        <w:rPr>
          <w:i/>
          <w:sz w:val="18"/>
          <w:szCs w:val="18"/>
        </w:rPr>
        <w:t xml:space="preserve"> </w:t>
      </w:r>
      <w:r w:rsidRPr="001B0430">
        <w:rPr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:rsidR="00E81825" w:rsidRPr="001B0430" w:rsidRDefault="00E81825" w:rsidP="00E81825">
      <w:pPr>
        <w:tabs>
          <w:tab w:val="left" w:pos="284"/>
        </w:tabs>
        <w:spacing w:after="0"/>
        <w:ind w:left="284" w:hanging="284"/>
        <w:jc w:val="both"/>
        <w:rPr>
          <w:i/>
          <w:sz w:val="18"/>
          <w:szCs w:val="18"/>
        </w:rPr>
      </w:pPr>
    </w:p>
    <w:p w:rsidR="00E81825" w:rsidRDefault="00E81825" w:rsidP="00E81825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t xml:space="preserve">W przypadku likwidacji indywidualnych źródeł grzewczych i podłączania obiektu do sieci ciepłowniczej zasilanej źródłem powyżej 50 </w:t>
      </w:r>
      <w:proofErr w:type="spellStart"/>
      <w:r w:rsidRPr="001B0430">
        <w:t>MWt</w:t>
      </w:r>
      <w:proofErr w:type="spellEnd"/>
      <w:r w:rsidRPr="001B0430">
        <w:t xml:space="preserve"> oraz poprzez zastosowanie pom</w:t>
      </w:r>
      <w:r>
        <w:t>p</w:t>
      </w:r>
      <w:r w:rsidRPr="001B0430">
        <w:t>y ciepła efekt redukcji pyłu zawieszonego PM10 należy określić jako 100 % dotychczasowej emisji.</w:t>
      </w:r>
    </w:p>
    <w:p w:rsidR="00E81825" w:rsidRDefault="00E81825"/>
    <w:sectPr w:rsidR="00E81825" w:rsidSect="00E8182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DF" w:rsidRDefault="00A832DF" w:rsidP="00A832DF">
      <w:pPr>
        <w:spacing w:after="0" w:line="240" w:lineRule="auto"/>
      </w:pPr>
      <w:r>
        <w:separator/>
      </w:r>
    </w:p>
  </w:endnote>
  <w:endnote w:type="continuationSeparator" w:id="0">
    <w:p w:rsidR="00A832DF" w:rsidRDefault="00A832DF" w:rsidP="00A8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DF" w:rsidRDefault="00A832DF" w:rsidP="00A832DF">
      <w:pPr>
        <w:spacing w:after="0" w:line="240" w:lineRule="auto"/>
      </w:pPr>
      <w:r>
        <w:separator/>
      </w:r>
    </w:p>
  </w:footnote>
  <w:footnote w:type="continuationSeparator" w:id="0">
    <w:p w:rsidR="00A832DF" w:rsidRDefault="00A832DF" w:rsidP="00A8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DF" w:rsidRPr="00A16C97" w:rsidRDefault="00A832DF" w:rsidP="00A832D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263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27</w:t>
    </w:r>
    <w:r w:rsidRPr="00A16C97"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lipca 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>2020 r.</w:t>
    </w:r>
  </w:p>
  <w:p w:rsidR="00A832DF" w:rsidRPr="00A832DF" w:rsidRDefault="00A832DF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3E952430"/>
    <w:multiLevelType w:val="hybridMultilevel"/>
    <w:tmpl w:val="EC9A6FD2"/>
    <w:lvl w:ilvl="0" w:tplc="3210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848E0"/>
    <w:multiLevelType w:val="hybridMultilevel"/>
    <w:tmpl w:val="1CA069B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4666B8F"/>
    <w:multiLevelType w:val="hybridMultilevel"/>
    <w:tmpl w:val="298892A2"/>
    <w:lvl w:ilvl="0" w:tplc="DBFE5BE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0DB2"/>
    <w:multiLevelType w:val="hybridMultilevel"/>
    <w:tmpl w:val="4AD41076"/>
    <w:lvl w:ilvl="0" w:tplc="DBFE5BE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B1E0B"/>
    <w:rsid w:val="002C1821"/>
    <w:rsid w:val="0072482E"/>
    <w:rsid w:val="007D01F6"/>
    <w:rsid w:val="00A832DF"/>
    <w:rsid w:val="00E26D4C"/>
    <w:rsid w:val="00E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C76F-B576-4FC0-AB6A-A27336A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8182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81825"/>
    <w:rPr>
      <w:rFonts w:ascii="Calibri" w:eastAsia="Times New Roman" w:hAnsi="Calibri" w:cs="Times New Roman"/>
    </w:rPr>
  </w:style>
  <w:style w:type="character" w:styleId="Hipercze">
    <w:name w:val="Hyperlink"/>
    <w:rsid w:val="00E818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E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DF"/>
  </w:style>
  <w:style w:type="paragraph" w:styleId="Stopka">
    <w:name w:val="footer"/>
    <w:basedOn w:val="Normalny"/>
    <w:link w:val="StopkaZnak"/>
    <w:uiPriority w:val="99"/>
    <w:unhideWhenUsed/>
    <w:rsid w:val="00A8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ze.pl/en/fileCategory/id/28/wskazniki-emisyjnos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4317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2020-07-29T05:22:00Z</dcterms:created>
  <dcterms:modified xsi:type="dcterms:W3CDTF">2020-07-29T05:53:00Z</dcterms:modified>
</cp:coreProperties>
</file>