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  <w:bookmarkStart w:id="0" w:name="_GoBack"/>
      <w:bookmarkEnd w:id="0"/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AC7E7E" w:rsidRPr="00C6186A" w:rsidTr="002572EB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AC7E7E" w:rsidRPr="00C6186A" w:rsidTr="002572EB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C7E7E" w:rsidRPr="0073524C" w:rsidTr="002572EB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AC7E7E" w:rsidRPr="0073524C" w:rsidRDefault="00AC7E7E" w:rsidP="002572E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AC7E7E" w:rsidRPr="0073524C" w:rsidRDefault="00AC7E7E" w:rsidP="002572E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AC7E7E" w:rsidRPr="0073524C" w:rsidRDefault="00AC7E7E" w:rsidP="002572E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AC7E7E" w:rsidRPr="0073524C" w:rsidRDefault="00AC7E7E" w:rsidP="002572E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AC7E7E" w:rsidRPr="0073524C" w:rsidRDefault="00AC7E7E" w:rsidP="002572E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C7E7E" w:rsidRPr="00C6186A" w:rsidTr="002572EB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AC7E7E" w:rsidRPr="009A56F4" w:rsidRDefault="00AC7E7E" w:rsidP="002572EB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AC7E7E" w:rsidRPr="009A56F4" w:rsidRDefault="00AC7E7E" w:rsidP="002572EB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AC7E7E" w:rsidRPr="00EB07DF" w:rsidRDefault="00AC7E7E" w:rsidP="002572EB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AC7E7E" w:rsidRPr="008A16C5" w:rsidRDefault="00AC7E7E" w:rsidP="002572EB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AC7E7E" w:rsidRPr="00B85BE6" w:rsidRDefault="00AC7E7E" w:rsidP="002572EB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AC7E7E" w:rsidRPr="00B85BE6" w:rsidRDefault="00AC7E7E" w:rsidP="002572EB">
            <w:pPr>
              <w:spacing w:after="0"/>
            </w:pPr>
            <w:r w:rsidRPr="00B85BE6">
              <w:t>o dofinansowanie na podstawie:</w:t>
            </w:r>
          </w:p>
          <w:p w:rsidR="00AC7E7E" w:rsidRDefault="00AC7E7E" w:rsidP="00AC7E7E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AC7E7E" w:rsidRDefault="00AC7E7E" w:rsidP="00AC7E7E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AC7E7E" w:rsidRDefault="00AC7E7E" w:rsidP="00AC7E7E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AC7E7E" w:rsidRPr="009A56F4" w:rsidRDefault="00AC7E7E" w:rsidP="002572EB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AC7E7E" w:rsidRPr="00C6186A" w:rsidTr="002572EB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AC7E7E" w:rsidRPr="009A56F4" w:rsidRDefault="00AC7E7E" w:rsidP="002572EB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AC7E7E" w:rsidRPr="009A56F4" w:rsidRDefault="00AC7E7E" w:rsidP="002572EB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AC7E7E" w:rsidRPr="009A56F4" w:rsidRDefault="00AC7E7E" w:rsidP="002572EB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AC7E7E" w:rsidRPr="008A16C5" w:rsidRDefault="00AC7E7E" w:rsidP="002572EB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AC7E7E" w:rsidRPr="00C53AAA" w:rsidRDefault="00AC7E7E" w:rsidP="002572EB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C7E7E" w:rsidRPr="00C6186A" w:rsidTr="002572EB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AC7E7E" w:rsidRPr="009A56F4" w:rsidRDefault="00AC7E7E" w:rsidP="002572EB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AC7E7E" w:rsidRDefault="00AC7E7E" w:rsidP="002572EB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AC7E7E" w:rsidRDefault="00AC7E7E" w:rsidP="002572EB">
            <w:pPr>
              <w:spacing w:after="0"/>
            </w:pPr>
            <w:r>
              <w:t>- limitów i ograniczeń w realizacji projektów (jeżeli dotyczy),</w:t>
            </w:r>
          </w:p>
          <w:p w:rsidR="00AC7E7E" w:rsidRDefault="00AC7E7E" w:rsidP="002572EB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AC7E7E" w:rsidRPr="009A56F4" w:rsidRDefault="00AC7E7E" w:rsidP="002572EB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AC7E7E" w:rsidRPr="008A16C5" w:rsidRDefault="00AC7E7E" w:rsidP="002572EB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AC7E7E" w:rsidRPr="009A56F4" w:rsidRDefault="00AC7E7E" w:rsidP="002572EB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C7E7E" w:rsidTr="002572EB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AC7E7E" w:rsidRDefault="00AC7E7E" w:rsidP="002572EB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C7E7E" w:rsidRDefault="00AC7E7E" w:rsidP="002572EB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C7E7E" w:rsidRDefault="00AC7E7E" w:rsidP="002572EB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C7E7E" w:rsidRDefault="00AC7E7E" w:rsidP="002572EB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C7E7E" w:rsidRDefault="00AC7E7E" w:rsidP="002572EB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AC7E7E" w:rsidRPr="007F71AC" w:rsidTr="002572E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AC7E7E" w:rsidRPr="007F71AC" w:rsidRDefault="00AC7E7E" w:rsidP="002572E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AC7E7E" w:rsidRDefault="00AC7E7E" w:rsidP="002572EB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AC7E7E" w:rsidRDefault="00AC7E7E" w:rsidP="002572EB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AC7E7E" w:rsidRPr="007F71AC" w:rsidTr="002572E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AC7E7E" w:rsidDel="007A580F" w:rsidRDefault="00AC7E7E" w:rsidP="002572EB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AC7E7E" w:rsidRPr="001015B8" w:rsidRDefault="00AC7E7E" w:rsidP="002572EB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AC7E7E" w:rsidRPr="001015B8" w:rsidRDefault="00AC7E7E" w:rsidP="002572EB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Pr="001015B8" w:rsidRDefault="00AC7E7E" w:rsidP="002572EB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AC7E7E" w:rsidRPr="007F71AC" w:rsidTr="002572E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AC7E7E" w:rsidDel="009623FC" w:rsidRDefault="00AC7E7E" w:rsidP="002572EB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AC7E7E" w:rsidRDefault="00AC7E7E" w:rsidP="002572EB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AC7E7E" w:rsidRPr="00F13886" w:rsidRDefault="00AC7E7E" w:rsidP="002572EB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AC7E7E" w:rsidRPr="007A580F" w:rsidRDefault="00AC7E7E" w:rsidP="002572EB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AC7E7E" w:rsidRPr="007F71AC" w:rsidTr="002572E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AC7E7E" w:rsidDel="009623FC" w:rsidRDefault="00AC7E7E" w:rsidP="002572EB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AC7E7E" w:rsidRDefault="00AC7E7E" w:rsidP="002572EB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AC7E7E" w:rsidRPr="00F13886" w:rsidRDefault="00AC7E7E" w:rsidP="002572EB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AC7E7E" w:rsidRPr="007A580F" w:rsidRDefault="00AC7E7E" w:rsidP="002572EB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AC7E7E" w:rsidRDefault="00AC7E7E" w:rsidP="002572EB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AC7E7E" w:rsidRPr="00C6186A" w:rsidTr="002572EB">
        <w:trPr>
          <w:trHeight w:val="307"/>
        </w:trPr>
        <w:tc>
          <w:tcPr>
            <w:tcW w:w="5000" w:type="pct"/>
            <w:gridSpan w:val="8"/>
            <w:noWrap/>
          </w:tcPr>
          <w:p w:rsidR="00AC7E7E" w:rsidRPr="00883BB2" w:rsidRDefault="00AC7E7E" w:rsidP="002572EB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C7E7E" w:rsidRPr="00C6186A" w:rsidTr="002572EB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AC7E7E" w:rsidRPr="00B85BE6" w:rsidRDefault="00AC7E7E" w:rsidP="002572EB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AC7E7E" w:rsidRPr="00C6186A" w:rsidTr="002572EB">
        <w:trPr>
          <w:trHeight w:val="307"/>
        </w:trPr>
        <w:tc>
          <w:tcPr>
            <w:tcW w:w="225" w:type="pct"/>
            <w:noWrap/>
            <w:vAlign w:val="center"/>
          </w:tcPr>
          <w:p w:rsidR="00AC7E7E" w:rsidRPr="00883BB2" w:rsidRDefault="00AC7E7E" w:rsidP="002572E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AC7E7E" w:rsidRPr="00883BB2" w:rsidRDefault="00AC7E7E" w:rsidP="002572EB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AC7E7E" w:rsidRPr="00883BB2" w:rsidRDefault="00AC7E7E" w:rsidP="002572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AC7E7E" w:rsidRPr="00883BB2" w:rsidRDefault="00AC7E7E" w:rsidP="002572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AC7E7E" w:rsidRPr="00883BB2" w:rsidRDefault="00AC7E7E" w:rsidP="002572EB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AC7E7E" w:rsidRDefault="00AC7E7E" w:rsidP="00AC7E7E">
      <w:pPr>
        <w:rPr>
          <w:b/>
          <w:color w:val="000099"/>
          <w:sz w:val="24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C7E7E" w:rsidRDefault="00AC7E7E" w:rsidP="00AC7E7E">
      <w:pPr>
        <w:rPr>
          <w:b/>
          <w:sz w:val="36"/>
          <w:szCs w:val="36"/>
        </w:rPr>
      </w:pPr>
    </w:p>
    <w:p w:rsidR="00AC7E7E" w:rsidRDefault="00AC7E7E" w:rsidP="00AC7E7E">
      <w:pPr>
        <w:rPr>
          <w:b/>
          <w:sz w:val="36"/>
          <w:szCs w:val="36"/>
        </w:rPr>
      </w:pPr>
    </w:p>
    <w:p w:rsidR="00AC7E7E" w:rsidRDefault="00AC7E7E" w:rsidP="00AC7E7E">
      <w:pPr>
        <w:rPr>
          <w:b/>
          <w:sz w:val="36"/>
          <w:szCs w:val="36"/>
        </w:rPr>
      </w:pP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AC7E7E" w:rsidRPr="00C6186A" w:rsidTr="002572EB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AC7E7E" w:rsidRPr="00C6186A" w:rsidTr="002572EB">
        <w:trPr>
          <w:trHeight w:val="595"/>
        </w:trPr>
        <w:tc>
          <w:tcPr>
            <w:tcW w:w="128" w:type="pct"/>
            <w:noWrap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:rsidR="00AC7E7E" w:rsidRPr="001015B8" w:rsidRDefault="00AC7E7E" w:rsidP="002572E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C7E7E" w:rsidRPr="00C6186A" w:rsidTr="002572EB">
        <w:trPr>
          <w:trHeight w:val="255"/>
        </w:trPr>
        <w:tc>
          <w:tcPr>
            <w:tcW w:w="128" w:type="pct"/>
            <w:noWrap/>
          </w:tcPr>
          <w:p w:rsidR="00AC7E7E" w:rsidRPr="00C415A3" w:rsidRDefault="00AC7E7E" w:rsidP="002572E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AC7E7E" w:rsidRPr="00C415A3" w:rsidRDefault="00AC7E7E" w:rsidP="002572E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AC7E7E" w:rsidRPr="00C415A3" w:rsidRDefault="00AC7E7E" w:rsidP="002572E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AC7E7E" w:rsidRPr="00C415A3" w:rsidRDefault="00AC7E7E" w:rsidP="002572E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AC7E7E" w:rsidRPr="00C415A3" w:rsidRDefault="00AC7E7E" w:rsidP="002572E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AC7E7E" w:rsidRPr="00C6186A" w:rsidTr="002572EB">
        <w:trPr>
          <w:trHeight w:val="477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:rsidR="00AC7E7E" w:rsidRPr="009A56F4" w:rsidRDefault="00AC7E7E" w:rsidP="002572EB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C7E7E" w:rsidRPr="00BA0CA3" w:rsidRDefault="00AC7E7E" w:rsidP="002572E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AC7E7E" w:rsidRPr="009A56F4" w:rsidRDefault="00AC7E7E" w:rsidP="002572EB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AC7E7E" w:rsidRPr="00C6186A" w:rsidTr="002572EB">
        <w:trPr>
          <w:trHeight w:val="850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:rsidR="00AC7E7E" w:rsidRPr="009A56F4" w:rsidRDefault="00AC7E7E" w:rsidP="002572EB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C7E7E" w:rsidRPr="00BA0CA3" w:rsidRDefault="00AC7E7E" w:rsidP="002572E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Pr="009A56F4" w:rsidRDefault="00AC7E7E" w:rsidP="002572EB">
            <w:pPr>
              <w:spacing w:after="40"/>
            </w:pPr>
            <w:r w:rsidRPr="009A56F4">
              <w:t>Bada się wykonalność projektu wg: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AC7E7E" w:rsidRPr="009A56F4" w:rsidRDefault="00AC7E7E" w:rsidP="002572EB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AC7E7E" w:rsidRPr="009A56F4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AC7E7E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AC7E7E" w:rsidRDefault="00AC7E7E" w:rsidP="00AC7E7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AC7E7E" w:rsidRPr="009A56F4" w:rsidRDefault="00AC7E7E" w:rsidP="002572EB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850"/>
        </w:trPr>
        <w:tc>
          <w:tcPr>
            <w:tcW w:w="128" w:type="pct"/>
            <w:noWrap/>
          </w:tcPr>
          <w:p w:rsidR="00AC7E7E" w:rsidRDefault="00AC7E7E" w:rsidP="002572EB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:rsidR="00AC7E7E" w:rsidRDefault="00AC7E7E" w:rsidP="002572EB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:rsidR="00AC7E7E" w:rsidRDefault="00AC7E7E" w:rsidP="002572E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C7E7E" w:rsidRPr="003152F6" w:rsidRDefault="00AC7E7E" w:rsidP="002572E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Default="00AC7E7E" w:rsidP="002572EB">
            <w:pPr>
              <w:spacing w:after="40"/>
            </w:pPr>
            <w:r>
              <w:t xml:space="preserve">Bada się: </w:t>
            </w:r>
          </w:p>
          <w:p w:rsidR="00AC7E7E" w:rsidRPr="00F63135" w:rsidRDefault="00AC7E7E" w:rsidP="00AC7E7E">
            <w:pPr>
              <w:pStyle w:val="Akapitzlist"/>
              <w:numPr>
                <w:ilvl w:val="0"/>
                <w:numId w:val="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AC7E7E" w:rsidRDefault="00AC7E7E" w:rsidP="00AC7E7E">
            <w:pPr>
              <w:pStyle w:val="Akapitzlist"/>
              <w:numPr>
                <w:ilvl w:val="0"/>
                <w:numId w:val="7"/>
              </w:numPr>
              <w:spacing w:after="40"/>
            </w:pPr>
            <w:r>
              <w:t>efektywność i wykonalność finansową projektu.</w:t>
            </w:r>
          </w:p>
          <w:p w:rsidR="00AC7E7E" w:rsidRDefault="00AC7E7E" w:rsidP="002572EB">
            <w:pPr>
              <w:spacing w:after="40"/>
            </w:pPr>
          </w:p>
          <w:p w:rsidR="00AC7E7E" w:rsidRPr="00106EDC" w:rsidRDefault="00AC7E7E" w:rsidP="002572EB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850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:rsidR="00AC7E7E" w:rsidRPr="009A56F4" w:rsidRDefault="00AC7E7E" w:rsidP="002572EB">
            <w:r>
              <w:t>Kwalifikowalność wydatków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C7E7E" w:rsidRPr="003152F6" w:rsidRDefault="00AC7E7E" w:rsidP="002572E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Pr="00106EDC" w:rsidRDefault="00AC7E7E" w:rsidP="002572EB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AC7E7E" w:rsidRPr="00106EDC" w:rsidRDefault="00AC7E7E" w:rsidP="00AC7E7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AC7E7E" w:rsidRDefault="00AC7E7E" w:rsidP="00AC7E7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AC7E7E" w:rsidRDefault="00AC7E7E" w:rsidP="00AC7E7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AC7E7E" w:rsidRPr="009A56F4" w:rsidRDefault="00AC7E7E" w:rsidP="002572EB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644"/>
        </w:trPr>
        <w:tc>
          <w:tcPr>
            <w:tcW w:w="128" w:type="pct"/>
            <w:noWrap/>
          </w:tcPr>
          <w:p w:rsidR="00AC7E7E" w:rsidRDefault="00AC7E7E" w:rsidP="002572EB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:rsidR="00AC7E7E" w:rsidRPr="009A56F4" w:rsidRDefault="00AC7E7E" w:rsidP="002572EB">
            <w:r>
              <w:t>Kwalifikowalność wydatków w zakresie finansowo-ekonomicznym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:rsidR="00AC7E7E" w:rsidRPr="003152F6" w:rsidRDefault="00AC7E7E" w:rsidP="002572E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Default="00AC7E7E" w:rsidP="002572EB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AC7E7E" w:rsidRDefault="00AC7E7E" w:rsidP="00AC7E7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AC7E7E" w:rsidRPr="00F63135" w:rsidRDefault="00AC7E7E" w:rsidP="00AC7E7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AC7E7E" w:rsidRDefault="00AC7E7E" w:rsidP="00AC7E7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AC7E7E" w:rsidRPr="009A56F4" w:rsidRDefault="00AC7E7E" w:rsidP="002572EB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644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:rsidR="00AC7E7E" w:rsidRPr="009A56F4" w:rsidRDefault="00AC7E7E" w:rsidP="002572EB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:rsidR="00AC7E7E" w:rsidRPr="00BA0CA3" w:rsidRDefault="00AC7E7E" w:rsidP="002572E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Pr="009A56F4" w:rsidRDefault="00AC7E7E" w:rsidP="002572EB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AC7E7E" w:rsidRDefault="00AC7E7E" w:rsidP="002572EB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AC7E7E" w:rsidRPr="009A56F4" w:rsidRDefault="00AC7E7E" w:rsidP="002572E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479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:rsidR="00AC7E7E" w:rsidRPr="009A56F4" w:rsidRDefault="00AC7E7E" w:rsidP="002572EB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C7E7E" w:rsidRPr="00BA0CA3" w:rsidRDefault="00AC7E7E" w:rsidP="002572E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Pr="009A56F4" w:rsidRDefault="00AC7E7E" w:rsidP="002572EB">
            <w:pPr>
              <w:spacing w:after="40"/>
            </w:pPr>
            <w:r w:rsidRPr="009A56F4">
              <w:t>Bada się trwałość projektu:</w:t>
            </w:r>
          </w:p>
          <w:p w:rsidR="00AC7E7E" w:rsidRPr="009A56F4" w:rsidRDefault="00AC7E7E" w:rsidP="00AC7E7E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AC7E7E" w:rsidRPr="009A56F4" w:rsidRDefault="00AC7E7E" w:rsidP="00AC7E7E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AC7E7E" w:rsidRDefault="00AC7E7E" w:rsidP="002572EB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AC7E7E" w:rsidRPr="009A56F4" w:rsidRDefault="00AC7E7E" w:rsidP="002572EB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479"/>
        </w:trPr>
        <w:tc>
          <w:tcPr>
            <w:tcW w:w="128" w:type="pct"/>
            <w:noWrap/>
          </w:tcPr>
          <w:p w:rsidR="00AC7E7E" w:rsidRDefault="00AC7E7E" w:rsidP="002572EB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:rsidR="00AC7E7E" w:rsidRDefault="00AC7E7E" w:rsidP="002572EB">
            <w:r>
              <w:t>Finansowa trwałość projektu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C7E7E" w:rsidRPr="003152F6" w:rsidRDefault="00AC7E7E" w:rsidP="002572E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Default="00AC7E7E" w:rsidP="002572EB">
            <w:pPr>
              <w:spacing w:after="40"/>
            </w:pPr>
            <w:r>
              <w:t>Bada się finansową trwałość projektu.</w:t>
            </w:r>
          </w:p>
          <w:p w:rsidR="00AC7E7E" w:rsidRDefault="00AC7E7E" w:rsidP="002572EB">
            <w:pPr>
              <w:spacing w:after="40"/>
            </w:pPr>
          </w:p>
          <w:p w:rsidR="00AC7E7E" w:rsidRDefault="00AC7E7E" w:rsidP="002572EB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AC7E7E" w:rsidRDefault="00AC7E7E" w:rsidP="002572EB">
            <w:pPr>
              <w:spacing w:after="40"/>
            </w:pPr>
          </w:p>
          <w:p w:rsidR="00AC7E7E" w:rsidRPr="009A56F4" w:rsidRDefault="00AC7E7E" w:rsidP="002572EB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AC7E7E" w:rsidRPr="00C6186A" w:rsidTr="002572EB">
        <w:trPr>
          <w:trHeight w:val="3700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:rsidR="00AC7E7E" w:rsidRPr="009A56F4" w:rsidRDefault="00AC7E7E" w:rsidP="002572EB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AC7E7E" w:rsidRPr="009A56F4" w:rsidRDefault="00AC7E7E" w:rsidP="002572E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C7E7E" w:rsidRPr="00BA0CA3" w:rsidRDefault="00AC7E7E" w:rsidP="002572EB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C7E7E" w:rsidRDefault="00AC7E7E" w:rsidP="002572EB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AC7E7E" w:rsidRDefault="00AC7E7E" w:rsidP="002572EB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AC7E7E" w:rsidRPr="009A56F4" w:rsidRDefault="00AC7E7E" w:rsidP="002572EB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RPr="00C6186A" w:rsidTr="002572EB">
        <w:trPr>
          <w:trHeight w:val="564"/>
        </w:trPr>
        <w:tc>
          <w:tcPr>
            <w:tcW w:w="128" w:type="pct"/>
            <w:noWrap/>
          </w:tcPr>
          <w:p w:rsidR="00AC7E7E" w:rsidRPr="009A56F4" w:rsidRDefault="00AC7E7E" w:rsidP="002572EB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:rsidR="00AC7E7E" w:rsidRPr="00331F29" w:rsidRDefault="00AC7E7E" w:rsidP="002572EB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:rsidR="00AC7E7E" w:rsidRPr="00331F29" w:rsidRDefault="00AC7E7E" w:rsidP="002572EB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:rsidR="00AC7E7E" w:rsidRPr="00BA0CA3" w:rsidRDefault="00AC7E7E" w:rsidP="002572E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AC7E7E" w:rsidRDefault="00AC7E7E" w:rsidP="002572EB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AC7E7E" w:rsidRDefault="00AC7E7E" w:rsidP="002572E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Tr="002572E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C7E7E" w:rsidRDefault="00AC7E7E" w:rsidP="002572EB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AC7E7E" w:rsidRDefault="00AC7E7E" w:rsidP="002572E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Tr="002572E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C7E7E" w:rsidRDefault="00AC7E7E" w:rsidP="002572EB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AC7E7E" w:rsidRDefault="00AC7E7E" w:rsidP="002572EB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C7E7E" w:rsidTr="002572E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C7E7E" w:rsidRDefault="00AC7E7E" w:rsidP="002572EB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7E7E" w:rsidRDefault="00AC7E7E" w:rsidP="002572E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AC7E7E" w:rsidRDefault="00AC7E7E" w:rsidP="002572EB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AC7E7E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Default="00AC7E7E">
      <w:pPr>
        <w:spacing w:after="160" w:line="259" w:lineRule="auto"/>
      </w:pPr>
      <w:r>
        <w:br w:type="page"/>
      </w:r>
    </w:p>
    <w:p w:rsidR="00AC7E7E" w:rsidRDefault="00AC7E7E" w:rsidP="00AC7E7E">
      <w:pPr>
        <w:rPr>
          <w:rFonts w:ascii="Times New Roman" w:hAnsi="Times New Roman"/>
          <w:b/>
          <w:sz w:val="36"/>
          <w:szCs w:val="36"/>
        </w:rPr>
      </w:pPr>
    </w:p>
    <w:p w:rsidR="00AC7E7E" w:rsidRDefault="00AC7E7E" w:rsidP="00AC7E7E">
      <w:pPr>
        <w:rPr>
          <w:rFonts w:ascii="Times New Roman" w:hAnsi="Times New Roman"/>
          <w:b/>
          <w:sz w:val="36"/>
          <w:szCs w:val="36"/>
        </w:rPr>
      </w:pPr>
    </w:p>
    <w:p w:rsidR="00AC7E7E" w:rsidRDefault="00AC7E7E" w:rsidP="00AC7E7E">
      <w:pPr>
        <w:rPr>
          <w:rFonts w:ascii="Times New Roman" w:hAnsi="Times New Roman"/>
          <w:b/>
          <w:sz w:val="36"/>
          <w:szCs w:val="36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AC7E7E" w:rsidRPr="001015B8" w:rsidRDefault="00AC7E7E" w:rsidP="00AC7E7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AC7E7E" w:rsidRPr="00FF79BE" w:rsidRDefault="00AC7E7E" w:rsidP="00AC7E7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AC7E7E" w:rsidRPr="00B64FA6" w:rsidTr="002572EB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AC7E7E" w:rsidRPr="00B64FA6" w:rsidTr="002572EB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AC7E7E" w:rsidRPr="001015B8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C7E7E" w:rsidRPr="00B64FA6" w:rsidTr="002572EB"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B64FA6" w:rsidTr="002572EB">
        <w:trPr>
          <w:trHeight w:val="5464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AC7E7E" w:rsidRPr="00B64FA6" w:rsidRDefault="00AC7E7E" w:rsidP="002572EB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AC7E7E" w:rsidRPr="00B64FA6" w:rsidRDefault="00AC7E7E" w:rsidP="002572EB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4452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AC7E7E" w:rsidRPr="00B64FA6" w:rsidRDefault="00AC7E7E" w:rsidP="002572EB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AC7E7E" w:rsidRPr="00B64FA6" w:rsidRDefault="00AC7E7E" w:rsidP="002572EB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AC7E7E" w:rsidRPr="00B64FA6" w:rsidTr="002572EB">
        <w:trPr>
          <w:trHeight w:val="679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AC7E7E" w:rsidRPr="00B64FA6" w:rsidRDefault="00AC7E7E" w:rsidP="002572EB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AC7E7E" w:rsidRPr="00B64FA6" w:rsidTr="002572E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440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AC7E7E" w:rsidRPr="00B64FA6" w:rsidTr="002572EB">
        <w:trPr>
          <w:trHeight w:val="2611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AC7E7E" w:rsidRPr="00B64FA6" w:rsidTr="00AC7E7E">
        <w:trPr>
          <w:trHeight w:val="2356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981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AC7E7E" w:rsidRPr="00B64FA6" w:rsidTr="002572EB">
        <w:trPr>
          <w:trHeight w:val="1958"/>
        </w:trPr>
        <w:tc>
          <w:tcPr>
            <w:tcW w:w="534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AC7E7E" w:rsidRPr="00B64FA6" w:rsidTr="002572E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AC7E7E" w:rsidRPr="00B64FA6" w:rsidTr="002572EB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C7E7E" w:rsidRPr="00E46895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C7E7E" w:rsidRPr="00E46895" w:rsidRDefault="00AC7E7E" w:rsidP="002572EB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B64FA6" w:rsidTr="002572EB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C7E7E" w:rsidRPr="00E46895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E46895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C7E7E" w:rsidRPr="00E46895" w:rsidRDefault="00AC7E7E" w:rsidP="002572EB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805"/>
        </w:trPr>
        <w:tc>
          <w:tcPr>
            <w:tcW w:w="534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AC7E7E" w:rsidRPr="00673958" w:rsidRDefault="00AC7E7E" w:rsidP="002572E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673958" w:rsidRDefault="00AC7E7E" w:rsidP="002572EB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C7E7E" w:rsidRPr="00673958" w:rsidRDefault="00AC7E7E" w:rsidP="002572EB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AC7E7E" w:rsidRDefault="00AC7E7E" w:rsidP="00AC7E7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AC7E7E" w:rsidRPr="00B64FA6" w:rsidTr="002572EB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AC7E7E" w:rsidRPr="001015B8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C7E7E" w:rsidRPr="00B64FA6" w:rsidTr="002572EB"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B64FA6" w:rsidTr="002572EB">
        <w:trPr>
          <w:trHeight w:val="1355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AC7E7E" w:rsidRPr="00B64FA6" w:rsidTr="002572EB">
        <w:trPr>
          <w:trHeight w:val="1416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AC7E7E" w:rsidRPr="00B64FA6" w:rsidTr="002572EB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1100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20393A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AC7E7E" w:rsidRPr="00B64FA6" w:rsidTr="002572EB">
        <w:trPr>
          <w:trHeight w:val="1696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185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AC7E7E" w:rsidRPr="003E1AC0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AC7E7E" w:rsidRPr="003E1AC0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AC7E7E" w:rsidRPr="003E1AC0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AC7E7E" w:rsidRPr="003E1AC0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AC7E7E" w:rsidRPr="003E1AC0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AC7E7E" w:rsidRPr="00B64FA6" w:rsidTr="002572EB">
        <w:trPr>
          <w:trHeight w:val="3675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AC7E7E" w:rsidRPr="00B64FA6" w:rsidTr="002572EB">
        <w:trPr>
          <w:trHeight w:val="254"/>
        </w:trPr>
        <w:tc>
          <w:tcPr>
            <w:tcW w:w="534" w:type="dxa"/>
            <w:vAlign w:val="center"/>
          </w:tcPr>
          <w:p w:rsidR="00AC7E7E" w:rsidRPr="00D75DD1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AC7E7E" w:rsidRPr="00D75DD1" w:rsidRDefault="00AC7E7E" w:rsidP="002572EB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D75DD1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D75DD1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AC7E7E" w:rsidRPr="00D75DD1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AC7E7E" w:rsidRPr="00D75DD1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AC7E7E" w:rsidRPr="00D75DD1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AC7E7E" w:rsidRPr="00D75DD1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AC7E7E" w:rsidRPr="00D75DD1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326"/>
        </w:trPr>
        <w:tc>
          <w:tcPr>
            <w:tcW w:w="5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AC7E7E" w:rsidRPr="00B64FA6" w:rsidTr="002572EB">
        <w:trPr>
          <w:trHeight w:val="1550"/>
        </w:trPr>
        <w:tc>
          <w:tcPr>
            <w:tcW w:w="534" w:type="dxa"/>
            <w:vAlign w:val="center"/>
          </w:tcPr>
          <w:p w:rsidR="00AC7E7E" w:rsidRPr="00B64FA6" w:rsidDel="004548CF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20393A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AC7E7E" w:rsidRPr="00B64FA6" w:rsidDel="002768D1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AC7E7E" w:rsidRPr="00B64FA6" w:rsidTr="002572EB">
        <w:trPr>
          <w:trHeight w:val="1955"/>
        </w:trPr>
        <w:tc>
          <w:tcPr>
            <w:tcW w:w="534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20393A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AC7E7E" w:rsidRDefault="00AC7E7E" w:rsidP="00AC7E7E"/>
    <w:p w:rsidR="00AC7E7E" w:rsidRDefault="00AC7E7E" w:rsidP="00AC7E7E"/>
    <w:p w:rsidR="00AC7E7E" w:rsidRDefault="00AC7E7E" w:rsidP="00AC7E7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AC7E7E" w:rsidRPr="00B64FA6" w:rsidTr="002572EB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AC7E7E" w:rsidRPr="001015B8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AC7E7E" w:rsidRPr="00B64FA6" w:rsidTr="002572EB">
        <w:tc>
          <w:tcPr>
            <w:tcW w:w="46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46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B64FA6" w:rsidTr="002572EB">
        <w:trPr>
          <w:trHeight w:val="3165"/>
        </w:trPr>
        <w:tc>
          <w:tcPr>
            <w:tcW w:w="46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AC7E7E">
        <w:trPr>
          <w:trHeight w:val="1967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AC7E7E" w:rsidRPr="00B64FA6" w:rsidTr="002572E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B64FA6" w:rsidTr="002572EB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564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AC7E7E" w:rsidRPr="00EE6B4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AC7E7E" w:rsidRPr="00B64FA6" w:rsidTr="002572EB">
        <w:trPr>
          <w:trHeight w:val="1551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AC7E7E" w:rsidRPr="00B64FA6" w:rsidTr="002572EB">
        <w:trPr>
          <w:trHeight w:val="1687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AC7E7E" w:rsidRPr="00B64FA6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AC7E7E" w:rsidRPr="00B64FA6" w:rsidTr="00AC7E7E">
        <w:trPr>
          <w:trHeight w:val="2009"/>
        </w:trPr>
        <w:tc>
          <w:tcPr>
            <w:tcW w:w="534" w:type="dxa"/>
            <w:gridSpan w:val="2"/>
            <w:vAlign w:val="center"/>
          </w:tcPr>
          <w:p w:rsidR="00AC7E7E" w:rsidRPr="00B64FA6" w:rsidDel="004A1C19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20393A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326"/>
        </w:trPr>
        <w:tc>
          <w:tcPr>
            <w:tcW w:w="534" w:type="dxa"/>
            <w:gridSpan w:val="2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20393A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AC7E7E" w:rsidRPr="00B64FA6" w:rsidTr="002572EB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AC7E7E" w:rsidRPr="002427B2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AC7E7E" w:rsidRPr="00B64FA6" w:rsidTr="002572EB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D24D49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AC7E7E" w:rsidRPr="00D24D49" w:rsidRDefault="00AC7E7E" w:rsidP="002572EB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B64FA6" w:rsidTr="002572EB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D24D49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C7E7E" w:rsidRPr="00D24D49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AC7E7E" w:rsidRPr="00D24D49" w:rsidRDefault="00AC7E7E" w:rsidP="002572EB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AC7E7E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AC7E7E" w:rsidRPr="00AB6DC1" w:rsidRDefault="00AC7E7E" w:rsidP="002572EB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AC7E7E" w:rsidRPr="00AB6DC1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AC7E7E" w:rsidRDefault="00AC7E7E" w:rsidP="00AC7E7E"/>
    <w:p w:rsidR="00AC7E7E" w:rsidRDefault="00AC7E7E" w:rsidP="00AC7E7E"/>
    <w:p w:rsidR="00AC7E7E" w:rsidRDefault="00AC7E7E" w:rsidP="00AC7E7E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AC7E7E" w:rsidRPr="00B64FA6" w:rsidTr="002572EB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AC7E7E" w:rsidRDefault="00AC7E7E" w:rsidP="002572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AC7E7E" w:rsidRPr="001015B8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AC7E7E" w:rsidRPr="00B64FA6" w:rsidTr="002572EB">
        <w:tc>
          <w:tcPr>
            <w:tcW w:w="46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46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B64FA6" w:rsidTr="002572EB">
        <w:trPr>
          <w:trHeight w:val="1840"/>
        </w:trPr>
        <w:tc>
          <w:tcPr>
            <w:tcW w:w="46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AC7E7E" w:rsidRPr="00B64FA6" w:rsidTr="002572EB">
        <w:trPr>
          <w:trHeight w:val="2250"/>
        </w:trPr>
        <w:tc>
          <w:tcPr>
            <w:tcW w:w="46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AC7E7E" w:rsidRPr="00620FE6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1530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AC7E7E" w:rsidRPr="00B33F11" w:rsidRDefault="00AC7E7E" w:rsidP="002572EB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AC7E7E" w:rsidRPr="00B33F11" w:rsidRDefault="00AC7E7E" w:rsidP="002572EB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AC7E7E" w:rsidRPr="00B33F11" w:rsidRDefault="00AC7E7E" w:rsidP="002572EB">
            <w:pPr>
              <w:spacing w:after="0"/>
            </w:pPr>
            <w:r w:rsidRPr="00B33F11">
              <w:t>2 pkt – dwie grupy (np. dzieci i młodzież)</w:t>
            </w:r>
          </w:p>
          <w:p w:rsidR="00AC7E7E" w:rsidRPr="00B64FA6" w:rsidRDefault="00AC7E7E" w:rsidP="002572EB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1901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AC7E7E" w:rsidRPr="00B64FA6" w:rsidTr="002572EB">
        <w:trPr>
          <w:trHeight w:val="3117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AC7E7E" w:rsidRPr="00F03537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AC7E7E" w:rsidRPr="00F03537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AC7E7E" w:rsidRPr="00F03537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AC7E7E" w:rsidRPr="00B64FA6" w:rsidTr="00AC7E7E">
        <w:trPr>
          <w:trHeight w:val="2412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AC7E7E" w:rsidRPr="00B64FA6" w:rsidTr="002572E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AC7E7E" w:rsidRPr="00B64FA6" w:rsidTr="002572E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C7E7E" w:rsidRPr="00AB6DC1" w:rsidTr="002572EB">
        <w:tc>
          <w:tcPr>
            <w:tcW w:w="534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AC7E7E" w:rsidRPr="00AB6DC1" w:rsidRDefault="00AC7E7E" w:rsidP="002572E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B64FA6" w:rsidTr="002572EB">
        <w:trPr>
          <w:trHeight w:val="986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AC7E7E" w:rsidRPr="00B33F11" w:rsidRDefault="00AC7E7E" w:rsidP="002572EB">
            <w:pPr>
              <w:spacing w:after="40"/>
            </w:pPr>
            <w:r w:rsidRPr="00B33F11">
              <w:t>Punkty będą przyznawane:</w:t>
            </w:r>
          </w:p>
          <w:p w:rsidR="00AC7E7E" w:rsidRDefault="00AC7E7E" w:rsidP="002572EB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AC7E7E" w:rsidRDefault="00AC7E7E" w:rsidP="002572EB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AC7E7E" w:rsidRPr="00B64FA6" w:rsidDel="000F2F85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AC7E7E" w:rsidRPr="00B64FA6" w:rsidTr="002572EB">
        <w:trPr>
          <w:trHeight w:val="986"/>
        </w:trPr>
        <w:tc>
          <w:tcPr>
            <w:tcW w:w="534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AC7E7E" w:rsidRPr="00B64FA6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AC7E7E" w:rsidRPr="00B64FA6" w:rsidTr="002572EB">
        <w:trPr>
          <w:trHeight w:val="986"/>
        </w:trPr>
        <w:tc>
          <w:tcPr>
            <w:tcW w:w="534" w:type="dxa"/>
            <w:gridSpan w:val="2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AC7E7E" w:rsidRPr="00B64FA6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AC7E7E" w:rsidRPr="002427B2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AC7E7E" w:rsidRDefault="00AC7E7E" w:rsidP="00AC7E7E">
      <w:pPr>
        <w:rPr>
          <w:rFonts w:ascii="Times New Roman" w:hAnsi="Times New Roman"/>
          <w:b/>
          <w:sz w:val="36"/>
          <w:szCs w:val="36"/>
        </w:rPr>
      </w:pPr>
    </w:p>
    <w:p w:rsidR="00AC7E7E" w:rsidRDefault="00AC7E7E" w:rsidP="00AC7E7E">
      <w:pPr>
        <w:rPr>
          <w:rFonts w:ascii="Times New Roman" w:hAnsi="Times New Roman"/>
          <w:b/>
          <w:sz w:val="36"/>
          <w:szCs w:val="36"/>
        </w:rPr>
      </w:pPr>
    </w:p>
    <w:p w:rsidR="00AC7E7E" w:rsidRDefault="00AC7E7E">
      <w:pPr>
        <w:spacing w:after="160" w:line="259" w:lineRule="auto"/>
      </w:pPr>
      <w:r>
        <w:br w:type="page"/>
      </w:r>
    </w:p>
    <w:p w:rsidR="00AC7E7E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C7E7E" w:rsidRPr="001015B8" w:rsidRDefault="00AC7E7E" w:rsidP="00AC7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AC7E7E" w:rsidRDefault="00AC7E7E" w:rsidP="00AC7E7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C7E7E" w:rsidRPr="00F14B87" w:rsidRDefault="00AC7E7E" w:rsidP="00AC7E7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AC7E7E" w:rsidRPr="0020393A" w:rsidTr="002572EB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AC7E7E" w:rsidRPr="0020393A" w:rsidTr="002572EB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AC7E7E" w:rsidRPr="0020393A" w:rsidTr="002572EB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AC7E7E" w:rsidRPr="00BF532C" w:rsidTr="002572EB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AC7E7E" w:rsidRPr="0020393A" w:rsidTr="002572EB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20393A" w:rsidTr="002572EB">
        <w:trPr>
          <w:trHeight w:val="1695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</w:tc>
      </w:tr>
      <w:tr w:rsidR="00AC7E7E" w:rsidRPr="0020393A" w:rsidTr="002572EB">
        <w:trPr>
          <w:trHeight w:val="850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AC7E7E" w:rsidRPr="0020393A" w:rsidTr="002572EB">
        <w:trPr>
          <w:trHeight w:val="283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Del="00E46505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AC7E7E" w:rsidRPr="0020393A" w:rsidTr="00AC7E7E">
        <w:trPr>
          <w:trHeight w:val="1266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Del="00E46505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4141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AC7E7E" w:rsidRPr="00BF532C" w:rsidRDefault="00AC7E7E" w:rsidP="002572EB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regionu.</w:t>
            </w:r>
          </w:p>
        </w:tc>
      </w:tr>
      <w:tr w:rsidR="00AC7E7E" w:rsidRPr="0020393A" w:rsidTr="002572EB">
        <w:trPr>
          <w:trHeight w:val="1489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AC7E7E" w:rsidRPr="0020393A" w:rsidRDefault="00AC7E7E" w:rsidP="002572EB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AC7E7E" w:rsidRPr="0020393A" w:rsidTr="002572EB">
        <w:trPr>
          <w:trHeight w:val="1732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AC7E7E" w:rsidRPr="0020393A" w:rsidRDefault="00AC7E7E" w:rsidP="002572E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AC7E7E" w:rsidRPr="0020393A" w:rsidTr="002572EB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20393A" w:rsidTr="002572E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AC7E7E" w:rsidRPr="00D267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2582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50108B" w:rsidRDefault="00AC7E7E" w:rsidP="002572EB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AC7E7E" w:rsidRPr="0050108B" w:rsidRDefault="00AC7E7E" w:rsidP="002572EB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AC7E7E" w:rsidRPr="0020393A" w:rsidTr="00AC7E7E">
        <w:trPr>
          <w:trHeight w:val="4972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50108B" w:rsidDel="0026380A" w:rsidRDefault="00AC7E7E" w:rsidP="002572EB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AC7E7E" w:rsidRPr="0050108B" w:rsidRDefault="00AC7E7E" w:rsidP="002572E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AC7E7E" w:rsidRPr="0050108B" w:rsidRDefault="00AC7E7E" w:rsidP="002572EB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AC7E7E" w:rsidRPr="0020393A" w:rsidTr="002572EB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20393A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AC7E7E" w:rsidRPr="0020393A" w:rsidTr="00AC7E7E">
        <w:trPr>
          <w:trHeight w:val="7430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 wzdłuż całego odcinka objętego inwestycją</w:t>
            </w:r>
            <w:r w:rsidRPr="0020393A">
              <w:rPr>
                <w:lang w:eastAsia="pl-PL"/>
              </w:rPr>
              <w:t>;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 wzdłuż całego odcinka objętego inwestycją;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AC7E7E" w:rsidRPr="0020393A" w:rsidTr="002572EB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3857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AC7E7E" w:rsidRPr="00A5578D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AC7E7E" w:rsidRPr="0020393A" w:rsidRDefault="00AC7E7E" w:rsidP="002572EB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AC7E7E" w:rsidRPr="0020393A" w:rsidTr="00AC7E7E">
        <w:trPr>
          <w:trHeight w:val="3854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7B7EBA" w:rsidRDefault="00AC7E7E" w:rsidP="002572EB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2211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AC7E7E" w:rsidRPr="007B7EBA" w:rsidRDefault="00AC7E7E" w:rsidP="002572EB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AC7E7E" w:rsidRPr="0020393A" w:rsidTr="00AC7E7E">
        <w:trPr>
          <w:trHeight w:val="4997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AC7E7E" w:rsidRPr="00D26769" w:rsidRDefault="00AC7E7E" w:rsidP="002572E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AC7E7E" w:rsidRPr="00D26769" w:rsidRDefault="00AC7E7E" w:rsidP="002572E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AC7E7E" w:rsidRPr="00D26769" w:rsidRDefault="00AC7E7E" w:rsidP="002572E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AC7E7E" w:rsidRPr="00D26769" w:rsidRDefault="00AC7E7E" w:rsidP="002572E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AC7E7E" w:rsidRPr="00191DCB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665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AC7E7E" w:rsidRPr="0020393A" w:rsidTr="002572EB">
        <w:trPr>
          <w:trHeight w:val="396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AC7E7E" w:rsidRPr="0020393A" w:rsidRDefault="00AC7E7E" w:rsidP="002572E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AC7E7E" w:rsidRPr="0020393A" w:rsidRDefault="00AC7E7E" w:rsidP="002572E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AC7E7E" w:rsidRDefault="00AC7E7E" w:rsidP="002572E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AC7E7E" w:rsidRPr="0020393A" w:rsidRDefault="00AC7E7E" w:rsidP="002572EB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1139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B33F11" w:rsidRDefault="00AC7E7E" w:rsidP="002572EB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AC7E7E" w:rsidRPr="00B33F11" w:rsidRDefault="00AC7E7E" w:rsidP="002572EB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AC7E7E" w:rsidRPr="00DE41F8" w:rsidRDefault="00AC7E7E" w:rsidP="002572EB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DE41F8" w:rsidRDefault="00AC7E7E" w:rsidP="002572EB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AC7E7E" w:rsidRDefault="00AC7E7E" w:rsidP="002572EB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AC7E7E" w:rsidRDefault="00AC7E7E" w:rsidP="002572EB">
            <w:pPr>
              <w:spacing w:after="40"/>
            </w:pPr>
            <w:r w:rsidRPr="00B33F11">
              <w:t xml:space="preserve">1 pkt - projekt z jednym partnerem </w:t>
            </w:r>
          </w:p>
          <w:p w:rsidR="00AC7E7E" w:rsidRPr="00B33F11" w:rsidRDefault="00AC7E7E" w:rsidP="002572EB">
            <w:pPr>
              <w:spacing w:after="40"/>
            </w:pPr>
            <w:r w:rsidRPr="00B33F11">
              <w:t>0 pkt - brak partnerstwa</w:t>
            </w:r>
          </w:p>
        </w:tc>
      </w:tr>
      <w:tr w:rsidR="00AC7E7E" w:rsidRPr="0020393A" w:rsidTr="002572EB">
        <w:trPr>
          <w:trHeight w:val="510"/>
        </w:trPr>
        <w:tc>
          <w:tcPr>
            <w:tcW w:w="531" w:type="dxa"/>
            <w:noWrap/>
            <w:vAlign w:val="center"/>
          </w:tcPr>
          <w:p w:rsidR="00AC7E7E" w:rsidRPr="00673958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AC7E7E" w:rsidRPr="00673958" w:rsidRDefault="00AC7E7E" w:rsidP="002572EB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AC7E7E" w:rsidRPr="00673958" w:rsidRDefault="00AC7E7E" w:rsidP="002572EB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AC7E7E" w:rsidRPr="00673958" w:rsidRDefault="00AC7E7E" w:rsidP="002572EB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AC7E7E" w:rsidRPr="00673958" w:rsidRDefault="00AC7E7E" w:rsidP="002572EB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AC7E7E" w:rsidRPr="00673958" w:rsidRDefault="00AC7E7E" w:rsidP="002572EB">
            <w:pPr>
              <w:spacing w:after="40"/>
            </w:pPr>
            <w:r w:rsidRPr="00673958">
              <w:t>Wkład własny wyższy od minimalnego:</w:t>
            </w:r>
          </w:p>
          <w:p w:rsidR="00AC7E7E" w:rsidRDefault="00AC7E7E" w:rsidP="002572EB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AC7E7E" w:rsidRDefault="00AC7E7E" w:rsidP="002572EB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AC7E7E" w:rsidRDefault="00AC7E7E" w:rsidP="002572EB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AC7E7E" w:rsidRDefault="00AC7E7E" w:rsidP="002572EB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AC7E7E" w:rsidRPr="00673958" w:rsidRDefault="00AC7E7E" w:rsidP="002572EB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AC7E7E" w:rsidRDefault="00AC7E7E" w:rsidP="00AC7E7E">
      <w:pPr>
        <w:ind w:left="-142"/>
        <w:rPr>
          <w:b/>
        </w:rPr>
      </w:pPr>
    </w:p>
    <w:p w:rsidR="00AC7E7E" w:rsidRPr="0020393A" w:rsidRDefault="00AC7E7E" w:rsidP="00AC7E7E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AC7E7E" w:rsidRPr="0020393A" w:rsidRDefault="00AC7E7E" w:rsidP="00AC7E7E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AC7E7E" w:rsidRPr="0020393A" w:rsidRDefault="00AC7E7E" w:rsidP="00AC7E7E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AC7E7E" w:rsidRPr="0020393A" w:rsidRDefault="00AC7E7E" w:rsidP="00AC7E7E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AC7E7E" w:rsidRPr="0073787C" w:rsidRDefault="00AC7E7E" w:rsidP="00AC7E7E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AC7E7E" w:rsidRPr="001015B8" w:rsidTr="002572EB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AC7E7E" w:rsidRPr="001015B8" w:rsidTr="002572EB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AC7E7E" w:rsidRPr="001015B8" w:rsidTr="002572EB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AC7E7E" w:rsidRDefault="00AC7E7E" w:rsidP="00AC7E7E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AC7E7E" w:rsidRPr="0020393A" w:rsidTr="002572EB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AC7E7E" w:rsidRPr="0020393A" w:rsidTr="002572E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AC7E7E" w:rsidRPr="0020393A" w:rsidTr="002572EB">
        <w:trPr>
          <w:trHeight w:val="2582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lotniskami, terminalami towarowymi, centrami lub platformami logistycznymi, szlakami ruchu transgranicznego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673958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AC7E7E" w:rsidRPr="00B30B12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W </w:t>
            </w:r>
            <w:r w:rsidRPr="00B30B12">
              <w:rPr>
                <w:lang w:eastAsia="pl-PL"/>
              </w:rPr>
              <w:t xml:space="preserve">przypadku drogowej sieci TEN-T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przypadku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-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wojewódzką.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AC7E7E" w:rsidRPr="001A78F0" w:rsidRDefault="00AC7E7E" w:rsidP="002572EB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AC7E7E" w:rsidRPr="0020393A" w:rsidTr="002572EB">
        <w:trPr>
          <w:trHeight w:val="1413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AC7E7E" w:rsidRPr="0020393A" w:rsidTr="002572EB">
        <w:trPr>
          <w:trHeight w:val="2545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AC7E7E" w:rsidRPr="0020393A" w:rsidDel="00E46505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AC7E7E" w:rsidRPr="0020393A" w:rsidRDefault="00AC7E7E" w:rsidP="00AC7E7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AC7E7E" w:rsidRDefault="00AC7E7E" w:rsidP="00AC7E7E"/>
    <w:p w:rsidR="00AC7E7E" w:rsidRDefault="00AC7E7E" w:rsidP="00AC7E7E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AC7E7E" w:rsidRPr="0020393A" w:rsidTr="002572EB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AC7E7E" w:rsidRPr="00CC6711" w:rsidRDefault="00AC7E7E" w:rsidP="002572E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1371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AC7E7E" w:rsidRDefault="00AC7E7E" w:rsidP="002572EB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AC7E7E" w:rsidRDefault="00AC7E7E" w:rsidP="002572EB">
            <w:pPr>
              <w:spacing w:before="40" w:after="40"/>
            </w:pPr>
            <w:r>
              <w:t>Nośność:</w:t>
            </w:r>
          </w:p>
          <w:p w:rsidR="00AC7E7E" w:rsidRDefault="00AC7E7E" w:rsidP="002572EB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AC7E7E" w:rsidRDefault="00AC7E7E" w:rsidP="002572EB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AC7E7E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AC7E7E" w:rsidRPr="0020393A" w:rsidTr="002572EB">
        <w:trPr>
          <w:trHeight w:val="3072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AC7E7E" w:rsidRDefault="00AC7E7E" w:rsidP="002572EB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AC7E7E" w:rsidRDefault="00AC7E7E" w:rsidP="002572E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AC7E7E" w:rsidRDefault="00AC7E7E" w:rsidP="002572E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AC7E7E" w:rsidRDefault="00AC7E7E" w:rsidP="002572E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AC7E7E" w:rsidRPr="00BF532C" w:rsidRDefault="00AC7E7E" w:rsidP="002572EB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AC7E7E" w:rsidRPr="0020393A" w:rsidTr="00AC7E7E">
        <w:trPr>
          <w:trHeight w:val="2680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AC7E7E" w:rsidRDefault="00AC7E7E" w:rsidP="002572E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AC7E7E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AC7E7E" w:rsidRDefault="00AC7E7E" w:rsidP="002572EB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AC7E7E" w:rsidRPr="006E4E8F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20393A" w:rsidTr="002572E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2015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AC7E7E" w:rsidRPr="0020393A" w:rsidRDefault="00AC7E7E" w:rsidP="002572EB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AC7E7E" w:rsidRPr="0020393A" w:rsidTr="002572EB">
        <w:trPr>
          <w:trHeight w:val="3149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AC7E7E" w:rsidRPr="0050108B" w:rsidRDefault="00AC7E7E" w:rsidP="002572EB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AC7E7E" w:rsidRDefault="00AC7E7E" w:rsidP="002572EB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AC7E7E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AC7E7E" w:rsidRPr="0050108B" w:rsidRDefault="00AC7E7E" w:rsidP="002572EB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AC7E7E" w:rsidRPr="0020393A" w:rsidTr="00AC7E7E">
        <w:trPr>
          <w:trHeight w:val="2093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AC7E7E" w:rsidRDefault="00AC7E7E" w:rsidP="002572EB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AC7E7E" w:rsidRDefault="00AC7E7E" w:rsidP="002572EB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20393A" w:rsidTr="002572E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AC7E7E" w:rsidRPr="00402469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396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AC7E7E" w:rsidRDefault="00AC7E7E" w:rsidP="002572EB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AC7E7E" w:rsidRDefault="00AC7E7E" w:rsidP="002572EB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AC7E7E" w:rsidRPr="0050108B" w:rsidRDefault="00AC7E7E" w:rsidP="002572EB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AC7E7E" w:rsidRPr="0020393A" w:rsidTr="00AC7E7E">
        <w:trPr>
          <w:trHeight w:val="5966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AC7E7E" w:rsidRPr="0050108B" w:rsidDel="0026380A" w:rsidRDefault="00AC7E7E" w:rsidP="002572EB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Pr="0050108B" w:rsidRDefault="00AC7E7E" w:rsidP="002572E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AC7E7E" w:rsidRPr="0050108B" w:rsidRDefault="00AC7E7E" w:rsidP="002572EB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AC7E7E" w:rsidRDefault="00AC7E7E" w:rsidP="002572EB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AC7E7E" w:rsidRPr="00F12ED1" w:rsidRDefault="00AC7E7E" w:rsidP="002572EB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AC7E7E" w:rsidRPr="0050108B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AC7E7E" w:rsidRPr="0020393A" w:rsidTr="002572EB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AC7E7E">
        <w:trPr>
          <w:trHeight w:val="7726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Pr="00A5578D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AC7E7E" w:rsidRDefault="00AC7E7E" w:rsidP="002572EB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AC7E7E" w:rsidRPr="0020393A" w:rsidRDefault="00AC7E7E" w:rsidP="002572EB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 wzdłuż całego odcinka objętego inwestycją;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 wzdłuż całego odcinka objętego inwestycją;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AB3DCF" w:rsidTr="002572EB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AC7E7E" w:rsidRPr="009D4A1C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E7E" w:rsidRPr="00144E1F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AC7E7E" w:rsidRDefault="00AC7E7E" w:rsidP="002572EB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AC7E7E" w:rsidRPr="00F12ED1" w:rsidRDefault="00AC7E7E" w:rsidP="002572EB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AC7E7E" w:rsidRDefault="00AC7E7E" w:rsidP="002572E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AC7E7E" w:rsidRPr="00AB3DCF" w:rsidTr="00AC7E7E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AC7E7E" w:rsidRDefault="00AC7E7E" w:rsidP="002572E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C7E7E" w:rsidRPr="009D4A1C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E7E" w:rsidRPr="00144E1F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AC7E7E" w:rsidRDefault="00AC7E7E" w:rsidP="002572EB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AC7E7E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AC7E7E" w:rsidRDefault="00AC7E7E" w:rsidP="002572EB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AC7E7E" w:rsidRDefault="00AC7E7E" w:rsidP="002572EB">
            <w:pPr>
              <w:spacing w:after="120" w:line="240" w:lineRule="auto"/>
              <w:rPr>
                <w:lang w:eastAsia="pl-PL"/>
              </w:rPr>
            </w:pPr>
          </w:p>
          <w:p w:rsidR="00AC7E7E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2015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AC7E7E" w:rsidRPr="0020393A" w:rsidRDefault="00AC7E7E" w:rsidP="002572EB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AC7E7E" w:rsidRPr="0020393A" w:rsidTr="00AC7E7E">
        <w:trPr>
          <w:trHeight w:val="5545"/>
        </w:trPr>
        <w:tc>
          <w:tcPr>
            <w:tcW w:w="531" w:type="dxa"/>
            <w:noWrap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Pr="0020393A" w:rsidRDefault="00AC7E7E" w:rsidP="002572E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AC7E7E" w:rsidRPr="0020393A" w:rsidRDefault="00AC7E7E" w:rsidP="002572EB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AC7E7E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AC7E7E" w:rsidRPr="0020393A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AC7E7E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AC7E7E" w:rsidRPr="00191DCB" w:rsidRDefault="00AC7E7E" w:rsidP="002572E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1139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AC7E7E" w:rsidRPr="0020393A" w:rsidRDefault="00AC7E7E" w:rsidP="002572EB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Pr="0020393A" w:rsidRDefault="00AC7E7E" w:rsidP="002572EB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AC7E7E" w:rsidRPr="0020393A" w:rsidTr="00AC7E7E">
        <w:trPr>
          <w:trHeight w:val="4399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AC7E7E" w:rsidRPr="00B33F11" w:rsidRDefault="00AC7E7E" w:rsidP="002572EB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AC7E7E" w:rsidRPr="0020393A" w:rsidRDefault="00AC7E7E" w:rsidP="002572EB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Pr="00DE41F8" w:rsidRDefault="00AC7E7E" w:rsidP="002572EB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AC7E7E" w:rsidRPr="0020393A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AC7E7E" w:rsidRPr="0020393A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AC7E7E" w:rsidRDefault="00AC7E7E" w:rsidP="002572E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AC7E7E" w:rsidRDefault="00AC7E7E" w:rsidP="002572EB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AC7E7E" w:rsidRPr="00F12ED1" w:rsidRDefault="00AC7E7E" w:rsidP="002572EB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AC7E7E" w:rsidRPr="00B33F11" w:rsidRDefault="00AC7E7E" w:rsidP="002572EB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AC7E7E" w:rsidRPr="0020393A" w:rsidTr="002572E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AC7E7E" w:rsidRPr="0020393A" w:rsidTr="002572E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C7E7E" w:rsidRPr="001015B8" w:rsidRDefault="00AC7E7E" w:rsidP="002572E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AC7E7E" w:rsidRPr="00AB3DCF" w:rsidTr="002572E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AC7E7E" w:rsidRPr="00AB3DCF" w:rsidRDefault="00AC7E7E" w:rsidP="002572E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AC7E7E" w:rsidRPr="0020393A" w:rsidTr="002572EB">
        <w:trPr>
          <w:trHeight w:val="510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AC7E7E" w:rsidRDefault="00AC7E7E" w:rsidP="002572EB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AC7E7E" w:rsidRDefault="00AC7E7E" w:rsidP="002572EB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AC7E7E" w:rsidRPr="00673958" w:rsidRDefault="00AC7E7E" w:rsidP="002572EB">
            <w:pPr>
              <w:spacing w:before="120" w:after="120"/>
            </w:pPr>
            <w:r w:rsidRPr="00673958">
              <w:t>Wkład własny wyższy od minimalnego:</w:t>
            </w:r>
          </w:p>
          <w:p w:rsidR="00AC7E7E" w:rsidRDefault="00AC7E7E" w:rsidP="002572EB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AC7E7E" w:rsidRDefault="00AC7E7E" w:rsidP="002572EB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AC7E7E" w:rsidRDefault="00AC7E7E" w:rsidP="002572EB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AC7E7E" w:rsidRDefault="00AC7E7E" w:rsidP="002572EB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AC7E7E" w:rsidRDefault="00AC7E7E" w:rsidP="002572EB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AC7E7E" w:rsidRPr="0020393A" w:rsidTr="002572EB">
        <w:trPr>
          <w:trHeight w:val="510"/>
        </w:trPr>
        <w:tc>
          <w:tcPr>
            <w:tcW w:w="531" w:type="dxa"/>
            <w:noWrap/>
            <w:vAlign w:val="center"/>
          </w:tcPr>
          <w:p w:rsidR="00AC7E7E" w:rsidRDefault="00AC7E7E" w:rsidP="002572E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AC7E7E" w:rsidRDefault="00AC7E7E" w:rsidP="002572EB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AC7E7E" w:rsidRDefault="00AC7E7E" w:rsidP="002572EB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AC7E7E" w:rsidRDefault="00AC7E7E" w:rsidP="002572E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AC7E7E" w:rsidRPr="00D16CE9" w:rsidRDefault="00AC7E7E" w:rsidP="002572EB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AC7E7E" w:rsidRDefault="00AC7E7E" w:rsidP="002572EB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AC7E7E" w:rsidRDefault="00AC7E7E" w:rsidP="00AC7E7E">
      <w:pPr>
        <w:spacing w:after="0"/>
      </w:pPr>
    </w:p>
    <w:p w:rsidR="00AC7E7E" w:rsidRPr="0020393A" w:rsidRDefault="00AC7E7E" w:rsidP="00AC7E7E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AC7E7E" w:rsidRPr="0020393A" w:rsidRDefault="00AC7E7E" w:rsidP="00AC7E7E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AC7E7E" w:rsidRPr="0020393A" w:rsidRDefault="00AC7E7E" w:rsidP="00AC7E7E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AC7E7E" w:rsidRDefault="00AC7E7E" w:rsidP="00AC7E7E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FA3D46" w:rsidRDefault="00AC7E7E" w:rsidP="00AC7E7E">
      <w:r>
        <w:br w:type="page"/>
      </w:r>
    </w:p>
    <w:sectPr w:rsidR="00FA3D46" w:rsidSect="00AC7E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15" w:rsidRDefault="00575115" w:rsidP="00575115">
      <w:pPr>
        <w:spacing w:after="0" w:line="240" w:lineRule="auto"/>
      </w:pPr>
      <w:r>
        <w:separator/>
      </w:r>
    </w:p>
  </w:endnote>
  <w:endnote w:type="continuationSeparator" w:id="0">
    <w:p w:rsidR="00575115" w:rsidRDefault="00575115" w:rsidP="0057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15" w:rsidRDefault="00575115" w:rsidP="00575115">
      <w:pPr>
        <w:spacing w:after="0" w:line="240" w:lineRule="auto"/>
      </w:pPr>
      <w:r>
        <w:separator/>
      </w:r>
    </w:p>
  </w:footnote>
  <w:footnote w:type="continuationSeparator" w:id="0">
    <w:p w:rsidR="00575115" w:rsidRDefault="00575115" w:rsidP="0057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5" w:rsidRPr="00575115" w:rsidRDefault="00575115" w:rsidP="00575115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eastAsiaTheme="minorHAnsi" w:hAnsiTheme="minorHAnsi" w:cstheme="minorBidi"/>
        <w:i/>
        <w:sz w:val="20"/>
        <w:szCs w:val="20"/>
      </w:rPr>
    </w:pPr>
    <w:r>
      <w:rPr>
        <w:rFonts w:asciiTheme="minorHAnsi" w:eastAsiaTheme="minorHAnsi" w:hAnsiTheme="minorHAnsi" w:cstheme="minorBidi"/>
        <w:i/>
        <w:sz w:val="20"/>
        <w:szCs w:val="20"/>
      </w:rPr>
      <w:t>Załącznik do Uchwały Nr 163</w:t>
    </w:r>
    <w:r w:rsidRPr="00575115">
      <w:rPr>
        <w:rFonts w:asciiTheme="minorHAnsi" w:eastAsiaTheme="minorHAnsi" w:hAnsiTheme="minorHAnsi" w:cstheme="minorBidi"/>
        <w:i/>
        <w:sz w:val="20"/>
        <w:szCs w:val="20"/>
      </w:rPr>
      <w:t>/2018 KM RPO WO 2014-2020</w:t>
    </w:r>
  </w:p>
  <w:p w:rsidR="00575115" w:rsidRPr="00575115" w:rsidRDefault="00575115" w:rsidP="00575115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eastAsiaTheme="minorHAnsi" w:hAnsiTheme="minorHAnsi" w:cstheme="minorBidi"/>
        <w:sz w:val="20"/>
        <w:szCs w:val="20"/>
      </w:rPr>
    </w:pPr>
    <w:r w:rsidRPr="00575115">
      <w:rPr>
        <w:rFonts w:asciiTheme="minorHAnsi" w:eastAsiaTheme="minorHAnsi" w:hAnsiTheme="minorHAnsi" w:cstheme="minorBidi"/>
        <w:i/>
        <w:sz w:val="20"/>
        <w:szCs w:val="20"/>
      </w:rPr>
      <w:t>z dnia 14 lutego 2018 r.</w:t>
    </w:r>
  </w:p>
  <w:p w:rsidR="00575115" w:rsidRDefault="0057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E"/>
    <w:rsid w:val="001C5A2D"/>
    <w:rsid w:val="00274CDE"/>
    <w:rsid w:val="002947E7"/>
    <w:rsid w:val="00575115"/>
    <w:rsid w:val="00AC7E7E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AABA-6020-44FB-8B2F-5105EBD8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7E7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C7E7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AC7E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1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7377</Words>
  <Characters>44263</Characters>
  <Application>Microsoft Office Word</Application>
  <DocSecurity>0</DocSecurity>
  <Lines>368</Lines>
  <Paragraphs>103</Paragraphs>
  <ScaleCrop>false</ScaleCrop>
  <Company/>
  <LinksUpToDate>false</LinksUpToDate>
  <CharactersWithSpaces>51537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5</cp:revision>
  <dcterms:created xsi:type="dcterms:W3CDTF">2018-02-21T09:56:00Z</dcterms:created>
  <dcterms:modified xsi:type="dcterms:W3CDTF">2018-02-21T10:46:00Z</dcterms:modified>
</cp:coreProperties>
</file>