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56" w:rsidRDefault="00560656" w:rsidP="0056065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60656" w:rsidRDefault="00560656" w:rsidP="0056065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60656" w:rsidRDefault="00560656" w:rsidP="0056065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60656" w:rsidRDefault="00560656" w:rsidP="0056065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560656" w:rsidRDefault="00560656" w:rsidP="0056065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60656" w:rsidRDefault="00560656" w:rsidP="0056065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60656" w:rsidRPr="00560656" w:rsidRDefault="00560656" w:rsidP="00560656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560656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560656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560656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560656" w:rsidRPr="00560656" w:rsidRDefault="00560656" w:rsidP="0056065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60656" w:rsidRPr="00560656" w:rsidRDefault="00560656" w:rsidP="0056065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60656" w:rsidRPr="00560656" w:rsidRDefault="00560656" w:rsidP="0056065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60656" w:rsidRPr="00560656" w:rsidRDefault="00560656" w:rsidP="0056065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60656" w:rsidRPr="00560656" w:rsidRDefault="00560656" w:rsidP="00560656">
      <w:pPr>
        <w:rPr>
          <w:rFonts w:ascii="Calibri" w:eastAsia="Calibri" w:hAnsi="Calibri" w:cs="Times New Roman"/>
          <w:b/>
          <w:sz w:val="36"/>
          <w:szCs w:val="36"/>
        </w:rPr>
      </w:pPr>
    </w:p>
    <w:p w:rsidR="00560656" w:rsidRPr="00560656" w:rsidRDefault="00560656" w:rsidP="00560656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560656" w:rsidRPr="00560656" w:rsidTr="00206AD0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560656" w:rsidRPr="00560656" w:rsidTr="00206AD0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60656" w:rsidRPr="00560656" w:rsidTr="00206AD0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60656" w:rsidRPr="00560656" w:rsidTr="00206AD0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560656" w:rsidRPr="00560656" w:rsidTr="00206AD0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560656" w:rsidRPr="00560656" w:rsidTr="00206AD0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560656" w:rsidRPr="00560656" w:rsidTr="00206AD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</w:tc>
      </w:tr>
      <w:tr w:rsidR="00560656" w:rsidRPr="00560656" w:rsidTr="00206AD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560656" w:rsidRPr="00560656" w:rsidTr="00206AD0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</w:tc>
      </w:tr>
      <w:tr w:rsidR="00560656" w:rsidRPr="00560656" w:rsidTr="00206AD0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</w:tc>
      </w:tr>
      <w:tr w:rsidR="00560656" w:rsidRPr="00560656" w:rsidTr="00206AD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560656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560656" w:rsidRPr="00560656" w:rsidRDefault="00560656" w:rsidP="00560656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560656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560656" w:rsidRPr="00560656" w:rsidRDefault="00560656" w:rsidP="00560656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46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481"/>
        <w:gridCol w:w="146"/>
        <w:gridCol w:w="49"/>
        <w:gridCol w:w="4524"/>
        <w:gridCol w:w="281"/>
        <w:gridCol w:w="35"/>
        <w:gridCol w:w="1424"/>
        <w:gridCol w:w="384"/>
        <w:gridCol w:w="45"/>
        <w:gridCol w:w="537"/>
        <w:gridCol w:w="835"/>
        <w:gridCol w:w="45"/>
        <w:gridCol w:w="161"/>
        <w:gridCol w:w="5925"/>
        <w:gridCol w:w="296"/>
      </w:tblGrid>
      <w:tr w:rsidR="00560656" w:rsidRPr="00560656" w:rsidTr="00206AD0">
        <w:trPr>
          <w:gridBefore w:val="1"/>
          <w:wBefore w:w="296" w:type="dxa"/>
          <w:trHeight w:val="518"/>
          <w:jc w:val="center"/>
        </w:trPr>
        <w:tc>
          <w:tcPr>
            <w:tcW w:w="15168" w:type="dxa"/>
            <w:gridSpan w:val="15"/>
            <w:shd w:val="clear" w:color="auto" w:fill="D9D9D9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560656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560656" w:rsidRPr="00560656" w:rsidTr="00206AD0">
        <w:trPr>
          <w:gridBefore w:val="1"/>
          <w:wBefore w:w="296" w:type="dxa"/>
          <w:trHeight w:val="691"/>
          <w:jc w:val="center"/>
        </w:trPr>
        <w:tc>
          <w:tcPr>
            <w:tcW w:w="676" w:type="dxa"/>
            <w:gridSpan w:val="3"/>
            <w:shd w:val="clear" w:color="auto" w:fill="D9D9D9"/>
            <w:noWrap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82" w:type="dxa"/>
            <w:gridSpan w:val="3"/>
            <w:shd w:val="clear" w:color="auto" w:fill="D9D9D9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60656" w:rsidRPr="00560656" w:rsidTr="00206AD0">
        <w:trPr>
          <w:gridBefore w:val="1"/>
          <w:wBefore w:w="296" w:type="dxa"/>
          <w:trHeight w:val="351"/>
          <w:jc w:val="center"/>
        </w:trPr>
        <w:tc>
          <w:tcPr>
            <w:tcW w:w="676" w:type="dxa"/>
            <w:gridSpan w:val="3"/>
            <w:shd w:val="clear" w:color="auto" w:fill="F2F2F2"/>
            <w:noWrap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82" w:type="dxa"/>
            <w:gridSpan w:val="3"/>
            <w:shd w:val="clear" w:color="auto" w:fill="F2F2F2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60656" w:rsidRPr="00560656" w:rsidTr="00206AD0">
        <w:trPr>
          <w:gridBefore w:val="1"/>
          <w:wBefore w:w="296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:rsidR="00560656" w:rsidRPr="00560656" w:rsidRDefault="00560656" w:rsidP="00560656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560656" w:rsidRPr="00560656" w:rsidTr="00206AD0">
        <w:trPr>
          <w:gridBefore w:val="1"/>
          <w:wBefore w:w="296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53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:rsidR="00560656" w:rsidRPr="00560656" w:rsidRDefault="00560656" w:rsidP="005606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</w:tc>
      </w:tr>
      <w:tr w:rsidR="00560656" w:rsidRPr="00560656" w:rsidTr="00560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65"/>
        </w:trPr>
        <w:tc>
          <w:tcPr>
            <w:tcW w:w="15168" w:type="dxa"/>
            <w:gridSpan w:val="15"/>
            <w:shd w:val="clear" w:color="auto" w:fill="D9D9D9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lastRenderedPageBreak/>
              <w:t xml:space="preserve">KRYTERIA HORYZONTALNE </w:t>
            </w:r>
            <w:r w:rsidRPr="00560656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560656" w:rsidRPr="00560656" w:rsidTr="006A2A2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 w:val="restart"/>
            <w:vAlign w:val="center"/>
          </w:tcPr>
          <w:p w:rsidR="00560656" w:rsidRPr="00560656" w:rsidRDefault="00560656" w:rsidP="006A2A27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560656" w:rsidRPr="00560656" w:rsidRDefault="00560656" w:rsidP="006A2A27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6A2A27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6A2A27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560656" w:rsidRPr="00560656" w:rsidRDefault="00560656" w:rsidP="006A2A27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560656" w:rsidRPr="00560656" w:rsidRDefault="00560656" w:rsidP="0056065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501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560656" w:rsidRPr="00560656" w:rsidRDefault="00560656" w:rsidP="0056065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dokumencie pn. </w:t>
            </w:r>
            <w:r w:rsidRPr="00560656">
              <w:rPr>
                <w:rFonts w:ascii="Calibri" w:eastAsia="Calibri" w:hAnsi="Calibri" w:cs="Times New Roman"/>
                <w:i/>
                <w:sz w:val="16"/>
                <w:szCs w:val="16"/>
              </w:rPr>
              <w:t>Krajowe Ramy Strategiczne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560656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Policy </w:t>
            </w:r>
            <w:proofErr w:type="spellStart"/>
            <w:r w:rsidRPr="00560656">
              <w:rPr>
                <w:rFonts w:ascii="Calibri" w:eastAsia="Calibri" w:hAnsi="Calibri" w:cs="Times New Roman"/>
                <w:i/>
                <w:sz w:val="16"/>
                <w:szCs w:val="16"/>
              </w:rPr>
              <w:t>paper</w:t>
            </w:r>
            <w:proofErr w:type="spellEnd"/>
            <w:r w:rsidRPr="00560656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dla ochrony zdrowia na lata 2014-2020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560656" w:rsidRPr="00560656" w:rsidRDefault="00560656" w:rsidP="00560656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560656" w:rsidRPr="00560656" w:rsidRDefault="00560656" w:rsidP="0056065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880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grup docelowych,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131" w:type="dxa"/>
            <w:gridSpan w:val="3"/>
            <w:vMerge/>
          </w:tcPr>
          <w:p w:rsidR="00560656" w:rsidRPr="00560656" w:rsidRDefault="00560656" w:rsidP="0056065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560656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560656" w:rsidRPr="00560656" w:rsidRDefault="00560656" w:rsidP="00560656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560656" w:rsidRPr="00560656" w:rsidRDefault="00560656" w:rsidP="00560656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560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44"/>
        </w:trPr>
        <w:tc>
          <w:tcPr>
            <w:tcW w:w="15168" w:type="dxa"/>
            <w:gridSpan w:val="15"/>
            <w:shd w:val="clear" w:color="auto" w:fill="BFBFB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60656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131" w:type="dxa"/>
            <w:gridSpan w:val="3"/>
            <w:vMerge w:val="restart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131" w:type="dxa"/>
            <w:gridSpan w:val="3"/>
            <w:vMerge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560656" w:rsidRPr="00560656" w:rsidRDefault="00560656" w:rsidP="0056065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60656" w:rsidRPr="00560656" w:rsidTr="00206AD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13"/>
        </w:trPr>
        <w:tc>
          <w:tcPr>
            <w:tcW w:w="923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5606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są zgodne z </w:t>
            </w:r>
            <w:hyperlink r:id="rId7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560656">
                <w:rPr>
                  <w:rFonts w:ascii="Calibri" w:eastAsia="Times New Roman" w:hAnsi="Calibri" w:cs="Arial"/>
                  <w:color w:val="000000"/>
                  <w:sz w:val="16"/>
                  <w:szCs w:val="16"/>
                  <w:u w:val="single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56065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</w:rPr>
              <w:t>,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560656">
              <w:rPr>
                <w:rFonts w:ascii="Calibri" w:eastAsia="Times New Roman" w:hAnsi="Calibri" w:cs="Times New Roman"/>
                <w:sz w:val="16"/>
                <w:szCs w:val="16"/>
              </w:rPr>
              <w:t xml:space="preserve">-są zgodne z Wytycznymi </w:t>
            </w:r>
            <w:r w:rsidRPr="00560656">
              <w:rPr>
                <w:rFonts w:ascii="Calibri" w:eastAsia="Calibri" w:hAnsi="Calibri" w:cs="Arial"/>
                <w:bCs/>
                <w:sz w:val="16"/>
                <w:szCs w:val="16"/>
              </w:rPr>
              <w:t>w zakresie kwalifikowalno</w:t>
            </w:r>
            <w:r w:rsidRPr="00560656">
              <w:rPr>
                <w:rFonts w:ascii="Calibri" w:eastAsia="Calibri" w:hAnsi="Calibri" w:cs="Arial"/>
                <w:sz w:val="16"/>
                <w:szCs w:val="16"/>
              </w:rPr>
              <w:t>ś</w:t>
            </w:r>
            <w:r w:rsidRPr="00560656">
              <w:rPr>
                <w:rFonts w:ascii="Calibri" w:eastAsia="Calibri" w:hAnsi="Calibr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560656">
              <w:rPr>
                <w:rFonts w:ascii="Calibri" w:eastAsia="Calibri" w:hAnsi="Calibri" w:cs="Arial"/>
                <w:sz w:val="16"/>
                <w:szCs w:val="16"/>
              </w:rPr>
              <w:t>ś</w:t>
            </w:r>
            <w:r w:rsidRPr="00560656">
              <w:rPr>
                <w:rFonts w:ascii="Calibri" w:eastAsia="Calibri" w:hAnsi="Calibr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560656" w:rsidRPr="00560656" w:rsidRDefault="00560656" w:rsidP="0056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560656" w:rsidRPr="00560656" w:rsidTr="00206AD0">
        <w:tblPrEx>
          <w:jc w:val="left"/>
        </w:tblPrEx>
        <w:trPr>
          <w:gridAfter w:val="1"/>
          <w:wAfter w:w="296" w:type="dxa"/>
          <w:trHeight w:val="315"/>
          <w:tblHeader/>
        </w:trPr>
        <w:tc>
          <w:tcPr>
            <w:tcW w:w="15168" w:type="dxa"/>
            <w:gridSpan w:val="15"/>
            <w:shd w:val="clear" w:color="auto" w:fill="A6A6A6"/>
            <w:noWrap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560656" w:rsidRPr="00560656" w:rsidTr="00206AD0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gridSpan w:val="2"/>
            <w:shd w:val="clear" w:color="auto" w:fill="BFBFBF"/>
            <w:noWrap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560656" w:rsidRPr="00560656" w:rsidRDefault="00560656" w:rsidP="0056065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925" w:type="dxa"/>
            <w:shd w:val="clear" w:color="auto" w:fill="BFBFBF"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60656" w:rsidRPr="00560656" w:rsidTr="00206AD0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gridSpan w:val="2"/>
            <w:shd w:val="clear" w:color="auto" w:fill="D9D9D9"/>
            <w:noWrap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925" w:type="dxa"/>
            <w:shd w:val="clear" w:color="auto" w:fill="D9D9D9"/>
            <w:vAlign w:val="center"/>
          </w:tcPr>
          <w:p w:rsidR="00560656" w:rsidRPr="00560656" w:rsidRDefault="00560656" w:rsidP="0056065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560656" w:rsidRPr="00560656" w:rsidTr="00206AD0">
        <w:tblPrEx>
          <w:jc w:val="left"/>
        </w:tblPrEx>
        <w:trPr>
          <w:gridAfter w:val="1"/>
          <w:wAfter w:w="296" w:type="dxa"/>
          <w:trHeight w:val="852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925" w:type="dxa"/>
            <w:vAlign w:val="center"/>
          </w:tcPr>
          <w:p w:rsidR="00560656" w:rsidRPr="00560656" w:rsidRDefault="00560656" w:rsidP="005606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560656" w:rsidRPr="00560656" w:rsidTr="00206AD0">
        <w:tblPrEx>
          <w:jc w:val="left"/>
        </w:tblPrEx>
        <w:trPr>
          <w:gridAfter w:val="1"/>
          <w:wAfter w:w="296" w:type="dxa"/>
          <w:trHeight w:val="854"/>
        </w:trPr>
        <w:tc>
          <w:tcPr>
            <w:tcW w:w="777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925" w:type="dxa"/>
            <w:tcBorders>
              <w:bottom w:val="single" w:sz="4" w:space="0" w:color="A8D08D"/>
            </w:tcBorders>
            <w:vAlign w:val="center"/>
          </w:tcPr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560656" w:rsidRPr="00560656" w:rsidTr="00206AD0">
        <w:tblPrEx>
          <w:jc w:val="left"/>
        </w:tblPrEx>
        <w:trPr>
          <w:gridAfter w:val="1"/>
          <w:wAfter w:w="296" w:type="dxa"/>
          <w:trHeight w:val="850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560656" w:rsidRPr="00560656" w:rsidRDefault="00560656" w:rsidP="00560656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560656" w:rsidRPr="00560656" w:rsidTr="00206AD0">
        <w:tblPrEx>
          <w:jc w:val="left"/>
        </w:tblPrEx>
        <w:trPr>
          <w:gridAfter w:val="1"/>
          <w:wAfter w:w="296" w:type="dxa"/>
          <w:trHeight w:val="314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560656" w:rsidRPr="00560656" w:rsidRDefault="00560656" w:rsidP="0056065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560656" w:rsidRPr="00560656" w:rsidRDefault="00560656" w:rsidP="00560656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560656" w:rsidRPr="00560656" w:rsidRDefault="00560656" w:rsidP="00560656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560656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560656" w:rsidRPr="00560656" w:rsidRDefault="00560656" w:rsidP="00560656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560656" w:rsidRPr="00560656" w:rsidRDefault="00560656" w:rsidP="00560656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560656" w:rsidRPr="00560656" w:rsidRDefault="00560656" w:rsidP="00560656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560656" w:rsidRPr="00560656" w:rsidRDefault="00560656" w:rsidP="00560656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0656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</w:tbl>
    <w:p w:rsidR="00560656" w:rsidRPr="00560656" w:rsidRDefault="00560656" w:rsidP="00560656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560656" w:rsidRPr="00560656" w:rsidRDefault="00560656" w:rsidP="00560656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560656" w:rsidRPr="00560656" w:rsidRDefault="00560656" w:rsidP="00560656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560656" w:rsidRPr="00560656" w:rsidRDefault="00560656" w:rsidP="00560656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B84EDD" w:rsidRDefault="00B84EDD"/>
    <w:sectPr w:rsidR="00B84EDD" w:rsidSect="0056065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EE" w:rsidRDefault="000428EE" w:rsidP="000428EE">
      <w:pPr>
        <w:spacing w:after="0" w:line="240" w:lineRule="auto"/>
      </w:pPr>
      <w:r>
        <w:separator/>
      </w:r>
    </w:p>
  </w:endnote>
  <w:endnote w:type="continuationSeparator" w:id="0">
    <w:p w:rsidR="000428EE" w:rsidRDefault="000428EE" w:rsidP="0004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EE" w:rsidRDefault="000428EE" w:rsidP="000428EE">
      <w:pPr>
        <w:spacing w:after="0" w:line="240" w:lineRule="auto"/>
      </w:pPr>
      <w:r>
        <w:separator/>
      </w:r>
    </w:p>
  </w:footnote>
  <w:footnote w:type="continuationSeparator" w:id="0">
    <w:p w:rsidR="000428EE" w:rsidRDefault="000428EE" w:rsidP="0004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EE" w:rsidRDefault="000428EE" w:rsidP="000428EE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128</w:t>
    </w:r>
    <w:r>
      <w:rPr>
        <w:i/>
      </w:rPr>
      <w:t>/2017 KM RPO WO 2014-2020</w:t>
    </w:r>
  </w:p>
  <w:p w:rsidR="000428EE" w:rsidRDefault="000428EE" w:rsidP="000428EE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9 czerwca 2017 r.</w:t>
    </w:r>
  </w:p>
  <w:p w:rsidR="000428EE" w:rsidRDefault="00042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56"/>
    <w:rsid w:val="000428EE"/>
    <w:rsid w:val="00560656"/>
    <w:rsid w:val="006A2A27"/>
    <w:rsid w:val="00B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2159-A6D8-41D1-9D88-AD8CD070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EE"/>
  </w:style>
  <w:style w:type="paragraph" w:styleId="Stopka">
    <w:name w:val="footer"/>
    <w:basedOn w:val="Normalny"/>
    <w:link w:val="StopkaZnak"/>
    <w:uiPriority w:val="99"/>
    <w:unhideWhenUsed/>
    <w:rsid w:val="0004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3</cp:revision>
  <dcterms:created xsi:type="dcterms:W3CDTF">2017-06-20T10:33:00Z</dcterms:created>
  <dcterms:modified xsi:type="dcterms:W3CDTF">2017-06-21T07:39:00Z</dcterms:modified>
</cp:coreProperties>
</file>