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D4" w:rsidRPr="002C0CD4" w:rsidRDefault="002C0CD4" w:rsidP="002C0CD4">
      <w:pPr>
        <w:keepNext/>
        <w:suppressAutoHyphens/>
        <w:spacing w:after="60" w:line="240" w:lineRule="auto"/>
        <w:jc w:val="both"/>
        <w:outlineLvl w:val="0"/>
        <w:rPr>
          <w:rFonts w:eastAsiaTheme="minorEastAsia" w:cs="Arial"/>
          <w:b/>
          <w:bCs/>
          <w:kern w:val="32"/>
          <w:sz w:val="28"/>
          <w:szCs w:val="24"/>
          <w:lang w:eastAsia="pl-PL"/>
        </w:rPr>
      </w:pPr>
      <w:r w:rsidRPr="002C0CD4">
        <w:rPr>
          <w:rFonts w:eastAsiaTheme="minorEastAsia" w:cs="Arial"/>
          <w:b/>
          <w:bCs/>
          <w:kern w:val="32"/>
          <w:sz w:val="28"/>
          <w:szCs w:val="24"/>
          <w:lang w:eastAsia="pl-PL"/>
        </w:rPr>
        <w:t>Pytania i odpowiedzi w zakresie poddziałania:</w:t>
      </w:r>
      <w:r>
        <w:rPr>
          <w:rFonts w:eastAsiaTheme="minorEastAsia" w:cs="Arial"/>
          <w:b/>
          <w:bCs/>
          <w:kern w:val="32"/>
          <w:sz w:val="28"/>
          <w:szCs w:val="24"/>
          <w:lang w:eastAsia="pl-PL"/>
        </w:rPr>
        <w:t xml:space="preserve"> </w:t>
      </w:r>
      <w:r w:rsidRPr="002C0CD4">
        <w:rPr>
          <w:rFonts w:eastAsiaTheme="minorEastAsia" w:cs="Arial"/>
          <w:b/>
          <w:bCs/>
          <w:kern w:val="32"/>
          <w:sz w:val="28"/>
          <w:szCs w:val="24"/>
          <w:lang w:eastAsia="pl-PL"/>
        </w:rPr>
        <w:t>3.2.2 Efektywność energetyczna w budynkach publicznych w Aglomeracji Opolskiej</w:t>
      </w:r>
      <w:r>
        <w:rPr>
          <w:rFonts w:eastAsiaTheme="minorEastAsia" w:cs="Arial"/>
          <w:b/>
          <w:bCs/>
          <w:kern w:val="32"/>
          <w:sz w:val="28"/>
          <w:szCs w:val="24"/>
          <w:lang w:eastAsia="pl-PL"/>
        </w:rPr>
        <w:t xml:space="preserve"> (Nabór III)</w:t>
      </w:r>
    </w:p>
    <w:p w:rsidR="002C0CD4" w:rsidRPr="002C0CD4" w:rsidRDefault="002C0CD4" w:rsidP="002C0CD4">
      <w:pPr>
        <w:keepNext/>
        <w:suppressAutoHyphens/>
        <w:spacing w:before="240" w:after="60" w:line="240" w:lineRule="auto"/>
        <w:jc w:val="both"/>
        <w:outlineLvl w:val="0"/>
        <w:rPr>
          <w:rFonts w:eastAsiaTheme="minorEastAsia" w:cs="Arial"/>
          <w:b/>
          <w:bCs/>
          <w:kern w:val="32"/>
          <w:sz w:val="24"/>
          <w:szCs w:val="24"/>
          <w:lang w:eastAsia="pl-PL"/>
        </w:rPr>
      </w:pPr>
      <w:r w:rsidRPr="002C0CD4">
        <w:rPr>
          <w:rFonts w:eastAsiaTheme="minorEastAsia" w:cs="Arial"/>
          <w:b/>
          <w:bCs/>
          <w:kern w:val="32"/>
          <w:sz w:val="24"/>
          <w:szCs w:val="24"/>
          <w:lang w:eastAsia="pl-PL"/>
        </w:rPr>
        <w:t>Pytanie</w:t>
      </w:r>
      <w:r>
        <w:rPr>
          <w:rFonts w:eastAsiaTheme="minorEastAsia" w:cs="Arial"/>
          <w:b/>
          <w:bCs/>
          <w:kern w:val="32"/>
          <w:sz w:val="24"/>
          <w:szCs w:val="24"/>
          <w:lang w:eastAsia="pl-PL"/>
        </w:rPr>
        <w:t xml:space="preserve"> 1</w:t>
      </w:r>
      <w:r w:rsidRPr="002C0CD4">
        <w:rPr>
          <w:rFonts w:eastAsiaTheme="minorEastAsia" w:cs="Arial"/>
          <w:b/>
          <w:bCs/>
          <w:kern w:val="32"/>
          <w:sz w:val="24"/>
          <w:szCs w:val="24"/>
          <w:lang w:eastAsia="pl-PL"/>
        </w:rPr>
        <w:t xml:space="preserve">: </w:t>
      </w:r>
      <w:r>
        <w:t>proszę o doprecyzowanie jaki okres analiz finansowych i ekonomicznych należy przyjąć dla działania: 3.2.2 Efektywność energetyczna w budynkach publicznych Aglomeracji Opolskiej? W instrukcji jest wskazany przedział 15-25, jednak aby uniknąć ewentualnej poprawy proszę o doprecyzowanie, czy preferowany będzie krótszy czy dłuższy okres odniesienia?</w:t>
      </w:r>
    </w:p>
    <w:p w:rsidR="002C0CD4" w:rsidRDefault="002C0CD4" w:rsidP="002C0CD4">
      <w:pPr>
        <w:keepNext/>
        <w:suppressAutoHyphens/>
        <w:spacing w:before="240" w:after="60" w:line="240" w:lineRule="auto"/>
        <w:jc w:val="both"/>
        <w:outlineLvl w:val="0"/>
        <w:rPr>
          <w:rFonts w:eastAsiaTheme="minorEastAsia" w:cs="Arial"/>
          <w:b/>
          <w:bCs/>
          <w:kern w:val="32"/>
          <w:sz w:val="24"/>
          <w:szCs w:val="24"/>
          <w:lang w:eastAsia="pl-PL"/>
        </w:rPr>
      </w:pPr>
      <w:r>
        <w:rPr>
          <w:rFonts w:eastAsiaTheme="minorEastAsia" w:cs="Arial"/>
          <w:b/>
          <w:bCs/>
          <w:kern w:val="32"/>
          <w:sz w:val="24"/>
          <w:szCs w:val="24"/>
          <w:lang w:eastAsia="pl-PL"/>
        </w:rPr>
        <w:t>Odpow</w:t>
      </w:r>
      <w:r w:rsidR="001150E1">
        <w:rPr>
          <w:rFonts w:eastAsiaTheme="minorEastAsia" w:cs="Arial"/>
          <w:b/>
          <w:bCs/>
          <w:kern w:val="32"/>
          <w:sz w:val="24"/>
          <w:szCs w:val="24"/>
          <w:lang w:eastAsia="pl-PL"/>
        </w:rPr>
        <w:t>iedź</w:t>
      </w:r>
      <w:r>
        <w:rPr>
          <w:rFonts w:eastAsiaTheme="minorEastAsia" w:cs="Arial"/>
          <w:b/>
          <w:bCs/>
          <w:kern w:val="32"/>
          <w:sz w:val="24"/>
          <w:szCs w:val="24"/>
          <w:lang w:eastAsia="pl-PL"/>
        </w:rPr>
        <w:t xml:space="preserve">: </w:t>
      </w:r>
    </w:p>
    <w:p w:rsidR="002C0CD4" w:rsidRPr="002C0CD4" w:rsidRDefault="002C0CD4" w:rsidP="002C0CD4">
      <w:pPr>
        <w:jc w:val="both"/>
        <w:rPr>
          <w:rFonts w:ascii="Calibri" w:hAnsi="Calibri"/>
          <w:sz w:val="24"/>
          <w:szCs w:val="24"/>
          <w:lang w:eastAsia="pl-PL"/>
        </w:rPr>
      </w:pPr>
      <w:r>
        <w:rPr>
          <w:rFonts w:ascii="Calibri" w:hAnsi="Calibri"/>
        </w:rPr>
        <w:t xml:space="preserve">W odpowiedzi na poniższe pytanie, informuję iż zgodnie z zapisami załącznika nr 5 </w:t>
      </w:r>
      <w:r>
        <w:rPr>
          <w:rFonts w:ascii="Calibri" w:hAnsi="Calibri"/>
          <w:i/>
          <w:iCs/>
        </w:rPr>
        <w:t>do Regulaminu konkursu Poddziałanie 3.2.2 Efektywność energetyczna w budynkach publicznych Aglomeracji Opolskiej w ramach RPO WO 2014-2020 Wersja nr 1, marzec 2019 r. ,,p</w:t>
      </w:r>
      <w:r>
        <w:rPr>
          <w:rFonts w:ascii="Calibri" w:hAnsi="Calibri"/>
        </w:rPr>
        <w:t>oprawne założenia analizy finansowej, jednolite dla wszystkich projektów w danym sektorze, powinny się opierać na nw. założeniach: (…)</w:t>
      </w:r>
    </w:p>
    <w:p w:rsidR="002C0CD4" w:rsidRPr="002C0CD4" w:rsidRDefault="002C0CD4" w:rsidP="002C0CD4">
      <w:pPr>
        <w:spacing w:before="120" w:after="120" w:line="276" w:lineRule="auto"/>
        <w:jc w:val="both"/>
        <w:rPr>
          <w:rFonts w:ascii="Calibri" w:hAnsi="Calibri"/>
          <w:sz w:val="24"/>
          <w:szCs w:val="24"/>
          <w:lang w:eastAsia="pl-PL"/>
        </w:rPr>
      </w:pPr>
      <w:r>
        <w:rPr>
          <w:rFonts w:ascii="Calibri" w:hAnsi="Calibri"/>
        </w:rPr>
        <w:t>f) horyzont czasowy (okres referencyjny) –</w:t>
      </w:r>
      <w:r>
        <w:rPr>
          <w:rFonts w:ascii="Calibri" w:hAnsi="Calibri"/>
          <w:b/>
          <w:bCs/>
        </w:rPr>
        <w:t xml:space="preserve"> </w:t>
      </w:r>
      <w:r>
        <w:rPr>
          <w:rFonts w:ascii="Calibri" w:hAnsi="Calibri"/>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p>
    <w:tbl>
      <w:tblPr>
        <w:tblW w:w="8522" w:type="dxa"/>
        <w:jc w:val="center"/>
        <w:tblCellMar>
          <w:left w:w="0" w:type="dxa"/>
          <w:right w:w="0" w:type="dxa"/>
        </w:tblCellMar>
        <w:tblLook w:val="04A0" w:firstRow="1" w:lastRow="0" w:firstColumn="1" w:lastColumn="0" w:noHBand="0" w:noVBand="1"/>
      </w:tblPr>
      <w:tblGrid>
        <w:gridCol w:w="3510"/>
        <w:gridCol w:w="2506"/>
        <w:gridCol w:w="2506"/>
      </w:tblGrid>
      <w:tr w:rsidR="002C0CD4" w:rsidTr="002C0CD4">
        <w:trPr>
          <w:trHeight w:val="1138"/>
          <w:tblHeader/>
          <w:jc w:val="center"/>
        </w:trPr>
        <w:tc>
          <w:tcPr>
            <w:tcW w:w="35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C0CD4" w:rsidRPr="002C0CD4" w:rsidRDefault="002C0CD4">
            <w:pPr>
              <w:spacing w:before="120" w:after="120" w:line="276" w:lineRule="auto"/>
              <w:jc w:val="center"/>
              <w:rPr>
                <w:rFonts w:ascii="Calibri" w:hAnsi="Calibri"/>
                <w:b/>
                <w:bCs/>
                <w:sz w:val="16"/>
                <w:szCs w:val="16"/>
              </w:rPr>
            </w:pPr>
            <w:r w:rsidRPr="002C0CD4">
              <w:rPr>
                <w:rFonts w:ascii="Calibri" w:hAnsi="Calibri"/>
                <w:b/>
                <w:bCs/>
                <w:sz w:val="16"/>
                <w:szCs w:val="16"/>
              </w:rPr>
              <w:t>Rodzaj projektów wg sektora</w:t>
            </w:r>
          </w:p>
        </w:tc>
        <w:tc>
          <w:tcPr>
            <w:tcW w:w="25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C0CD4" w:rsidRPr="002C0CD4" w:rsidRDefault="002C0CD4">
            <w:pPr>
              <w:spacing w:before="120" w:after="120" w:line="276" w:lineRule="auto"/>
              <w:jc w:val="center"/>
              <w:rPr>
                <w:rFonts w:ascii="Calibri" w:hAnsi="Calibri"/>
                <w:b/>
                <w:bCs/>
                <w:sz w:val="16"/>
                <w:szCs w:val="16"/>
              </w:rPr>
            </w:pPr>
            <w:r w:rsidRPr="002C0CD4">
              <w:rPr>
                <w:rFonts w:ascii="Calibri" w:hAnsi="Calibri"/>
                <w:b/>
                <w:bCs/>
                <w:sz w:val="16"/>
                <w:szCs w:val="16"/>
              </w:rPr>
              <w:t>Rekomendowany horyzont czasowy</w:t>
            </w:r>
            <w:r w:rsidRPr="002C0CD4">
              <w:rPr>
                <w:rFonts w:ascii="Calibri" w:hAnsi="Calibri"/>
                <w:b/>
                <w:bCs/>
                <w:sz w:val="16"/>
                <w:szCs w:val="16"/>
              </w:rPr>
              <w:br/>
              <w:t>[w latach]</w:t>
            </w:r>
          </w:p>
        </w:tc>
        <w:tc>
          <w:tcPr>
            <w:tcW w:w="25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C0CD4" w:rsidRPr="002C0CD4" w:rsidRDefault="002C0CD4">
            <w:pPr>
              <w:spacing w:before="120" w:after="120" w:line="276" w:lineRule="auto"/>
              <w:jc w:val="center"/>
              <w:rPr>
                <w:rFonts w:ascii="Calibri" w:hAnsi="Calibri"/>
                <w:b/>
                <w:bCs/>
                <w:sz w:val="16"/>
                <w:szCs w:val="16"/>
              </w:rPr>
            </w:pPr>
            <w:r w:rsidRPr="002C0CD4">
              <w:rPr>
                <w:rFonts w:ascii="Calibri" w:hAnsi="Calibri"/>
                <w:b/>
                <w:bCs/>
                <w:sz w:val="16"/>
                <w:szCs w:val="16"/>
              </w:rPr>
              <w:t>Działanie lub poddziałanie RPO WO 2014-2020</w:t>
            </w:r>
          </w:p>
        </w:tc>
      </w:tr>
      <w:tr w:rsidR="002C0CD4" w:rsidTr="002C0CD4">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b/>
                <w:bCs/>
                <w:sz w:val="16"/>
                <w:szCs w:val="16"/>
              </w:rPr>
            </w:pPr>
            <w:r w:rsidRPr="002C0CD4">
              <w:rPr>
                <w:rFonts w:ascii="Calibri" w:hAnsi="Calibri"/>
                <w:b/>
                <w:bCs/>
                <w:sz w:val="16"/>
                <w:szCs w:val="16"/>
              </w:rPr>
              <w:t>Energetyka</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b/>
                <w:bCs/>
                <w:sz w:val="16"/>
                <w:szCs w:val="16"/>
              </w:rPr>
            </w:pPr>
            <w:r w:rsidRPr="002C0CD4">
              <w:rPr>
                <w:rFonts w:ascii="Calibri" w:hAnsi="Calibri"/>
                <w:b/>
                <w:bCs/>
                <w:sz w:val="16"/>
                <w:szCs w:val="16"/>
              </w:rPr>
              <w:t>15-25</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3.3, 3.4</w:t>
            </w:r>
          </w:p>
        </w:tc>
      </w:tr>
      <w:tr w:rsidR="002C0CD4" w:rsidTr="002C0CD4">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Gospodarka wodno-ściekowa</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30</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5.4</w:t>
            </w:r>
          </w:p>
        </w:tc>
      </w:tr>
      <w:tr w:rsidR="002C0CD4" w:rsidTr="002C0CD4">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Kolej</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30</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6.2</w:t>
            </w:r>
          </w:p>
        </w:tc>
      </w:tr>
      <w:tr w:rsidR="002C0CD4" w:rsidTr="002C0CD4">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Drogi</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25-30</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6.1</w:t>
            </w:r>
          </w:p>
        </w:tc>
      </w:tr>
      <w:tr w:rsidR="002C0CD4" w:rsidTr="002C0CD4">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Porty morskie i lotnicze</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25</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w:t>
            </w:r>
          </w:p>
        </w:tc>
      </w:tr>
      <w:tr w:rsidR="002C0CD4" w:rsidTr="002C0CD4">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Gospodarowanie odpadami</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25-30</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5.2</w:t>
            </w:r>
          </w:p>
        </w:tc>
      </w:tr>
      <w:tr w:rsidR="002C0CD4" w:rsidTr="002C0CD4">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Transport miejski</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25-30</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3.1</w:t>
            </w:r>
          </w:p>
        </w:tc>
      </w:tr>
      <w:tr w:rsidR="002C0CD4" w:rsidTr="002C0CD4">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Sieci szerokopasmowe</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15-20</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10.3</w:t>
            </w:r>
          </w:p>
        </w:tc>
      </w:tr>
      <w:tr w:rsidR="002C0CD4" w:rsidTr="002C0CD4">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Infrastruktura biznesowa</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10-15</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2.3</w:t>
            </w:r>
          </w:p>
        </w:tc>
      </w:tr>
      <w:tr w:rsidR="002C0CD4" w:rsidTr="002C0CD4">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Badania i innowacyjność</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15-25</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1.1, 1.2</w:t>
            </w:r>
          </w:p>
        </w:tc>
      </w:tr>
      <w:tr w:rsidR="002C0CD4" w:rsidTr="002C0CD4">
        <w:trPr>
          <w:jc w:val="center"/>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Pozostałe</w:t>
            </w:r>
          </w:p>
        </w:tc>
        <w:tc>
          <w:tcPr>
            <w:tcW w:w="2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CD4" w:rsidRPr="002C0CD4" w:rsidRDefault="002C0CD4">
            <w:pPr>
              <w:spacing w:before="120" w:after="120" w:line="276" w:lineRule="auto"/>
              <w:rPr>
                <w:rFonts w:ascii="Calibri" w:hAnsi="Calibri"/>
                <w:sz w:val="16"/>
                <w:szCs w:val="16"/>
              </w:rPr>
            </w:pPr>
            <w:r w:rsidRPr="002C0CD4">
              <w:rPr>
                <w:rFonts w:ascii="Calibri" w:hAnsi="Calibri"/>
                <w:sz w:val="16"/>
                <w:szCs w:val="16"/>
              </w:rPr>
              <w:t>10-15</w:t>
            </w:r>
          </w:p>
        </w:tc>
        <w:tc>
          <w:tcPr>
            <w:tcW w:w="2506" w:type="dxa"/>
            <w:tcBorders>
              <w:top w:val="nil"/>
              <w:left w:val="nil"/>
              <w:bottom w:val="single" w:sz="8" w:space="0" w:color="auto"/>
              <w:right w:val="single" w:sz="8" w:space="0" w:color="auto"/>
            </w:tcBorders>
            <w:tcMar>
              <w:top w:w="0" w:type="dxa"/>
              <w:left w:w="108" w:type="dxa"/>
              <w:bottom w:w="0" w:type="dxa"/>
              <w:right w:w="108" w:type="dxa"/>
            </w:tcMar>
          </w:tcPr>
          <w:p w:rsidR="002C0CD4" w:rsidRPr="002C0CD4" w:rsidRDefault="002C0CD4">
            <w:pPr>
              <w:spacing w:before="120" w:after="120" w:line="276" w:lineRule="auto"/>
              <w:rPr>
                <w:rFonts w:ascii="Calibri" w:hAnsi="Calibri"/>
                <w:sz w:val="16"/>
                <w:szCs w:val="16"/>
              </w:rPr>
            </w:pPr>
          </w:p>
        </w:tc>
      </w:tr>
    </w:tbl>
    <w:p w:rsidR="002C0CD4" w:rsidRDefault="002C0CD4" w:rsidP="002C0CD4">
      <w:pPr>
        <w:spacing w:before="120" w:after="120" w:line="276" w:lineRule="auto"/>
        <w:ind w:firstLine="709"/>
        <w:jc w:val="both"/>
        <w:rPr>
          <w:rFonts w:ascii="Calibri" w:hAnsi="Calibri"/>
        </w:rPr>
      </w:pPr>
      <w:r>
        <w:rPr>
          <w:rFonts w:ascii="Calibri" w:hAnsi="Calibri"/>
        </w:rPr>
        <w:t xml:space="preserve">Zgodnie z </w:t>
      </w:r>
      <w:r>
        <w:rPr>
          <w:rFonts w:ascii="Calibri" w:hAnsi="Calibri"/>
          <w:i/>
          <w:iCs/>
        </w:rPr>
        <w:t>Wytycznymi ministra właściwego ds. rozwoju regionalnego w zakresie zagadnień związanych z przygotowaniem projektów inwestycyjnych, w tym projektów generujących dochód</w:t>
      </w:r>
      <w:r>
        <w:rPr>
          <w:rFonts w:ascii="Calibri" w:hAnsi="Calibri"/>
        </w:rPr>
        <w:t xml:space="preserve"> </w:t>
      </w:r>
      <w:r>
        <w:rPr>
          <w:rFonts w:ascii="Calibri" w:hAnsi="Calibri"/>
          <w:i/>
          <w:iCs/>
        </w:rPr>
        <w:t>i projektów hybrydowych na lata 2014-2020</w:t>
      </w:r>
      <w:r>
        <w:rPr>
          <w:rFonts w:ascii="Calibri" w:hAnsi="Calibri"/>
        </w:rPr>
        <w:t xml:space="preserve"> okresy te mają charakter wiążący. Państwa członkowskie nie są upoważnione do zmian ich wymiaru. Obejmują one okres realizacji inwestycji i jej operacyjności. (…)</w:t>
      </w:r>
    </w:p>
    <w:p w:rsidR="002C0CD4" w:rsidRDefault="002C0CD4" w:rsidP="002C0CD4">
      <w:pPr>
        <w:spacing w:before="120" w:after="120" w:line="276" w:lineRule="auto"/>
        <w:ind w:firstLine="709"/>
        <w:jc w:val="both"/>
        <w:rPr>
          <w:rFonts w:ascii="Calibri" w:hAnsi="Calibri"/>
          <w:b/>
          <w:bCs/>
        </w:rPr>
      </w:pPr>
      <w:r>
        <w:rPr>
          <w:rFonts w:ascii="Calibri" w:hAnsi="Calibri"/>
          <w:b/>
          <w:bCs/>
        </w:rPr>
        <w:lastRenderedPageBreak/>
        <w:t>Do analizy projektów składanych w ramach poddziałania 3.2.2. Efektywność energetyczna w budynkach publicznych Aglomeracji Opolskiej RPO WO 2014-2020 należy przyjąć okres referencyjny zgodnie z powyższą tabelą (sektor Energetyka).’’</w:t>
      </w:r>
    </w:p>
    <w:p w:rsidR="001150E1" w:rsidRDefault="002C0CD4" w:rsidP="002C0CD4">
      <w:pPr>
        <w:jc w:val="both"/>
        <w:rPr>
          <w:rFonts w:eastAsiaTheme="minorEastAsia" w:cs="Arial"/>
          <w:b/>
          <w:bCs/>
          <w:kern w:val="32"/>
          <w:sz w:val="24"/>
          <w:szCs w:val="24"/>
          <w:lang w:eastAsia="pl-PL"/>
        </w:rPr>
      </w:pPr>
      <w:r>
        <w:rPr>
          <w:rFonts w:eastAsiaTheme="minorEastAsia" w:cs="Arial"/>
          <w:b/>
          <w:bCs/>
          <w:kern w:val="32"/>
          <w:sz w:val="24"/>
          <w:szCs w:val="24"/>
          <w:lang w:eastAsia="pl-PL"/>
        </w:rPr>
        <w:t>Pytanie 2</w:t>
      </w:r>
      <w:r w:rsidRPr="002C0CD4">
        <w:rPr>
          <w:rFonts w:eastAsiaTheme="minorEastAsia" w:cs="Arial"/>
          <w:b/>
          <w:bCs/>
          <w:kern w:val="32"/>
          <w:sz w:val="24"/>
          <w:szCs w:val="24"/>
          <w:lang w:eastAsia="pl-PL"/>
        </w:rPr>
        <w:t>:</w:t>
      </w:r>
      <w:r>
        <w:rPr>
          <w:rFonts w:eastAsiaTheme="minorEastAsia" w:cs="Arial"/>
          <w:b/>
          <w:bCs/>
          <w:kern w:val="32"/>
          <w:sz w:val="24"/>
          <w:szCs w:val="24"/>
          <w:lang w:eastAsia="pl-PL"/>
        </w:rPr>
        <w:t xml:space="preserve"> </w:t>
      </w:r>
    </w:p>
    <w:p w:rsidR="002C0CD4" w:rsidRDefault="002C0CD4" w:rsidP="002C0CD4">
      <w:pPr>
        <w:jc w:val="both"/>
      </w:pPr>
      <w:r>
        <w:t>Zwracam się z prośbą o udzielenie informacji dotyczącej naboru wniosków do poddziałania 3.2.2 Efektywność energetyczna w budynkach publicznych Aglomeracji Opolskiej.</w:t>
      </w:r>
      <w:r>
        <w:br/>
        <w:t>Zgodnie regulaminem konkursu, dofinansowaniu mogą podlegać działania termomodernizacyjne realizowane w budynkach użyteczności publicznej. Co w przypadku planowanych działań termomodernizacyjnych w budynku, który jest poprzemysłowy, o obecnej funkcji produkcyjnej, jednak zmieniany jest sposób jego użytkowania? Budynek docelowo będzie przeznaczony na potrzeby oświaty, kultury i biur i handlu.</w:t>
      </w:r>
    </w:p>
    <w:p w:rsidR="002C0CD4" w:rsidRDefault="002C0CD4" w:rsidP="002C0CD4">
      <w:pPr>
        <w:jc w:val="both"/>
      </w:pPr>
      <w:r>
        <w:t xml:space="preserve">Sposób użytkowania tego budynku zostanie zmieniony za około 6 miesięcy, przed ewentualnym podpisaniem umów o dofinansowanie. Zgodnie z Instrukcją wypełniania załączników do wniosku o dofinansowanie EFRR, w sytuacji kiedy Wnioskodawca nie dysponuje pozwoleniem na budowę lub dokumentacją techniczną, można skorzystać z procedury „zaprojektuj i wybuduj”. </w:t>
      </w:r>
    </w:p>
    <w:p w:rsidR="002C0CD4" w:rsidRDefault="002C0CD4" w:rsidP="002C0CD4">
      <w:pPr>
        <w:jc w:val="both"/>
      </w:pPr>
      <w:r>
        <w:t>Regulamin konkursu dopuszcza zatem składanie wniosków bez posiadania pozwolenia na budowę.</w:t>
      </w:r>
    </w:p>
    <w:p w:rsidR="002C0CD4" w:rsidRDefault="002C0CD4" w:rsidP="002C0CD4">
      <w:pPr>
        <w:keepNext/>
        <w:suppressAutoHyphens/>
        <w:spacing w:before="240" w:after="60" w:line="240" w:lineRule="auto"/>
        <w:jc w:val="both"/>
        <w:outlineLvl w:val="0"/>
        <w:rPr>
          <w:rFonts w:eastAsiaTheme="minorEastAsia" w:cs="Arial"/>
          <w:b/>
          <w:bCs/>
          <w:kern w:val="32"/>
          <w:sz w:val="24"/>
          <w:szCs w:val="24"/>
          <w:lang w:eastAsia="pl-PL"/>
        </w:rPr>
      </w:pPr>
      <w:r>
        <w:t>Czy istnieje możliwość wnioskowania o dofinansowanie dla budynku, którego sposób użytkowania jest w trakcie zmiany? Na jakim etapie należy udokumentować status budynku użyteczności publicznej?</w:t>
      </w:r>
      <w:r>
        <w:br/>
      </w:r>
      <w:r>
        <w:br/>
      </w:r>
      <w:r w:rsidR="001150E1">
        <w:rPr>
          <w:rFonts w:eastAsiaTheme="minorEastAsia" w:cs="Arial"/>
          <w:b/>
          <w:bCs/>
          <w:kern w:val="32"/>
          <w:sz w:val="24"/>
          <w:szCs w:val="24"/>
          <w:lang w:eastAsia="pl-PL"/>
        </w:rPr>
        <w:t>Odpowiedź:</w:t>
      </w:r>
    </w:p>
    <w:p w:rsidR="001150E1" w:rsidRDefault="001150E1" w:rsidP="001150E1">
      <w:pPr>
        <w:jc w:val="both"/>
        <w:rPr>
          <w:rFonts w:ascii="Calibri" w:hAnsi="Calibri"/>
        </w:rPr>
      </w:pPr>
      <w:r>
        <w:rPr>
          <w:rFonts w:ascii="Calibri" w:hAnsi="Calibri"/>
        </w:rPr>
        <w:t>w odpowiedzi na poniższe pytanie, informuję iż zgodnie z Regulaminem,</w:t>
      </w:r>
      <w:r>
        <w:rPr>
          <w:rFonts w:ascii="Calibri" w:hAnsi="Calibri"/>
          <w:color w:val="1F497D"/>
        </w:rPr>
        <w:t xml:space="preserve"> p</w:t>
      </w:r>
      <w:r>
        <w:rPr>
          <w:rFonts w:ascii="Calibri" w:hAnsi="Calibri"/>
        </w:rPr>
        <w:t>rzedmiotem konkursu są typy projektów określone dla poddziałania 3.2.2 Efektywność energetyczna w budynkach publicznych Aglomeracji Opolskiej w ramach Osi priorytetowej III Gospodarka niskoemisyjna RPO WO 2014-2020 tj.:</w:t>
      </w:r>
    </w:p>
    <w:p w:rsidR="001150E1" w:rsidRDefault="001150E1" w:rsidP="001150E1">
      <w:pPr>
        <w:autoSpaceDE w:val="0"/>
        <w:autoSpaceDN w:val="0"/>
        <w:spacing w:before="120" w:after="120" w:line="276" w:lineRule="auto"/>
        <w:contextualSpacing/>
        <w:jc w:val="both"/>
        <w:rPr>
          <w:rFonts w:ascii="Calibri" w:hAnsi="Calibri"/>
        </w:rPr>
      </w:pPr>
      <w:r>
        <w:rPr>
          <w:rFonts w:ascii="Calibri" w:hAnsi="Calibri"/>
        </w:rPr>
        <w:t>1.Głęboka kompleksowa modernizacja energetyczna budynków użyteczności publicznej wraz z wymianą wyposażenia tych obiektów na energooszczędne w tym m.in.:</w:t>
      </w:r>
    </w:p>
    <w:p w:rsidR="001150E1" w:rsidRDefault="001150E1" w:rsidP="001150E1">
      <w:pPr>
        <w:numPr>
          <w:ilvl w:val="0"/>
          <w:numId w:val="2"/>
        </w:numPr>
        <w:autoSpaceDE w:val="0"/>
        <w:autoSpaceDN w:val="0"/>
        <w:spacing w:before="120" w:after="120" w:line="276" w:lineRule="auto"/>
        <w:ind w:left="567" w:hanging="283"/>
        <w:contextualSpacing/>
        <w:jc w:val="both"/>
        <w:rPr>
          <w:rFonts w:ascii="Calibri" w:hAnsi="Calibri"/>
          <w:lang w:eastAsia="pl-PL"/>
        </w:rPr>
      </w:pPr>
      <w:r>
        <w:rPr>
          <w:rFonts w:ascii="Calibri" w:hAnsi="Calibri"/>
        </w:rPr>
        <w:t>ocieplenie obiektu,</w:t>
      </w:r>
    </w:p>
    <w:p w:rsidR="001150E1" w:rsidRDefault="001150E1" w:rsidP="001150E1">
      <w:pPr>
        <w:numPr>
          <w:ilvl w:val="0"/>
          <w:numId w:val="2"/>
        </w:numPr>
        <w:autoSpaceDE w:val="0"/>
        <w:autoSpaceDN w:val="0"/>
        <w:spacing w:before="120" w:after="120" w:line="276" w:lineRule="auto"/>
        <w:ind w:left="567" w:hanging="283"/>
        <w:contextualSpacing/>
        <w:jc w:val="both"/>
        <w:rPr>
          <w:rFonts w:ascii="Calibri" w:hAnsi="Calibri"/>
        </w:rPr>
      </w:pPr>
      <w:r>
        <w:rPr>
          <w:rFonts w:ascii="Calibri" w:hAnsi="Calibri"/>
        </w:rPr>
        <w:t>wymiana okien, drzwi zewnętrznych oraz oświetlenia na energooszczędne,</w:t>
      </w:r>
    </w:p>
    <w:p w:rsidR="001150E1" w:rsidRDefault="001150E1" w:rsidP="001150E1">
      <w:pPr>
        <w:numPr>
          <w:ilvl w:val="0"/>
          <w:numId w:val="2"/>
        </w:numPr>
        <w:autoSpaceDE w:val="0"/>
        <w:autoSpaceDN w:val="0"/>
        <w:spacing w:before="120" w:after="120" w:line="276" w:lineRule="auto"/>
        <w:ind w:left="567" w:hanging="283"/>
        <w:contextualSpacing/>
        <w:jc w:val="both"/>
        <w:rPr>
          <w:rFonts w:ascii="Calibri" w:hAnsi="Calibri"/>
        </w:rPr>
      </w:pPr>
      <w:r>
        <w:rPr>
          <w:rFonts w:ascii="Calibri" w:hAnsi="Calibri"/>
        </w:rPr>
        <w:t xml:space="preserve">przebudowa systemów grzewczych (wraz z wymianą i podłączeniem do źródła ciepła), systemów wentylacji i klimatyzacji, </w:t>
      </w:r>
    </w:p>
    <w:p w:rsidR="001150E1" w:rsidRDefault="001150E1" w:rsidP="001150E1">
      <w:pPr>
        <w:numPr>
          <w:ilvl w:val="0"/>
          <w:numId w:val="2"/>
        </w:numPr>
        <w:autoSpaceDE w:val="0"/>
        <w:autoSpaceDN w:val="0"/>
        <w:spacing w:before="120" w:after="120" w:line="276" w:lineRule="auto"/>
        <w:ind w:left="567" w:hanging="283"/>
        <w:contextualSpacing/>
        <w:jc w:val="both"/>
        <w:rPr>
          <w:rFonts w:ascii="Calibri" w:hAnsi="Calibri"/>
        </w:rPr>
      </w:pPr>
      <w:r>
        <w:rPr>
          <w:rFonts w:ascii="Calibri" w:hAnsi="Calibri"/>
        </w:rPr>
        <w:t>instalacja OZE w modernizowanych energetycznie budynkach,</w:t>
      </w:r>
    </w:p>
    <w:p w:rsidR="001150E1" w:rsidRDefault="001150E1" w:rsidP="001150E1">
      <w:pPr>
        <w:numPr>
          <w:ilvl w:val="0"/>
          <w:numId w:val="2"/>
        </w:numPr>
        <w:autoSpaceDE w:val="0"/>
        <w:autoSpaceDN w:val="0"/>
        <w:spacing w:before="120" w:after="120" w:line="276" w:lineRule="auto"/>
        <w:ind w:left="567" w:hanging="283"/>
        <w:contextualSpacing/>
        <w:jc w:val="both"/>
        <w:rPr>
          <w:rFonts w:ascii="Calibri" w:hAnsi="Calibri"/>
        </w:rPr>
      </w:pPr>
      <w:r>
        <w:rPr>
          <w:rFonts w:ascii="Calibri" w:hAnsi="Calibri"/>
        </w:rPr>
        <w:t>instalacja systemów chłodzących, w tym również z OZE.</w:t>
      </w:r>
    </w:p>
    <w:p w:rsidR="001150E1" w:rsidRDefault="001150E1" w:rsidP="001150E1">
      <w:pPr>
        <w:autoSpaceDE w:val="0"/>
        <w:autoSpaceDN w:val="0"/>
        <w:spacing w:before="120" w:after="120" w:line="276" w:lineRule="auto"/>
        <w:contextualSpacing/>
        <w:jc w:val="both"/>
        <w:rPr>
          <w:rFonts w:ascii="Calibri" w:hAnsi="Calibri"/>
        </w:rPr>
      </w:pPr>
      <w:r>
        <w:rPr>
          <w:rFonts w:ascii="Calibri" w:hAnsi="Calibri"/>
        </w:rPr>
        <w:t xml:space="preserve">2.Audyty energetyczne dla sektora publicznego jako element kompleksowy projektu. </w:t>
      </w:r>
    </w:p>
    <w:p w:rsidR="001150E1" w:rsidRDefault="001150E1" w:rsidP="001150E1">
      <w:pPr>
        <w:autoSpaceDE w:val="0"/>
        <w:autoSpaceDN w:val="0"/>
        <w:spacing w:before="120" w:after="120" w:line="276" w:lineRule="auto"/>
        <w:ind w:left="1020" w:hanging="360"/>
        <w:contextualSpacing/>
        <w:jc w:val="both"/>
        <w:rPr>
          <w:rFonts w:ascii="Calibri" w:hAnsi="Calibri"/>
        </w:rPr>
      </w:pPr>
    </w:p>
    <w:p w:rsidR="001150E1" w:rsidRDefault="001150E1" w:rsidP="001150E1">
      <w:pPr>
        <w:jc w:val="both"/>
        <w:rPr>
          <w:rFonts w:ascii="Calibri" w:hAnsi="Calibri"/>
        </w:rPr>
      </w:pPr>
      <w:r>
        <w:rPr>
          <w:rFonts w:ascii="Calibri" w:hAnsi="Calibri"/>
        </w:rPr>
        <w:t>Budynek użyteczności publicznej, zgodnie definicją obowiązującą w ramach konkursu (ujętą w Rozporządzeniem Ministra Infrastruktury z dnia 12 kwietnia 2002 r. w sprawie warunków technicznych jakim powinny odpowiadać budynki i ich usytuowanie (t.j. Dz. U. z 2015 r. poz. 1422)), to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1150E1" w:rsidRDefault="001150E1" w:rsidP="001150E1">
      <w:pPr>
        <w:rPr>
          <w:rFonts w:ascii="Calibri" w:hAnsi="Calibri"/>
        </w:rPr>
      </w:pPr>
      <w:r>
        <w:rPr>
          <w:rFonts w:ascii="Calibri" w:hAnsi="Calibri"/>
        </w:rPr>
        <w:t xml:space="preserve">Zgodnie z zapisami regulaminu konkursu, wsparciem objęte mogą być tylko projekty dotyczące budynków wpisujących się w powyższą definicję. </w:t>
      </w:r>
    </w:p>
    <w:p w:rsidR="005349D9" w:rsidRPr="005349D9" w:rsidRDefault="005349D9" w:rsidP="005349D9">
      <w:pPr>
        <w:spacing w:after="0" w:line="276" w:lineRule="auto"/>
        <w:jc w:val="both"/>
        <w:rPr>
          <w:rFonts w:cs="Times New Roman"/>
          <w:sz w:val="24"/>
          <w:szCs w:val="24"/>
          <w:lang w:eastAsia="pl-PL"/>
        </w:rPr>
      </w:pPr>
      <w:r w:rsidRPr="005349D9">
        <w:rPr>
          <w:rFonts w:cs="Times New Roman"/>
          <w:b/>
          <w:sz w:val="24"/>
          <w:szCs w:val="24"/>
          <w:lang w:eastAsia="pl-PL"/>
        </w:rPr>
        <w:lastRenderedPageBreak/>
        <w:t xml:space="preserve">Pytanie </w:t>
      </w:r>
      <w:r>
        <w:rPr>
          <w:rFonts w:cs="Times New Roman"/>
          <w:b/>
          <w:sz w:val="24"/>
          <w:szCs w:val="24"/>
          <w:lang w:eastAsia="pl-PL"/>
        </w:rPr>
        <w:t>3</w:t>
      </w:r>
      <w:r w:rsidRPr="005349D9">
        <w:rPr>
          <w:rFonts w:cs="Times New Roman"/>
          <w:b/>
          <w:sz w:val="24"/>
          <w:szCs w:val="24"/>
          <w:lang w:eastAsia="pl-PL"/>
        </w:rPr>
        <w:t xml:space="preserve"> - czy planowane do realizacji przedsięwzięcie musi być literalnie wskazane do realizacji w PGN? Jeżeli tak - jak będzie badana zgodność z tymże dokumentem - czy muszą zgadzać się wartości wskaźników? okres realizacji? kwota?</w:t>
      </w:r>
    </w:p>
    <w:p w:rsidR="005349D9" w:rsidRPr="005349D9" w:rsidRDefault="005349D9" w:rsidP="005349D9">
      <w:pPr>
        <w:spacing w:after="0" w:line="276" w:lineRule="auto"/>
        <w:jc w:val="both"/>
        <w:rPr>
          <w:rFonts w:cs="Times New Roman"/>
          <w:b/>
          <w:sz w:val="24"/>
          <w:szCs w:val="24"/>
          <w:lang w:eastAsia="pl-PL"/>
        </w:rPr>
      </w:pPr>
    </w:p>
    <w:p w:rsidR="005349D9" w:rsidRPr="005349D9" w:rsidRDefault="005349D9" w:rsidP="005349D9">
      <w:pPr>
        <w:jc w:val="both"/>
        <w:rPr>
          <w:rFonts w:eastAsiaTheme="minorEastAsia" w:cs="Times New Roman"/>
          <w:b/>
          <w:sz w:val="24"/>
          <w:szCs w:val="24"/>
        </w:rPr>
      </w:pPr>
      <w:r w:rsidRPr="005349D9">
        <w:rPr>
          <w:rFonts w:eastAsiaTheme="minorEastAsia" w:cs="Times New Roman"/>
          <w:b/>
          <w:sz w:val="24"/>
          <w:szCs w:val="24"/>
        </w:rPr>
        <w:t>Odpowiedź</w:t>
      </w:r>
    </w:p>
    <w:p w:rsidR="005349D9" w:rsidRPr="005349D9" w:rsidRDefault="005349D9" w:rsidP="005349D9">
      <w:pPr>
        <w:jc w:val="both"/>
        <w:rPr>
          <w:rFonts w:eastAsiaTheme="minorEastAsia" w:cs="Times New Roman"/>
          <w:b/>
          <w:bCs/>
          <w:sz w:val="24"/>
          <w:szCs w:val="24"/>
        </w:rPr>
      </w:pPr>
      <w:r w:rsidRPr="005349D9">
        <w:rPr>
          <w:rFonts w:eastAsiaTheme="minorEastAsia" w:cs="Times New Roman"/>
          <w:sz w:val="24"/>
          <w:szCs w:val="24"/>
        </w:rPr>
        <w:t xml:space="preserve">Inwestycja realizowana w ramach projektu musi wynikać z Planu Gospodarki Niskoemisyjnej (PGN), co weryfikowane będzie m.in. na podstawie kryteriów merytorycznych szczegółowych np. Inwestycja wynikająca z Planu Gospodarki Niskoemisyjnej i Ograniczenie emisji zanieczyszczeń.  Spełnienie powyższych kryteriów weryfikowane będzie na podstawie zapisów ujętych w m.in. PGN, co </w:t>
      </w:r>
      <w:r w:rsidRPr="005349D9">
        <w:rPr>
          <w:rFonts w:eastAsiaTheme="minorEastAsia" w:cs="Times New Roman"/>
          <w:b/>
          <w:bCs/>
          <w:sz w:val="24"/>
          <w:szCs w:val="24"/>
        </w:rPr>
        <w:t>skutkuje wykazaniem planowanego zadania w sposób szczegółowy, umożliwiający jasną identyfikację realizowanego zadania wraz z poziomem redukcji emisji gazów cieplarnianych mierzonej jako ekwiwalent CO</w:t>
      </w:r>
      <w:r w:rsidRPr="005349D9">
        <w:rPr>
          <w:rFonts w:eastAsiaTheme="minorEastAsia" w:cs="Times New Roman"/>
          <w:b/>
          <w:bCs/>
          <w:sz w:val="24"/>
          <w:szCs w:val="24"/>
          <w:vertAlign w:val="subscript"/>
        </w:rPr>
        <w:t>2</w:t>
      </w:r>
      <w:r w:rsidRPr="005349D9">
        <w:rPr>
          <w:rFonts w:eastAsiaTheme="minorEastAsia" w:cs="Times New Roman"/>
          <w:b/>
          <w:bCs/>
          <w:sz w:val="24"/>
          <w:szCs w:val="24"/>
        </w:rPr>
        <w:t>.</w:t>
      </w:r>
    </w:p>
    <w:p w:rsidR="005349D9" w:rsidRPr="005349D9" w:rsidRDefault="005349D9" w:rsidP="005349D9">
      <w:pPr>
        <w:jc w:val="both"/>
        <w:rPr>
          <w:rFonts w:eastAsiaTheme="minorEastAsia" w:cs="Times New Roman"/>
          <w:sz w:val="24"/>
          <w:szCs w:val="24"/>
        </w:rPr>
      </w:pPr>
      <w:r w:rsidRPr="005349D9">
        <w:rPr>
          <w:rFonts w:eastAsiaTheme="minorEastAsia" w:cs="Times New Roman"/>
          <w:sz w:val="24"/>
          <w:szCs w:val="24"/>
        </w:rPr>
        <w:t xml:space="preserve">W związku z powyższym PGN oraz pozostała dokumentacja projektowa (np. audyt energetyczny) </w:t>
      </w:r>
      <w:r w:rsidRPr="005349D9">
        <w:rPr>
          <w:rFonts w:eastAsiaTheme="minorEastAsia" w:cs="Times New Roman"/>
          <w:b/>
          <w:bCs/>
          <w:sz w:val="24"/>
          <w:szCs w:val="24"/>
        </w:rPr>
        <w:t xml:space="preserve">powinny być ze sobą spójne i odnosić się wprost do zadania objętego projektem, </w:t>
      </w:r>
      <w:r w:rsidRPr="005349D9">
        <w:rPr>
          <w:rFonts w:eastAsiaTheme="minorEastAsia" w:cs="Times New Roman"/>
          <w:sz w:val="24"/>
          <w:szCs w:val="24"/>
        </w:rPr>
        <w:t>umożliwiając jasną identyfikację wskaźnika redukcji emisji CO</w:t>
      </w:r>
      <w:r w:rsidRPr="005349D9">
        <w:rPr>
          <w:rFonts w:eastAsiaTheme="minorEastAsia" w:cs="Times New Roman"/>
          <w:sz w:val="24"/>
          <w:szCs w:val="24"/>
          <w:vertAlign w:val="subscript"/>
        </w:rPr>
        <w:t>2</w:t>
      </w:r>
      <w:r w:rsidRPr="005349D9">
        <w:rPr>
          <w:rFonts w:eastAsiaTheme="minorEastAsia" w:cs="Times New Roman"/>
          <w:sz w:val="24"/>
          <w:szCs w:val="24"/>
        </w:rPr>
        <w:t xml:space="preserve"> dla danej inwestycji objętej projektem.   </w:t>
      </w:r>
    </w:p>
    <w:p w:rsidR="005349D9" w:rsidRPr="005349D9" w:rsidRDefault="005349D9" w:rsidP="005349D9">
      <w:pPr>
        <w:spacing w:after="0" w:line="276" w:lineRule="auto"/>
        <w:jc w:val="both"/>
        <w:rPr>
          <w:rFonts w:cs="Times New Roman"/>
          <w:b/>
          <w:sz w:val="24"/>
          <w:szCs w:val="24"/>
          <w:lang w:eastAsia="pl-PL"/>
        </w:rPr>
      </w:pPr>
    </w:p>
    <w:p w:rsidR="005349D9" w:rsidRPr="005349D9" w:rsidRDefault="005349D9" w:rsidP="005349D9">
      <w:pPr>
        <w:spacing w:after="0" w:line="276" w:lineRule="auto"/>
        <w:jc w:val="both"/>
        <w:rPr>
          <w:rFonts w:cs="Times New Roman"/>
          <w:b/>
          <w:sz w:val="24"/>
          <w:szCs w:val="24"/>
          <w:lang w:eastAsia="pl-PL"/>
        </w:rPr>
      </w:pPr>
      <w:r>
        <w:rPr>
          <w:rFonts w:cs="Times New Roman"/>
          <w:b/>
          <w:sz w:val="24"/>
          <w:szCs w:val="24"/>
          <w:lang w:eastAsia="pl-PL"/>
        </w:rPr>
        <w:t>Pytanie 4</w:t>
      </w:r>
      <w:r w:rsidRPr="005349D9">
        <w:rPr>
          <w:rFonts w:cs="Times New Roman"/>
          <w:b/>
          <w:sz w:val="24"/>
          <w:szCs w:val="24"/>
          <w:lang w:eastAsia="pl-PL"/>
        </w:rPr>
        <w:t xml:space="preserve"> - czy budynek dworca zalicza się do budynków o funkcji społecznej (zgodnie z kryterium merytorycznym punktowym pn. "Funkcja społeczna budynków") ?</w:t>
      </w:r>
    </w:p>
    <w:p w:rsidR="005349D9" w:rsidRPr="005349D9" w:rsidRDefault="005349D9" w:rsidP="005349D9">
      <w:pPr>
        <w:spacing w:after="0" w:line="276" w:lineRule="auto"/>
        <w:jc w:val="both"/>
        <w:rPr>
          <w:rFonts w:cs="Times New Roman"/>
          <w:b/>
          <w:sz w:val="24"/>
          <w:szCs w:val="24"/>
          <w:lang w:eastAsia="pl-PL"/>
        </w:rPr>
      </w:pPr>
    </w:p>
    <w:p w:rsidR="005349D9" w:rsidRPr="005349D9" w:rsidRDefault="005349D9" w:rsidP="005349D9">
      <w:pPr>
        <w:jc w:val="both"/>
        <w:rPr>
          <w:rFonts w:eastAsiaTheme="minorEastAsia" w:cs="Times New Roman"/>
          <w:b/>
          <w:sz w:val="24"/>
          <w:szCs w:val="24"/>
        </w:rPr>
      </w:pPr>
      <w:r w:rsidRPr="005349D9">
        <w:rPr>
          <w:rFonts w:eastAsiaTheme="minorEastAsia" w:cs="Times New Roman"/>
          <w:b/>
          <w:sz w:val="24"/>
          <w:szCs w:val="24"/>
        </w:rPr>
        <w:t>Odpowiedź</w:t>
      </w:r>
    </w:p>
    <w:p w:rsidR="005349D9" w:rsidRPr="005349D9" w:rsidRDefault="005349D9" w:rsidP="005349D9">
      <w:pPr>
        <w:spacing w:after="0" w:line="276" w:lineRule="auto"/>
        <w:jc w:val="both"/>
        <w:rPr>
          <w:rFonts w:eastAsiaTheme="minorEastAsia" w:cs="Times New Roman"/>
          <w:sz w:val="24"/>
          <w:szCs w:val="24"/>
        </w:rPr>
      </w:pPr>
      <w:r w:rsidRPr="005349D9">
        <w:rPr>
          <w:rFonts w:eastAsiaTheme="minorEastAsia" w:cs="Times New Roman"/>
          <w:sz w:val="24"/>
          <w:szCs w:val="24"/>
        </w:rPr>
        <w:t>Zgodnie z definicją kryterium merytorycznego szczegółowego (punktowanego) nr 8 „Funkcja społeczna budynków” premiowane będą projekty dotyczące budynków o znacznej funkcji społecznej, tj. budynki, w których świadczone są usługi społeczne. Punkt otrzymają:</w:t>
      </w:r>
    </w:p>
    <w:p w:rsidR="005349D9" w:rsidRPr="005349D9" w:rsidRDefault="005349D9" w:rsidP="005349D9">
      <w:pPr>
        <w:spacing w:after="0" w:line="276" w:lineRule="auto"/>
        <w:jc w:val="both"/>
        <w:rPr>
          <w:rFonts w:eastAsiaTheme="minorEastAsia" w:cs="Times New Roman"/>
          <w:sz w:val="24"/>
          <w:szCs w:val="24"/>
        </w:rPr>
      </w:pPr>
      <w:r w:rsidRPr="005349D9">
        <w:rPr>
          <w:rFonts w:eastAsiaTheme="minorEastAsia" w:cs="Times New Roman"/>
          <w:sz w:val="24"/>
          <w:szCs w:val="24"/>
        </w:rPr>
        <w:t>3 pkt – budynki, w których świadczone są usługi społeczne z zakresu edukacji i wychowania, ochrony zdrowia, pomocy i opieki społecznej, resocjalizacji, kultury, usługi zatrudnieniowe.</w:t>
      </w:r>
    </w:p>
    <w:p w:rsidR="005349D9" w:rsidRPr="005349D9" w:rsidRDefault="005349D9" w:rsidP="005349D9">
      <w:pPr>
        <w:spacing w:after="0" w:line="276" w:lineRule="auto"/>
        <w:jc w:val="both"/>
        <w:rPr>
          <w:rFonts w:eastAsiaTheme="minorEastAsia" w:cs="Times New Roman"/>
          <w:sz w:val="24"/>
          <w:szCs w:val="24"/>
        </w:rPr>
      </w:pPr>
      <w:r w:rsidRPr="005349D9">
        <w:rPr>
          <w:rFonts w:eastAsiaTheme="minorEastAsia" w:cs="Times New Roman"/>
          <w:sz w:val="24"/>
          <w:szCs w:val="24"/>
        </w:rPr>
        <w:t>1 pkt – pozostałe budynki publiczne.</w:t>
      </w:r>
    </w:p>
    <w:p w:rsidR="005349D9" w:rsidRPr="005349D9" w:rsidRDefault="005349D9" w:rsidP="005349D9">
      <w:pPr>
        <w:spacing w:after="240" w:line="276" w:lineRule="auto"/>
        <w:jc w:val="both"/>
        <w:rPr>
          <w:rFonts w:eastAsiaTheme="minorEastAsia" w:cs="Times New Roman"/>
          <w:sz w:val="24"/>
          <w:szCs w:val="24"/>
        </w:rPr>
      </w:pPr>
      <w:r w:rsidRPr="005349D9">
        <w:rPr>
          <w:rFonts w:eastAsiaTheme="minorEastAsia" w:cs="Times New Roman"/>
          <w:sz w:val="24"/>
          <w:szCs w:val="24"/>
        </w:rPr>
        <w:t>Punkty przyznawane będą na etapie oceny merytorycznej, na podstawie zapisów wniosku, w którym wnioskodawca wskaże jakie usługi społeczne z ww. będą świadczone w termomodernizowanym budynku.</w:t>
      </w:r>
    </w:p>
    <w:p w:rsidR="005349D9" w:rsidRPr="005349D9" w:rsidRDefault="005349D9" w:rsidP="005349D9">
      <w:pPr>
        <w:spacing w:after="0" w:line="276" w:lineRule="auto"/>
        <w:jc w:val="both"/>
        <w:rPr>
          <w:rFonts w:cs="Times New Roman"/>
          <w:sz w:val="24"/>
          <w:szCs w:val="24"/>
          <w:lang w:eastAsia="pl-PL"/>
        </w:rPr>
      </w:pPr>
    </w:p>
    <w:p w:rsidR="005349D9" w:rsidRPr="005349D9" w:rsidRDefault="005349D9" w:rsidP="005349D9">
      <w:pPr>
        <w:spacing w:after="0" w:line="276" w:lineRule="auto"/>
        <w:jc w:val="both"/>
        <w:rPr>
          <w:rFonts w:cs="Times New Roman"/>
          <w:b/>
          <w:sz w:val="24"/>
          <w:szCs w:val="24"/>
          <w:lang w:eastAsia="pl-PL"/>
        </w:rPr>
      </w:pPr>
      <w:r w:rsidRPr="005349D9">
        <w:rPr>
          <w:rFonts w:cs="Times New Roman"/>
          <w:b/>
          <w:sz w:val="24"/>
          <w:szCs w:val="24"/>
          <w:lang w:eastAsia="pl-PL"/>
        </w:rPr>
        <w:t xml:space="preserve">Pytanie </w:t>
      </w:r>
      <w:r>
        <w:rPr>
          <w:rFonts w:cs="Times New Roman"/>
          <w:b/>
          <w:sz w:val="24"/>
          <w:szCs w:val="24"/>
          <w:lang w:eastAsia="pl-PL"/>
        </w:rPr>
        <w:t>5</w:t>
      </w:r>
      <w:r w:rsidRPr="005349D9">
        <w:rPr>
          <w:rFonts w:cs="Times New Roman"/>
          <w:b/>
          <w:sz w:val="24"/>
          <w:szCs w:val="24"/>
          <w:lang w:eastAsia="pl-PL"/>
        </w:rPr>
        <w:t xml:space="preserve"> i </w:t>
      </w:r>
      <w:r>
        <w:rPr>
          <w:rFonts w:cs="Times New Roman"/>
          <w:b/>
          <w:sz w:val="24"/>
          <w:szCs w:val="24"/>
          <w:lang w:eastAsia="pl-PL"/>
        </w:rPr>
        <w:t>6</w:t>
      </w:r>
      <w:r w:rsidRPr="005349D9">
        <w:rPr>
          <w:rFonts w:cs="Times New Roman"/>
          <w:b/>
          <w:sz w:val="24"/>
          <w:szCs w:val="24"/>
          <w:lang w:eastAsia="pl-PL"/>
        </w:rPr>
        <w:t xml:space="preserve"> - czy w przypadku budynku dworca możliwe jest wyłączenie powierzchni kasy do kosztów niekwalifikowalnych i wówczas przedsięwzięcie nie będzie objęte pomocą publiczną? Mając na uwadze powyższe pytanie - czy wówczas wskaźniki produktu i rezultatu powinny być podane wyłącznie dla kwalifikowalnej części projektu?</w:t>
      </w:r>
    </w:p>
    <w:p w:rsidR="005349D9" w:rsidRPr="005349D9" w:rsidRDefault="005349D9" w:rsidP="005349D9">
      <w:pPr>
        <w:spacing w:after="0" w:line="276" w:lineRule="auto"/>
        <w:jc w:val="both"/>
        <w:rPr>
          <w:rFonts w:cs="Times New Roman"/>
          <w:b/>
          <w:sz w:val="24"/>
          <w:szCs w:val="24"/>
          <w:lang w:eastAsia="pl-PL"/>
        </w:rPr>
      </w:pPr>
    </w:p>
    <w:p w:rsidR="005349D9" w:rsidRPr="005349D9" w:rsidRDefault="005349D9" w:rsidP="005349D9">
      <w:pPr>
        <w:jc w:val="both"/>
        <w:rPr>
          <w:rFonts w:eastAsiaTheme="minorEastAsia" w:cs="Times New Roman"/>
          <w:b/>
          <w:sz w:val="24"/>
          <w:szCs w:val="24"/>
        </w:rPr>
      </w:pPr>
      <w:r w:rsidRPr="005349D9">
        <w:rPr>
          <w:rFonts w:eastAsiaTheme="minorEastAsia" w:cs="Times New Roman"/>
          <w:b/>
          <w:sz w:val="24"/>
          <w:szCs w:val="24"/>
        </w:rPr>
        <w:t>Odpowiedź</w:t>
      </w:r>
    </w:p>
    <w:p w:rsidR="005349D9" w:rsidRPr="005349D9" w:rsidRDefault="005349D9" w:rsidP="005349D9">
      <w:pPr>
        <w:jc w:val="both"/>
        <w:rPr>
          <w:rFonts w:ascii="Calibri" w:eastAsiaTheme="minorEastAsia" w:hAnsi="Calibri" w:cs="Times New Roman"/>
          <w:sz w:val="24"/>
          <w:szCs w:val="24"/>
        </w:rPr>
      </w:pPr>
      <w:r w:rsidRPr="005349D9">
        <w:rPr>
          <w:rFonts w:ascii="Calibri" w:eastAsiaTheme="minorEastAsia" w:hAnsi="Calibri" w:cs="Times New Roman"/>
          <w:sz w:val="24"/>
          <w:szCs w:val="24"/>
        </w:rPr>
        <w:t xml:space="preserve">Z uwagi na niewielki zakres informacji zawartych w pytaniu oraz fakt, że przytoczone zagadnienie nie oddaje całościowego zakresu projektu, Instytucja Organizująca Konkurs, nie jest w stanie zająć ostatecznego stanowiska w sprawie. Adekwatność oraz realność przyjętych do osiągniecia wartości wskaźników, ujętych we wniosku o dofinansowanie, podlegają </w:t>
      </w:r>
      <w:r w:rsidRPr="005349D9">
        <w:rPr>
          <w:rFonts w:ascii="Calibri" w:eastAsiaTheme="minorEastAsia" w:hAnsi="Calibri" w:cs="Times New Roman"/>
          <w:sz w:val="24"/>
          <w:szCs w:val="24"/>
        </w:rPr>
        <w:lastRenderedPageBreak/>
        <w:t xml:space="preserve">sprawdzeniu podczas oceny merytorycznej prowadzonej przez niezależnych Ekspertów. Mając na uwadze powyższe, proszę o wypełnienie wniosku o dofinasowanie zgodnie z Instrukcją stanowiącą załącznik do Regulaminu konkursu. </w:t>
      </w:r>
    </w:p>
    <w:p w:rsidR="005349D9" w:rsidRPr="005349D9" w:rsidRDefault="005349D9" w:rsidP="005349D9">
      <w:pPr>
        <w:spacing w:after="0" w:line="276" w:lineRule="auto"/>
        <w:jc w:val="both"/>
        <w:rPr>
          <w:rFonts w:cs="Times New Roman"/>
          <w:b/>
          <w:sz w:val="24"/>
          <w:szCs w:val="24"/>
          <w:lang w:eastAsia="pl-PL"/>
        </w:rPr>
      </w:pPr>
      <w:r w:rsidRPr="005349D9">
        <w:rPr>
          <w:rFonts w:cs="Times New Roman"/>
          <w:b/>
          <w:sz w:val="24"/>
          <w:szCs w:val="24"/>
          <w:lang w:eastAsia="pl-PL"/>
        </w:rPr>
        <w:t xml:space="preserve">Pytanie nr </w:t>
      </w:r>
      <w:r>
        <w:rPr>
          <w:rFonts w:cs="Times New Roman"/>
          <w:b/>
          <w:sz w:val="24"/>
          <w:szCs w:val="24"/>
          <w:lang w:eastAsia="pl-PL"/>
        </w:rPr>
        <w:t>7</w:t>
      </w:r>
      <w:r w:rsidRPr="005349D9">
        <w:rPr>
          <w:rFonts w:cs="Times New Roman"/>
          <w:b/>
          <w:sz w:val="24"/>
          <w:szCs w:val="24"/>
          <w:lang w:eastAsia="pl-PL"/>
        </w:rPr>
        <w:t xml:space="preserve"> - proszę o informację w zakresie kryterium merytorycznego "Zgodność z typami wiązek projektów wskazanymi w </w:t>
      </w:r>
      <w:r w:rsidRPr="005349D9">
        <w:rPr>
          <w:rFonts w:cs="Times New Roman"/>
          <w:b/>
          <w:i/>
          <w:iCs/>
          <w:sz w:val="24"/>
          <w:szCs w:val="24"/>
          <w:lang w:eastAsia="pl-PL"/>
        </w:rPr>
        <w:t xml:space="preserve">Strategii ZIT Aglomeracji Opolskiej" - </w:t>
      </w:r>
      <w:r w:rsidRPr="005349D9">
        <w:rPr>
          <w:rFonts w:cs="Times New Roman"/>
          <w:b/>
          <w:sz w:val="24"/>
          <w:szCs w:val="24"/>
          <w:lang w:eastAsia="pl-PL"/>
        </w:rPr>
        <w:t>czy kryterium ma na myśli wskazanie danej wiązki i uzasadnienie jak koreluje ona z projektem? W ramach przedsięwzięcia termomodernizacyjnego będzie to wiązka 2.</w:t>
      </w:r>
    </w:p>
    <w:p w:rsidR="005349D9" w:rsidRPr="005349D9" w:rsidRDefault="005349D9" w:rsidP="005349D9">
      <w:pPr>
        <w:spacing w:after="0" w:line="276" w:lineRule="auto"/>
        <w:jc w:val="both"/>
        <w:rPr>
          <w:rFonts w:cs="Times New Roman"/>
          <w:b/>
          <w:sz w:val="24"/>
          <w:szCs w:val="24"/>
          <w:lang w:eastAsia="pl-PL"/>
        </w:rPr>
      </w:pPr>
    </w:p>
    <w:p w:rsidR="005349D9" w:rsidRPr="005349D9" w:rsidRDefault="005349D9" w:rsidP="005349D9">
      <w:pPr>
        <w:jc w:val="both"/>
        <w:rPr>
          <w:rFonts w:eastAsiaTheme="minorEastAsia" w:cs="Times New Roman"/>
          <w:b/>
          <w:sz w:val="24"/>
          <w:szCs w:val="24"/>
        </w:rPr>
      </w:pPr>
      <w:r w:rsidRPr="005349D9">
        <w:rPr>
          <w:rFonts w:eastAsiaTheme="minorEastAsia" w:cs="Times New Roman"/>
          <w:b/>
          <w:sz w:val="24"/>
          <w:szCs w:val="24"/>
        </w:rPr>
        <w:t>Odpowiedź</w:t>
      </w:r>
    </w:p>
    <w:p w:rsidR="005349D9" w:rsidRDefault="005349D9" w:rsidP="005349D9">
      <w:pPr>
        <w:spacing w:after="0" w:line="276" w:lineRule="auto"/>
        <w:jc w:val="both"/>
        <w:rPr>
          <w:rFonts w:ascii="Calibri" w:eastAsiaTheme="minorEastAsia" w:hAnsi="Calibri" w:cs="Times New Roman"/>
          <w:sz w:val="24"/>
          <w:szCs w:val="24"/>
        </w:rPr>
      </w:pPr>
      <w:r w:rsidRPr="005349D9">
        <w:rPr>
          <w:rFonts w:ascii="Calibri" w:eastAsiaTheme="minorEastAsia" w:hAnsi="Calibri" w:cs="Times New Roman"/>
          <w:sz w:val="24"/>
          <w:szCs w:val="24"/>
        </w:rPr>
        <w:t>Zgodnie z definicją ww. kryterium, należy wskazać</w:t>
      </w:r>
      <w:r w:rsidR="003D2B2D">
        <w:rPr>
          <w:rFonts w:ascii="Calibri" w:eastAsiaTheme="minorEastAsia" w:hAnsi="Calibri" w:cs="Times New Roman"/>
          <w:sz w:val="24"/>
          <w:szCs w:val="24"/>
        </w:rPr>
        <w:t xml:space="preserve"> w dokumentacji aplikacyjnej (w </w:t>
      </w:r>
      <w:r w:rsidRPr="005349D9">
        <w:rPr>
          <w:rFonts w:ascii="Calibri" w:eastAsiaTheme="minorEastAsia" w:hAnsi="Calibri" w:cs="Times New Roman"/>
          <w:sz w:val="24"/>
          <w:szCs w:val="24"/>
        </w:rPr>
        <w:t>szczególności w Studium Wykonalności Inwestycji), czy projekt wpisuje się w typ wiązki projektów, zdefiniowanej w Strategii Zintegrowanych Inwestycji Terytorialnych Aglomeracji Opolskiej.</w:t>
      </w:r>
    </w:p>
    <w:p w:rsidR="003D2B2D" w:rsidRDefault="003D2B2D" w:rsidP="005349D9">
      <w:pPr>
        <w:spacing w:after="0" w:line="276" w:lineRule="auto"/>
        <w:jc w:val="both"/>
        <w:rPr>
          <w:rFonts w:ascii="Calibri" w:eastAsiaTheme="minorEastAsia" w:hAnsi="Calibri" w:cs="Times New Roman"/>
          <w:sz w:val="24"/>
          <w:szCs w:val="24"/>
        </w:rPr>
      </w:pPr>
    </w:p>
    <w:p w:rsidR="003D2B2D" w:rsidRDefault="003D2B2D" w:rsidP="003D2B2D">
      <w:pPr>
        <w:spacing w:after="0"/>
        <w:jc w:val="both"/>
        <w:rPr>
          <w:rFonts w:cs="Times New Roman"/>
          <w:b/>
          <w:sz w:val="24"/>
          <w:szCs w:val="24"/>
          <w:lang w:eastAsia="pl-PL"/>
        </w:rPr>
      </w:pPr>
      <w:bookmarkStart w:id="0" w:name="_GoBack"/>
      <w:bookmarkEnd w:id="0"/>
      <w:r w:rsidRPr="005349D9">
        <w:rPr>
          <w:rFonts w:cs="Times New Roman"/>
          <w:b/>
          <w:sz w:val="24"/>
          <w:szCs w:val="24"/>
          <w:lang w:eastAsia="pl-PL"/>
        </w:rPr>
        <w:t xml:space="preserve">Pytanie nr </w:t>
      </w:r>
      <w:r>
        <w:rPr>
          <w:rFonts w:cs="Times New Roman"/>
          <w:b/>
          <w:sz w:val="24"/>
          <w:szCs w:val="24"/>
          <w:lang w:eastAsia="pl-PL"/>
        </w:rPr>
        <w:t xml:space="preserve">8 - </w:t>
      </w:r>
      <w:r w:rsidRPr="003D2B2D">
        <w:rPr>
          <w:rFonts w:cs="Times New Roman"/>
          <w:b/>
          <w:sz w:val="24"/>
          <w:szCs w:val="24"/>
          <w:lang w:eastAsia="pl-PL"/>
        </w:rPr>
        <w:t>czy w przypadku jeśli w termomodernizowanym budynku występuje mieszkanie, które będzie kosztem niekwalifikowanym, czy możliwe jest zastosowanie metodologii wyłączenia na podstawie na przykład zużycia</w:t>
      </w:r>
      <w:r>
        <w:rPr>
          <w:rFonts w:cs="Times New Roman"/>
          <w:b/>
          <w:sz w:val="24"/>
          <w:szCs w:val="24"/>
          <w:lang w:eastAsia="pl-PL"/>
        </w:rPr>
        <w:t xml:space="preserve"> energii, tj. zużycie energii w </w:t>
      </w:r>
      <w:r w:rsidRPr="003D2B2D">
        <w:rPr>
          <w:rFonts w:cs="Times New Roman"/>
          <w:b/>
          <w:sz w:val="24"/>
          <w:szCs w:val="24"/>
          <w:lang w:eastAsia="pl-PL"/>
        </w:rPr>
        <w:t>mieszkaniu w stosunku do zużycia energii ogólnie w budynku?</w:t>
      </w:r>
    </w:p>
    <w:p w:rsidR="003D2B2D" w:rsidRDefault="003D2B2D" w:rsidP="003D2B2D">
      <w:pPr>
        <w:spacing w:after="0"/>
        <w:jc w:val="both"/>
        <w:rPr>
          <w:rFonts w:cs="Times New Roman"/>
          <w:b/>
          <w:sz w:val="24"/>
          <w:szCs w:val="24"/>
          <w:lang w:eastAsia="pl-PL"/>
        </w:rPr>
      </w:pPr>
    </w:p>
    <w:p w:rsidR="003D2B2D" w:rsidRPr="005349D9" w:rsidRDefault="003D2B2D" w:rsidP="003D2B2D">
      <w:pPr>
        <w:jc w:val="both"/>
        <w:rPr>
          <w:rFonts w:eastAsiaTheme="minorEastAsia" w:cs="Times New Roman"/>
          <w:b/>
          <w:sz w:val="24"/>
          <w:szCs w:val="24"/>
        </w:rPr>
      </w:pPr>
      <w:r w:rsidRPr="005349D9">
        <w:rPr>
          <w:rFonts w:eastAsiaTheme="minorEastAsia" w:cs="Times New Roman"/>
          <w:b/>
          <w:sz w:val="24"/>
          <w:szCs w:val="24"/>
        </w:rPr>
        <w:t>Odpowiedź</w:t>
      </w:r>
    </w:p>
    <w:p w:rsidR="003D2B2D" w:rsidRPr="003D2B2D" w:rsidRDefault="003D2B2D" w:rsidP="003D2B2D">
      <w:pPr>
        <w:spacing w:after="0" w:line="276" w:lineRule="auto"/>
        <w:jc w:val="both"/>
        <w:rPr>
          <w:rFonts w:ascii="Calibri" w:eastAsiaTheme="minorEastAsia" w:hAnsi="Calibri" w:cs="Times New Roman"/>
          <w:sz w:val="24"/>
          <w:szCs w:val="24"/>
        </w:rPr>
      </w:pPr>
      <w:r>
        <w:rPr>
          <w:rFonts w:ascii="Calibri" w:eastAsiaTheme="minorEastAsia" w:hAnsi="Calibri" w:cs="Times New Roman"/>
          <w:sz w:val="24"/>
          <w:szCs w:val="24"/>
        </w:rPr>
        <w:t>W</w:t>
      </w:r>
      <w:r w:rsidRPr="003D2B2D">
        <w:rPr>
          <w:rFonts w:ascii="Calibri" w:eastAsiaTheme="minorEastAsia" w:hAnsi="Calibri" w:cs="Times New Roman"/>
          <w:sz w:val="24"/>
          <w:szCs w:val="24"/>
        </w:rPr>
        <w:t xml:space="preserve">yliczenie kosztów niekwalifikowalnych projektu czyli wyłączenie mieszkania z kosztów kwalifikowalnych, powinno być dokonane proporcjonalnie, na podstawie kosztów robót budowlanych poniesionych na termomodernizację całego obiektu (np. kubatura całego budynku pomniejszona o kubaturę niekwalifikowalnego mieszkania), nie zaś na podstawie efektu energetycznego osiągniętego w wyniku wykonania prac termomodernizacyjnych. </w:t>
      </w:r>
    </w:p>
    <w:p w:rsidR="003D2B2D" w:rsidRPr="005349D9" w:rsidRDefault="003D2B2D" w:rsidP="003D2B2D">
      <w:pPr>
        <w:spacing w:after="0" w:line="276" w:lineRule="auto"/>
        <w:jc w:val="both"/>
        <w:rPr>
          <w:rFonts w:ascii="Calibri" w:eastAsiaTheme="minorEastAsia" w:hAnsi="Calibri" w:cs="Times New Roman"/>
          <w:sz w:val="24"/>
          <w:szCs w:val="24"/>
        </w:rPr>
      </w:pPr>
      <w:r w:rsidRPr="003D2B2D">
        <w:rPr>
          <w:rFonts w:ascii="Calibri" w:eastAsiaTheme="minorEastAsia" w:hAnsi="Calibri" w:cs="Times New Roman"/>
          <w:sz w:val="24"/>
          <w:szCs w:val="24"/>
        </w:rPr>
        <w:t>Ponadto mieszkanie powinno w miarę możliwości zostać wyodrębnione także w audycie energetycznym.</w:t>
      </w:r>
    </w:p>
    <w:p w:rsidR="001150E1" w:rsidRPr="005349D9" w:rsidRDefault="001150E1" w:rsidP="002C0CD4">
      <w:pPr>
        <w:keepNext/>
        <w:suppressAutoHyphens/>
        <w:spacing w:before="240" w:after="60" w:line="240" w:lineRule="auto"/>
        <w:jc w:val="both"/>
        <w:outlineLvl w:val="0"/>
        <w:rPr>
          <w:rFonts w:eastAsiaTheme="minorEastAsia" w:cs="Arial"/>
          <w:b/>
          <w:bCs/>
          <w:kern w:val="32"/>
          <w:sz w:val="24"/>
          <w:szCs w:val="24"/>
          <w:lang w:eastAsia="pl-PL"/>
        </w:rPr>
      </w:pPr>
    </w:p>
    <w:p w:rsidR="00FC253A" w:rsidRPr="005349D9" w:rsidRDefault="00FC253A" w:rsidP="00FC253A">
      <w:pPr>
        <w:jc w:val="both"/>
      </w:pPr>
    </w:p>
    <w:sectPr w:rsidR="00FC253A" w:rsidRPr="005349D9" w:rsidSect="001150E1">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D4" w:rsidRDefault="002C0CD4" w:rsidP="002C0CD4">
      <w:pPr>
        <w:spacing w:after="0" w:line="240" w:lineRule="auto"/>
      </w:pPr>
      <w:r>
        <w:separator/>
      </w:r>
    </w:p>
  </w:endnote>
  <w:endnote w:type="continuationSeparator" w:id="0">
    <w:p w:rsidR="002C0CD4" w:rsidRDefault="002C0CD4" w:rsidP="002C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D4" w:rsidRDefault="002C0CD4" w:rsidP="002C0CD4">
      <w:pPr>
        <w:spacing w:after="0" w:line="240" w:lineRule="auto"/>
      </w:pPr>
      <w:r>
        <w:separator/>
      </w:r>
    </w:p>
  </w:footnote>
  <w:footnote w:type="continuationSeparator" w:id="0">
    <w:p w:rsidR="002C0CD4" w:rsidRDefault="002C0CD4" w:rsidP="002C0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4549"/>
    <w:multiLevelType w:val="hybridMultilevel"/>
    <w:tmpl w:val="AFDAC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827303"/>
    <w:multiLevelType w:val="hybridMultilevel"/>
    <w:tmpl w:val="1A5A31DA"/>
    <w:lvl w:ilvl="0" w:tplc="04150017">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3A"/>
    <w:rsid w:val="001150E1"/>
    <w:rsid w:val="00275C3D"/>
    <w:rsid w:val="002C0CD4"/>
    <w:rsid w:val="003D2B2D"/>
    <w:rsid w:val="004B10C5"/>
    <w:rsid w:val="005349D9"/>
    <w:rsid w:val="00574360"/>
    <w:rsid w:val="00595383"/>
    <w:rsid w:val="00666908"/>
    <w:rsid w:val="00D22D76"/>
    <w:rsid w:val="00D639C8"/>
    <w:rsid w:val="00D829B9"/>
    <w:rsid w:val="00E07434"/>
    <w:rsid w:val="00E33B3D"/>
    <w:rsid w:val="00FC253A"/>
    <w:rsid w:val="00FD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7B0F5-7CFF-4DA4-A9EC-0DA1D304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0CD4"/>
    <w:pPr>
      <w:ind w:left="720"/>
      <w:contextualSpacing/>
    </w:p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semiHidden/>
    <w:locked/>
    <w:rsid w:val="002C0CD4"/>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semiHidden/>
    <w:unhideWhenUsed/>
    <w:rsid w:val="002C0CD4"/>
    <w:pPr>
      <w:spacing w:after="0" w:line="240" w:lineRule="auto"/>
    </w:pPr>
  </w:style>
  <w:style w:type="character" w:customStyle="1" w:styleId="TekstprzypisudolnegoZnak1">
    <w:name w:val="Tekst przypisu dolnego Znak1"/>
    <w:basedOn w:val="Domylnaczcionkaakapitu"/>
    <w:uiPriority w:val="99"/>
    <w:semiHidden/>
    <w:rsid w:val="002C0CD4"/>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rsid w:val="002C0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6576">
      <w:bodyDiv w:val="1"/>
      <w:marLeft w:val="0"/>
      <w:marRight w:val="0"/>
      <w:marTop w:val="0"/>
      <w:marBottom w:val="0"/>
      <w:divBdr>
        <w:top w:val="none" w:sz="0" w:space="0" w:color="auto"/>
        <w:left w:val="none" w:sz="0" w:space="0" w:color="auto"/>
        <w:bottom w:val="none" w:sz="0" w:space="0" w:color="auto"/>
        <w:right w:val="none" w:sz="0" w:space="0" w:color="auto"/>
      </w:divBdr>
    </w:div>
    <w:div w:id="170612580">
      <w:bodyDiv w:val="1"/>
      <w:marLeft w:val="0"/>
      <w:marRight w:val="0"/>
      <w:marTop w:val="0"/>
      <w:marBottom w:val="0"/>
      <w:divBdr>
        <w:top w:val="none" w:sz="0" w:space="0" w:color="auto"/>
        <w:left w:val="none" w:sz="0" w:space="0" w:color="auto"/>
        <w:bottom w:val="none" w:sz="0" w:space="0" w:color="auto"/>
        <w:right w:val="none" w:sz="0" w:space="0" w:color="auto"/>
      </w:divBdr>
    </w:div>
    <w:div w:id="372851182">
      <w:bodyDiv w:val="1"/>
      <w:marLeft w:val="0"/>
      <w:marRight w:val="0"/>
      <w:marTop w:val="0"/>
      <w:marBottom w:val="0"/>
      <w:divBdr>
        <w:top w:val="none" w:sz="0" w:space="0" w:color="auto"/>
        <w:left w:val="none" w:sz="0" w:space="0" w:color="auto"/>
        <w:bottom w:val="none" w:sz="0" w:space="0" w:color="auto"/>
        <w:right w:val="none" w:sz="0" w:space="0" w:color="auto"/>
      </w:divBdr>
    </w:div>
    <w:div w:id="393161516">
      <w:bodyDiv w:val="1"/>
      <w:marLeft w:val="0"/>
      <w:marRight w:val="0"/>
      <w:marTop w:val="0"/>
      <w:marBottom w:val="0"/>
      <w:divBdr>
        <w:top w:val="none" w:sz="0" w:space="0" w:color="auto"/>
        <w:left w:val="none" w:sz="0" w:space="0" w:color="auto"/>
        <w:bottom w:val="none" w:sz="0" w:space="0" w:color="auto"/>
        <w:right w:val="none" w:sz="0" w:space="0" w:color="auto"/>
      </w:divBdr>
    </w:div>
    <w:div w:id="791022041">
      <w:bodyDiv w:val="1"/>
      <w:marLeft w:val="0"/>
      <w:marRight w:val="0"/>
      <w:marTop w:val="0"/>
      <w:marBottom w:val="0"/>
      <w:divBdr>
        <w:top w:val="none" w:sz="0" w:space="0" w:color="auto"/>
        <w:left w:val="none" w:sz="0" w:space="0" w:color="auto"/>
        <w:bottom w:val="none" w:sz="0" w:space="0" w:color="auto"/>
        <w:right w:val="none" w:sz="0" w:space="0" w:color="auto"/>
      </w:divBdr>
    </w:div>
    <w:div w:id="881745578">
      <w:bodyDiv w:val="1"/>
      <w:marLeft w:val="0"/>
      <w:marRight w:val="0"/>
      <w:marTop w:val="0"/>
      <w:marBottom w:val="0"/>
      <w:divBdr>
        <w:top w:val="none" w:sz="0" w:space="0" w:color="auto"/>
        <w:left w:val="none" w:sz="0" w:space="0" w:color="auto"/>
        <w:bottom w:val="none" w:sz="0" w:space="0" w:color="auto"/>
        <w:right w:val="none" w:sz="0" w:space="0" w:color="auto"/>
      </w:divBdr>
    </w:div>
    <w:div w:id="1256480909">
      <w:bodyDiv w:val="1"/>
      <w:marLeft w:val="0"/>
      <w:marRight w:val="0"/>
      <w:marTop w:val="0"/>
      <w:marBottom w:val="0"/>
      <w:divBdr>
        <w:top w:val="none" w:sz="0" w:space="0" w:color="auto"/>
        <w:left w:val="none" w:sz="0" w:space="0" w:color="auto"/>
        <w:bottom w:val="none" w:sz="0" w:space="0" w:color="auto"/>
        <w:right w:val="none" w:sz="0" w:space="0" w:color="auto"/>
      </w:divBdr>
    </w:div>
    <w:div w:id="15328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1392</Words>
  <Characters>8357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Ostrowska</dc:creator>
  <cp:keywords/>
  <dc:description/>
  <cp:lastModifiedBy>Krzysztof Sułek</cp:lastModifiedBy>
  <cp:revision>3</cp:revision>
  <dcterms:created xsi:type="dcterms:W3CDTF">2019-05-10T12:54:00Z</dcterms:created>
  <dcterms:modified xsi:type="dcterms:W3CDTF">2019-05-10T12:57:00Z</dcterms:modified>
</cp:coreProperties>
</file>