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46DED0BC" w:rsidR="00136D60" w:rsidRPr="004534FE" w:rsidRDefault="004E0EC9" w:rsidP="00136D60">
      <w:pPr>
        <w:jc w:val="center"/>
        <w:rPr>
          <w:rFonts w:ascii="Arial" w:eastAsiaTheme="minorEastAsia" w:hAnsi="Arial" w:cs="Arial"/>
          <w:i/>
          <w:color w:val="000099"/>
          <w:sz w:val="20"/>
          <w:szCs w:val="20"/>
          <w:lang w:eastAsia="pl-PL"/>
        </w:rPr>
      </w:pPr>
      <w:bookmarkStart w:id="0" w:name="_Hlk176945093"/>
      <w:bookmarkEnd w:id="0"/>
      <w:r w:rsidRPr="00EE0272">
        <w:rPr>
          <w:b/>
          <w:noProof/>
          <w:color w:val="000099"/>
          <w:sz w:val="36"/>
          <w:szCs w:val="36"/>
          <w:lang w:eastAsia="pl-PL"/>
        </w:rPr>
        <w:drawing>
          <wp:inline distT="0" distB="0" distL="0" distR="0" wp14:anchorId="6CFA9A54" wp14:editId="372D0C7A">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11BF6CEA" w14:textId="67BCCC70" w:rsidR="00136D60" w:rsidRPr="004534FE" w:rsidRDefault="00136D60" w:rsidP="00136D60">
      <w:pPr>
        <w:jc w:val="center"/>
        <w:rPr>
          <w:rFonts w:ascii="Arial" w:eastAsiaTheme="minorEastAsia" w:hAnsi="Arial" w:cs="Arial"/>
          <w:i/>
          <w:color w:val="000099"/>
          <w:sz w:val="20"/>
          <w:szCs w:val="20"/>
          <w:lang w:eastAsia="pl-PL"/>
        </w:rPr>
      </w:pPr>
    </w:p>
    <w:p w14:paraId="05850690" w14:textId="77777777" w:rsidR="00103B1B" w:rsidRPr="004534FE" w:rsidRDefault="00103B1B" w:rsidP="00FD69C6">
      <w:pPr>
        <w:jc w:val="center"/>
        <w:rPr>
          <w:rFonts w:ascii="Arial" w:eastAsiaTheme="minorEastAsia" w:hAnsi="Arial" w:cs="Arial"/>
          <w:i/>
          <w:color w:val="000099"/>
          <w:sz w:val="20"/>
          <w:szCs w:val="20"/>
          <w:lang w:eastAsia="pl-PL"/>
        </w:rPr>
      </w:pPr>
    </w:p>
    <w:p w14:paraId="5B59677A" w14:textId="77777777" w:rsidR="00103B1B" w:rsidRPr="004E0EC9" w:rsidRDefault="00103B1B" w:rsidP="00FD69C6">
      <w:pPr>
        <w:jc w:val="center"/>
        <w:rPr>
          <w:rFonts w:ascii="Arial" w:eastAsiaTheme="minorEastAsia" w:hAnsi="Arial" w:cs="Arial"/>
          <w:i/>
          <w:sz w:val="20"/>
          <w:szCs w:val="20"/>
          <w:lang w:eastAsia="pl-PL"/>
        </w:rPr>
      </w:pPr>
    </w:p>
    <w:p w14:paraId="6C301BB4" w14:textId="77777777" w:rsidR="004E0EC9" w:rsidRPr="004E0EC9" w:rsidRDefault="004E0EC9" w:rsidP="004E0EC9">
      <w:pPr>
        <w:spacing w:after="0" w:line="360" w:lineRule="auto"/>
        <w:rPr>
          <w:b/>
          <w:sz w:val="44"/>
          <w:szCs w:val="44"/>
        </w:rPr>
      </w:pPr>
      <w:r w:rsidRPr="004E0EC9">
        <w:rPr>
          <w:b/>
          <w:sz w:val="44"/>
          <w:szCs w:val="44"/>
        </w:rPr>
        <w:t>ZAŁĄCZNIK NR 9</w:t>
      </w:r>
    </w:p>
    <w:p w14:paraId="5FEC0380" w14:textId="1D7660D3" w:rsidR="000F4CA9" w:rsidRPr="004E0EC9" w:rsidRDefault="000F4CA9" w:rsidP="000F4CA9">
      <w:pPr>
        <w:rPr>
          <w:rFonts w:ascii="Calibri" w:eastAsia="Times New Roman" w:hAnsi="Calibri" w:cs="Times New Roman"/>
          <w:b/>
          <w:sz w:val="44"/>
          <w:szCs w:val="44"/>
        </w:rPr>
      </w:pPr>
      <w:r w:rsidRPr="004E0EC9">
        <w:rPr>
          <w:rFonts w:ascii="Calibri" w:eastAsia="Times New Roman" w:hAnsi="Calibri" w:cs="Times New Roman"/>
          <w:b/>
          <w:sz w:val="44"/>
          <w:szCs w:val="44"/>
        </w:rPr>
        <w:t xml:space="preserve">Lista wskaźników na poziomie projektu dla działania </w:t>
      </w:r>
      <w:r w:rsidRPr="004E0EC9">
        <w:rPr>
          <w:rFonts w:ascii="Calibri" w:eastAsia="Times New Roman" w:hAnsi="Calibri" w:cs="Times New Roman"/>
          <w:b/>
          <w:sz w:val="44"/>
          <w:szCs w:val="44"/>
        </w:rPr>
        <w:br/>
      </w:r>
      <w:r w:rsidR="007510A4" w:rsidRPr="004E0EC9">
        <w:rPr>
          <w:rFonts w:ascii="Calibri" w:eastAsia="Times New Roman" w:hAnsi="Calibri" w:cs="Times New Roman"/>
          <w:b/>
          <w:sz w:val="44"/>
          <w:szCs w:val="44"/>
        </w:rPr>
        <w:t>1</w:t>
      </w:r>
      <w:r w:rsidRPr="004E0EC9">
        <w:rPr>
          <w:rFonts w:ascii="Calibri" w:eastAsia="Times New Roman" w:hAnsi="Calibri" w:cs="Times New Roman"/>
          <w:b/>
          <w:sz w:val="44"/>
          <w:szCs w:val="44"/>
        </w:rPr>
        <w:t>.</w:t>
      </w:r>
      <w:r w:rsidR="00F34A8F" w:rsidRPr="004E0EC9">
        <w:rPr>
          <w:rFonts w:ascii="Calibri" w:eastAsia="Times New Roman" w:hAnsi="Calibri" w:cs="Times New Roman"/>
          <w:b/>
          <w:sz w:val="44"/>
          <w:szCs w:val="44"/>
        </w:rPr>
        <w:t>9</w:t>
      </w:r>
      <w:r w:rsidR="00C149FA" w:rsidRPr="004E0EC9">
        <w:rPr>
          <w:rFonts w:ascii="Calibri" w:eastAsia="Times New Roman" w:hAnsi="Calibri" w:cs="Times New Roman"/>
          <w:b/>
          <w:sz w:val="44"/>
          <w:szCs w:val="44"/>
        </w:rPr>
        <w:t xml:space="preserve"> </w:t>
      </w:r>
      <w:r w:rsidR="00F34A8F" w:rsidRPr="004E0EC9">
        <w:rPr>
          <w:rFonts w:ascii="Calibri" w:eastAsia="Times New Roman" w:hAnsi="Calibri" w:cs="Times New Roman"/>
          <w:b/>
          <w:sz w:val="44"/>
          <w:szCs w:val="44"/>
        </w:rPr>
        <w:t>Wdrożenie B+R przez MŚP F</w:t>
      </w:r>
      <w:r w:rsidRPr="004E0EC9">
        <w:rPr>
          <w:rFonts w:ascii="Calibri" w:eastAsia="Times New Roman" w:hAnsi="Calibri" w:cs="Times New Roman"/>
          <w:b/>
          <w:sz w:val="44"/>
          <w:szCs w:val="44"/>
        </w:rPr>
        <w:t>EO 2021-2027</w:t>
      </w:r>
    </w:p>
    <w:p w14:paraId="334E28F9" w14:textId="77777777" w:rsidR="00136D60" w:rsidRPr="004534FE" w:rsidRDefault="00136D60" w:rsidP="00136D60">
      <w:pPr>
        <w:rPr>
          <w:rFonts w:ascii="Arial" w:eastAsiaTheme="minorEastAsia" w:hAnsi="Arial" w:cs="Arial"/>
          <w:sz w:val="20"/>
          <w:szCs w:val="20"/>
          <w:lang w:eastAsia="pl-PL"/>
        </w:rPr>
      </w:pPr>
    </w:p>
    <w:p w14:paraId="0D351694" w14:textId="77777777" w:rsidR="004E0EC9" w:rsidRDefault="004E0EC9" w:rsidP="00136D60">
      <w:pPr>
        <w:rPr>
          <w:rFonts w:ascii="Arial" w:eastAsiaTheme="minorEastAsia" w:hAnsi="Arial" w:cs="Arial"/>
          <w:sz w:val="20"/>
          <w:szCs w:val="20"/>
          <w:lang w:eastAsia="pl-PL"/>
        </w:rPr>
      </w:pPr>
    </w:p>
    <w:p w14:paraId="210AFD0E" w14:textId="77777777" w:rsidR="004E0EC9" w:rsidRDefault="004E0EC9" w:rsidP="00136D60">
      <w:pPr>
        <w:rPr>
          <w:rFonts w:ascii="Arial" w:eastAsiaTheme="minorEastAsia" w:hAnsi="Arial" w:cs="Arial"/>
          <w:sz w:val="20"/>
          <w:szCs w:val="20"/>
          <w:lang w:eastAsia="pl-PL"/>
        </w:rPr>
      </w:pPr>
    </w:p>
    <w:p w14:paraId="76D1BD57" w14:textId="77777777" w:rsidR="004E0EC9" w:rsidRDefault="004E0EC9" w:rsidP="00136D60">
      <w:pPr>
        <w:rPr>
          <w:rFonts w:ascii="Arial" w:eastAsiaTheme="minorEastAsia" w:hAnsi="Arial" w:cs="Arial"/>
          <w:sz w:val="20"/>
          <w:szCs w:val="20"/>
          <w:lang w:eastAsia="pl-PL"/>
        </w:rPr>
      </w:pPr>
    </w:p>
    <w:p w14:paraId="73B828C7" w14:textId="77777777" w:rsidR="004E0EC9" w:rsidRDefault="004E0EC9" w:rsidP="00136D60">
      <w:pPr>
        <w:rPr>
          <w:rFonts w:ascii="Arial" w:eastAsiaTheme="minorEastAsia" w:hAnsi="Arial" w:cs="Arial"/>
          <w:sz w:val="20"/>
          <w:szCs w:val="20"/>
          <w:lang w:eastAsia="pl-PL"/>
        </w:rPr>
      </w:pPr>
    </w:p>
    <w:p w14:paraId="5886B212" w14:textId="5A2E8D67" w:rsidR="00136D60" w:rsidRPr="004534FE" w:rsidRDefault="004E0EC9" w:rsidP="00136D60">
      <w:pPr>
        <w:rPr>
          <w:rFonts w:ascii="Arial" w:eastAsiaTheme="minorEastAsia" w:hAnsi="Arial" w:cs="Arial"/>
          <w:sz w:val="20"/>
          <w:szCs w:val="20"/>
          <w:lang w:eastAsia="pl-PL"/>
        </w:rPr>
      </w:pPr>
      <w:r w:rsidRPr="00656628">
        <w:rPr>
          <w:rFonts w:eastAsia="Times New Roman"/>
          <w:b/>
          <w:sz w:val="24"/>
          <w:szCs w:val="24"/>
        </w:rPr>
        <w:t xml:space="preserve">Opole, </w:t>
      </w:r>
      <w:r w:rsidR="00582908" w:rsidRPr="00582908">
        <w:rPr>
          <w:rFonts w:eastAsia="Times New Roman"/>
          <w:b/>
          <w:sz w:val="24"/>
          <w:szCs w:val="24"/>
        </w:rPr>
        <w:t>październik</w:t>
      </w:r>
      <w:r w:rsidR="00582908">
        <w:rPr>
          <w:rFonts w:eastAsia="Times New Roman"/>
          <w:b/>
          <w:sz w:val="24"/>
          <w:szCs w:val="24"/>
        </w:rPr>
        <w:t xml:space="preserve"> </w:t>
      </w:r>
      <w:r w:rsidRPr="00656628">
        <w:rPr>
          <w:rFonts w:eastAsia="Times New Roman"/>
          <w:b/>
          <w:sz w:val="24"/>
          <w:szCs w:val="24"/>
        </w:rPr>
        <w:t>2024 r.</w:t>
      </w:r>
      <w:r w:rsidR="00136D60" w:rsidRPr="004534FE">
        <w:rPr>
          <w:rFonts w:ascii="Arial" w:eastAsiaTheme="minorEastAsia" w:hAnsi="Arial" w:cs="Arial"/>
          <w:sz w:val="20"/>
          <w:szCs w:val="20"/>
          <w:lang w:eastAsia="pl-PL"/>
        </w:rPr>
        <w:br w:type="page"/>
      </w:r>
    </w:p>
    <w:p w14:paraId="53D6C3E2" w14:textId="0AA72047" w:rsidR="000D305D" w:rsidRPr="004534FE" w:rsidRDefault="000D305D" w:rsidP="000D305D">
      <w:pPr>
        <w:spacing w:after="60"/>
        <w:rPr>
          <w:i/>
          <w:sz w:val="20"/>
          <w:szCs w:val="20"/>
        </w:rPr>
      </w:pPr>
      <w:r w:rsidRPr="004534FE">
        <w:rPr>
          <w:b/>
          <w:sz w:val="20"/>
          <w:szCs w:val="20"/>
        </w:rPr>
        <w:lastRenderedPageBreak/>
        <w:t xml:space="preserve">Tabela 1 </w:t>
      </w:r>
      <w:r w:rsidRPr="004534FE">
        <w:rPr>
          <w:i/>
          <w:sz w:val="20"/>
          <w:szCs w:val="20"/>
        </w:rPr>
        <w:t>Zestawienie wskaźników EFRR na poziomie projektu w ramach FEO 2021-2027</w:t>
      </w:r>
      <w:r w:rsidR="0075314C">
        <w:rPr>
          <w:i/>
          <w:sz w:val="20"/>
          <w:szCs w:val="20"/>
        </w:rPr>
        <w:t xml:space="preserve"> dla działania 1.</w:t>
      </w:r>
      <w:r w:rsidR="00E838FE">
        <w:rPr>
          <w:i/>
          <w:sz w:val="20"/>
          <w:szCs w:val="20"/>
        </w:rPr>
        <w:t>9</w:t>
      </w:r>
      <w:r w:rsidR="0075314C">
        <w:rPr>
          <w:i/>
          <w:sz w:val="20"/>
          <w:szCs w:val="20"/>
        </w:rPr>
        <w:t xml:space="preserve"> </w:t>
      </w:r>
      <w:r w:rsidR="00C149FA">
        <w:rPr>
          <w:i/>
          <w:sz w:val="20"/>
          <w:szCs w:val="20"/>
        </w:rPr>
        <w:t>W</w:t>
      </w:r>
      <w:r w:rsidR="00E838FE">
        <w:rPr>
          <w:i/>
          <w:sz w:val="20"/>
          <w:szCs w:val="20"/>
        </w:rPr>
        <w:t>drożenie B+R przez M</w:t>
      </w:r>
      <w:r w:rsidR="00DC76DB">
        <w:rPr>
          <w:i/>
          <w:sz w:val="20"/>
          <w:szCs w:val="20"/>
        </w:rPr>
        <w:t>Ś</w:t>
      </w:r>
      <w:r w:rsidR="00E838FE">
        <w:rPr>
          <w:i/>
          <w:sz w:val="20"/>
          <w:szCs w:val="20"/>
        </w:rPr>
        <w:t>P</w:t>
      </w:r>
    </w:p>
    <w:tbl>
      <w:tblPr>
        <w:tblStyle w:val="Tabela-Siatka"/>
        <w:tblW w:w="14444" w:type="dxa"/>
        <w:tblBorders>
          <w:top w:val="single" w:sz="12" w:space="0" w:color="33CC33"/>
          <w:left w:val="single" w:sz="12" w:space="0" w:color="33CC33"/>
          <w:bottom w:val="single" w:sz="12" w:space="0" w:color="33CC33"/>
          <w:right w:val="single" w:sz="12" w:space="0" w:color="33CC33"/>
          <w:insideH w:val="single" w:sz="4" w:space="0" w:color="33CC33"/>
          <w:insideV w:val="single" w:sz="4" w:space="0" w:color="33CC33"/>
        </w:tblBorders>
        <w:tblLayout w:type="fixed"/>
        <w:tblLook w:val="04A0" w:firstRow="1" w:lastRow="0" w:firstColumn="1" w:lastColumn="0" w:noHBand="0" w:noVBand="1"/>
      </w:tblPr>
      <w:tblGrid>
        <w:gridCol w:w="552"/>
        <w:gridCol w:w="2977"/>
        <w:gridCol w:w="1134"/>
        <w:gridCol w:w="1418"/>
        <w:gridCol w:w="1417"/>
        <w:gridCol w:w="1276"/>
        <w:gridCol w:w="5670"/>
      </w:tblGrid>
      <w:tr w:rsidR="000F4CA9" w:rsidRPr="004534FE" w14:paraId="3C500EB4" w14:textId="77777777" w:rsidTr="00F161B6">
        <w:trPr>
          <w:trHeight w:hRule="exact" w:val="839"/>
          <w:tblHeader/>
        </w:trPr>
        <w:tc>
          <w:tcPr>
            <w:tcW w:w="552" w:type="dxa"/>
            <w:tcBorders>
              <w:top w:val="single" w:sz="8" w:space="0" w:color="33CC33"/>
              <w:bottom w:val="single" w:sz="12" w:space="0" w:color="33CC33"/>
              <w:right w:val="single" w:sz="12" w:space="0" w:color="33CC33"/>
            </w:tcBorders>
            <w:shd w:val="clear" w:color="auto" w:fill="F2F2F2"/>
            <w:vAlign w:val="center"/>
          </w:tcPr>
          <w:p w14:paraId="3FD81AC5"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Lp.</w:t>
            </w:r>
          </w:p>
        </w:tc>
        <w:tc>
          <w:tcPr>
            <w:tcW w:w="297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6087DAB2"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Nazwa wskaźnika</w:t>
            </w:r>
          </w:p>
        </w:tc>
        <w:tc>
          <w:tcPr>
            <w:tcW w:w="1134"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56DDC46A"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Jednostka miary</w:t>
            </w:r>
          </w:p>
        </w:tc>
        <w:tc>
          <w:tcPr>
            <w:tcW w:w="1418"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14C509FA"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Rodzaj wskaźnika</w:t>
            </w:r>
          </w:p>
        </w:tc>
        <w:tc>
          <w:tcPr>
            <w:tcW w:w="141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661C6BC6"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Typ wskaźnika</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6B5F6E5B"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Inne uwagi</w:t>
            </w:r>
          </w:p>
        </w:tc>
        <w:tc>
          <w:tcPr>
            <w:tcW w:w="5670" w:type="dxa"/>
            <w:tcBorders>
              <w:top w:val="single" w:sz="8" w:space="0" w:color="33CC33"/>
              <w:left w:val="single" w:sz="12" w:space="0" w:color="33CC33"/>
              <w:bottom w:val="single" w:sz="12" w:space="0" w:color="33CC33"/>
            </w:tcBorders>
            <w:shd w:val="clear" w:color="auto" w:fill="F2F2F2"/>
            <w:vAlign w:val="center"/>
          </w:tcPr>
          <w:p w14:paraId="47199AAF"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Definicja</w:t>
            </w:r>
          </w:p>
        </w:tc>
      </w:tr>
      <w:tr w:rsidR="000F4CA9" w:rsidRPr="004534FE" w14:paraId="4AD9598B" w14:textId="77777777" w:rsidTr="00B52A4E">
        <w:trPr>
          <w:trHeight w:val="364"/>
        </w:trPr>
        <w:tc>
          <w:tcPr>
            <w:tcW w:w="14444" w:type="dxa"/>
            <w:gridSpan w:val="7"/>
            <w:tcBorders>
              <w:top w:val="single" w:sz="12" w:space="0" w:color="33CC33"/>
              <w:bottom w:val="single" w:sz="12" w:space="0" w:color="33CC33"/>
            </w:tcBorders>
            <w:shd w:val="clear" w:color="auto" w:fill="FFFFFF" w:themeFill="background1"/>
          </w:tcPr>
          <w:p w14:paraId="6650F524" w14:textId="77777777" w:rsidR="000F4CA9" w:rsidRPr="007F14ED" w:rsidRDefault="000F4CA9" w:rsidP="00AE46D2">
            <w:pPr>
              <w:spacing w:before="80" w:after="80"/>
              <w:rPr>
                <w:rFonts w:cstheme="minorHAnsi"/>
                <w:b/>
                <w:color w:val="000099"/>
                <w:sz w:val="20"/>
                <w:szCs w:val="20"/>
              </w:rPr>
            </w:pPr>
            <w:r w:rsidRPr="007F14ED">
              <w:rPr>
                <w:rFonts w:cstheme="minorHAnsi"/>
                <w:b/>
                <w:color w:val="000099"/>
                <w:sz w:val="20"/>
                <w:szCs w:val="20"/>
              </w:rPr>
              <w:t>Wskaźniki horyzontalne</w:t>
            </w:r>
          </w:p>
        </w:tc>
      </w:tr>
      <w:tr w:rsidR="000F4CA9" w:rsidRPr="004534FE" w14:paraId="39E26AF0" w14:textId="77777777" w:rsidTr="00F161B6">
        <w:tc>
          <w:tcPr>
            <w:tcW w:w="552" w:type="dxa"/>
            <w:tcBorders>
              <w:top w:val="single" w:sz="12" w:space="0" w:color="33CC33"/>
            </w:tcBorders>
            <w:shd w:val="clear" w:color="auto" w:fill="FFFFFF" w:themeFill="background1"/>
            <w:vAlign w:val="center"/>
          </w:tcPr>
          <w:p w14:paraId="4F2C6E8E" w14:textId="07FB9A0E" w:rsidR="000F4CA9" w:rsidRPr="007F14ED" w:rsidRDefault="000F4CA9" w:rsidP="007F14ED">
            <w:pPr>
              <w:spacing w:before="80" w:after="80"/>
              <w:jc w:val="center"/>
              <w:rPr>
                <w:rFonts w:cstheme="minorHAnsi"/>
                <w:sz w:val="20"/>
                <w:szCs w:val="20"/>
              </w:rPr>
            </w:pPr>
            <w:r w:rsidRPr="007F14ED">
              <w:rPr>
                <w:rFonts w:cstheme="minorHAnsi"/>
                <w:sz w:val="20"/>
                <w:szCs w:val="20"/>
              </w:rPr>
              <w:t>1.</w:t>
            </w:r>
          </w:p>
        </w:tc>
        <w:tc>
          <w:tcPr>
            <w:tcW w:w="2977" w:type="dxa"/>
            <w:tcBorders>
              <w:top w:val="single" w:sz="12" w:space="0" w:color="33CC33"/>
            </w:tcBorders>
            <w:shd w:val="clear" w:color="auto" w:fill="FFFFFF" w:themeFill="background1"/>
            <w:vAlign w:val="center"/>
          </w:tcPr>
          <w:p w14:paraId="769A14B9" w14:textId="24B08C4F" w:rsidR="000F4CA9" w:rsidRPr="007F14ED" w:rsidRDefault="000F4CA9" w:rsidP="000F4CA9">
            <w:pPr>
              <w:spacing w:before="80" w:after="80"/>
              <w:rPr>
                <w:rFonts w:cstheme="minorHAnsi"/>
                <w:i/>
                <w:sz w:val="20"/>
                <w:szCs w:val="20"/>
              </w:rPr>
            </w:pPr>
            <w:r w:rsidRPr="007F14ED">
              <w:rPr>
                <w:rFonts w:cstheme="minorHAnsi"/>
                <w:i/>
                <w:iCs/>
                <w:sz w:val="20"/>
                <w:szCs w:val="20"/>
              </w:rPr>
              <w:t>Miejsca pracy utworzone we wspieranych jednostkach</w:t>
            </w:r>
          </w:p>
        </w:tc>
        <w:tc>
          <w:tcPr>
            <w:tcW w:w="1134" w:type="dxa"/>
            <w:tcBorders>
              <w:top w:val="single" w:sz="12" w:space="0" w:color="33CC33"/>
            </w:tcBorders>
            <w:shd w:val="clear" w:color="auto" w:fill="FFFFFF" w:themeFill="background1"/>
            <w:vAlign w:val="center"/>
          </w:tcPr>
          <w:p w14:paraId="101A06EE" w14:textId="6ECCC7FC" w:rsidR="000F4CA9" w:rsidRPr="007F14ED" w:rsidRDefault="008A7CB6" w:rsidP="008A7CB6">
            <w:pPr>
              <w:spacing w:before="80" w:after="80"/>
              <w:jc w:val="center"/>
              <w:rPr>
                <w:rFonts w:cstheme="minorHAnsi"/>
                <w:sz w:val="20"/>
                <w:szCs w:val="20"/>
              </w:rPr>
            </w:pPr>
            <w:r>
              <w:rPr>
                <w:rFonts w:cstheme="minorHAnsi"/>
                <w:sz w:val="20"/>
                <w:szCs w:val="20"/>
              </w:rPr>
              <w:t>EPC/rok</w:t>
            </w:r>
          </w:p>
        </w:tc>
        <w:tc>
          <w:tcPr>
            <w:tcW w:w="1418" w:type="dxa"/>
            <w:tcBorders>
              <w:top w:val="single" w:sz="12" w:space="0" w:color="33CC33"/>
            </w:tcBorders>
            <w:shd w:val="clear" w:color="auto" w:fill="FFFFFF" w:themeFill="background1"/>
            <w:vAlign w:val="center"/>
          </w:tcPr>
          <w:p w14:paraId="5188868B" w14:textId="31D8397F" w:rsidR="000F4CA9" w:rsidRPr="007F14ED" w:rsidRDefault="000F4CA9" w:rsidP="004534FE">
            <w:pPr>
              <w:spacing w:before="80" w:after="80"/>
              <w:jc w:val="center"/>
              <w:rPr>
                <w:rFonts w:cstheme="minorHAnsi"/>
                <w:sz w:val="20"/>
                <w:szCs w:val="20"/>
              </w:rPr>
            </w:pPr>
            <w:r w:rsidRPr="007F14ED">
              <w:rPr>
                <w:rFonts w:cstheme="minorHAnsi"/>
                <w:sz w:val="20"/>
                <w:szCs w:val="20"/>
              </w:rPr>
              <w:t>rezultat</w:t>
            </w:r>
          </w:p>
        </w:tc>
        <w:tc>
          <w:tcPr>
            <w:tcW w:w="1417" w:type="dxa"/>
            <w:tcBorders>
              <w:top w:val="single" w:sz="12" w:space="0" w:color="33CC33"/>
            </w:tcBorders>
            <w:shd w:val="clear" w:color="auto" w:fill="FFFFFF" w:themeFill="background1"/>
            <w:vAlign w:val="center"/>
          </w:tcPr>
          <w:p w14:paraId="7D9E512B" w14:textId="4F227961" w:rsidR="000F4CA9" w:rsidRPr="007F14ED" w:rsidRDefault="000F4CA9" w:rsidP="004534FE">
            <w:pPr>
              <w:spacing w:before="80" w:after="80"/>
              <w:jc w:val="center"/>
              <w:rPr>
                <w:rFonts w:cstheme="minorHAnsi"/>
                <w:sz w:val="20"/>
                <w:szCs w:val="20"/>
              </w:rPr>
            </w:pPr>
            <w:r w:rsidRPr="007F14ED">
              <w:rPr>
                <w:rFonts w:cstheme="minorHAnsi"/>
                <w:sz w:val="20"/>
                <w:szCs w:val="20"/>
              </w:rPr>
              <w:t>kluczowy</w:t>
            </w:r>
          </w:p>
        </w:tc>
        <w:tc>
          <w:tcPr>
            <w:tcW w:w="1276" w:type="dxa"/>
            <w:tcBorders>
              <w:top w:val="single" w:sz="12" w:space="0" w:color="33CC33"/>
            </w:tcBorders>
            <w:shd w:val="clear" w:color="auto" w:fill="FFFFFF" w:themeFill="background1"/>
            <w:vAlign w:val="center"/>
          </w:tcPr>
          <w:p w14:paraId="3D9CD42F" w14:textId="27FAF6CE" w:rsidR="000F4CA9" w:rsidRPr="007F14ED" w:rsidRDefault="004534FE" w:rsidP="004534FE">
            <w:pPr>
              <w:spacing w:before="80" w:after="80"/>
              <w:jc w:val="center"/>
              <w:rPr>
                <w:rFonts w:cstheme="minorHAnsi"/>
                <w:sz w:val="20"/>
                <w:szCs w:val="20"/>
              </w:rPr>
            </w:pPr>
            <w:r w:rsidRPr="007F14ED">
              <w:rPr>
                <w:rFonts w:cstheme="minorHAnsi"/>
                <w:sz w:val="20"/>
                <w:szCs w:val="20"/>
              </w:rPr>
              <w:t>Wskaźnik programowy</w:t>
            </w:r>
          </w:p>
        </w:tc>
        <w:tc>
          <w:tcPr>
            <w:tcW w:w="5670" w:type="dxa"/>
            <w:tcBorders>
              <w:top w:val="single" w:sz="12" w:space="0" w:color="33CC33"/>
            </w:tcBorders>
            <w:shd w:val="clear" w:color="auto" w:fill="FFFFFF" w:themeFill="background1"/>
            <w:vAlign w:val="center"/>
          </w:tcPr>
          <w:p w14:paraId="4484E8C3" w14:textId="261564FB" w:rsidR="000F4CA9" w:rsidRPr="007F14ED" w:rsidRDefault="000F4CA9" w:rsidP="0075314C">
            <w:pPr>
              <w:tabs>
                <w:tab w:val="left" w:pos="3402"/>
                <w:tab w:val="left" w:pos="5103"/>
              </w:tabs>
              <w:spacing w:before="60" w:after="60"/>
              <w:ind w:left="-6"/>
              <w:jc w:val="both"/>
              <w:rPr>
                <w:rFonts w:eastAsia="Times New Roman" w:cstheme="minorHAnsi"/>
                <w:sz w:val="20"/>
                <w:szCs w:val="20"/>
              </w:rPr>
            </w:pPr>
            <w:r w:rsidRPr="007F14ED">
              <w:rPr>
                <w:rFonts w:cstheme="minorHAnsi"/>
                <w:bCs/>
                <w:color w:val="000000"/>
                <w:sz w:val="20"/>
                <w:szCs w:val="20"/>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 które należy zgłaszać w ramach wskaźnika </w:t>
            </w:r>
            <w:r w:rsidRPr="007F14ED">
              <w:rPr>
                <w:rFonts w:cstheme="minorHAnsi"/>
                <w:bCs/>
                <w:i/>
                <w:color w:val="000000"/>
                <w:sz w:val="20"/>
                <w:szCs w:val="20"/>
              </w:rPr>
              <w:t>Miejsca pracy dla naukowców utworzone we wspieranych jednostkach.</w:t>
            </w:r>
          </w:p>
        </w:tc>
      </w:tr>
      <w:tr w:rsidR="000F4CA9" w:rsidRPr="004534FE" w14:paraId="19A6C670" w14:textId="77777777" w:rsidTr="00F161B6">
        <w:tc>
          <w:tcPr>
            <w:tcW w:w="552" w:type="dxa"/>
            <w:tcBorders>
              <w:top w:val="single" w:sz="12" w:space="0" w:color="33CC33"/>
            </w:tcBorders>
            <w:shd w:val="clear" w:color="auto" w:fill="FFFFFF" w:themeFill="background1"/>
            <w:vAlign w:val="center"/>
          </w:tcPr>
          <w:p w14:paraId="008BEABB" w14:textId="4A01FEE1" w:rsidR="000F4CA9" w:rsidRPr="007F14ED" w:rsidRDefault="007510A4" w:rsidP="007F14ED">
            <w:pPr>
              <w:spacing w:before="80" w:after="80"/>
              <w:jc w:val="center"/>
              <w:rPr>
                <w:rFonts w:cstheme="minorHAnsi"/>
                <w:sz w:val="20"/>
                <w:szCs w:val="20"/>
              </w:rPr>
            </w:pPr>
            <w:r w:rsidRPr="007F14ED">
              <w:rPr>
                <w:rFonts w:cstheme="minorHAnsi"/>
                <w:sz w:val="20"/>
                <w:szCs w:val="20"/>
              </w:rPr>
              <w:t>2.</w:t>
            </w:r>
          </w:p>
        </w:tc>
        <w:tc>
          <w:tcPr>
            <w:tcW w:w="2977" w:type="dxa"/>
            <w:tcBorders>
              <w:top w:val="single" w:sz="12" w:space="0" w:color="33CC33"/>
            </w:tcBorders>
            <w:shd w:val="clear" w:color="auto" w:fill="FFFFFF" w:themeFill="background1"/>
            <w:vAlign w:val="center"/>
          </w:tcPr>
          <w:p w14:paraId="12B8BE56" w14:textId="791BBE89" w:rsidR="000F4CA9" w:rsidRPr="007F14ED" w:rsidRDefault="000F4CA9" w:rsidP="000F4CA9">
            <w:pPr>
              <w:spacing w:before="80" w:after="80"/>
              <w:rPr>
                <w:rFonts w:cstheme="minorHAnsi"/>
                <w:i/>
                <w:sz w:val="20"/>
                <w:szCs w:val="20"/>
              </w:rPr>
            </w:pPr>
            <w:r w:rsidRPr="007F14ED">
              <w:rPr>
                <w:rFonts w:cstheme="minorHAnsi"/>
                <w:i/>
                <w:color w:val="000000"/>
                <w:sz w:val="20"/>
                <w:szCs w:val="20"/>
              </w:rPr>
              <w:t>Liczba obiektów dostosowanych do potrzeb osób z niepełnosprawnościami</w:t>
            </w:r>
          </w:p>
        </w:tc>
        <w:tc>
          <w:tcPr>
            <w:tcW w:w="1134" w:type="dxa"/>
            <w:tcBorders>
              <w:top w:val="single" w:sz="12" w:space="0" w:color="33CC33"/>
            </w:tcBorders>
            <w:shd w:val="clear" w:color="auto" w:fill="FFFFFF" w:themeFill="background1"/>
            <w:vAlign w:val="center"/>
          </w:tcPr>
          <w:p w14:paraId="546A97C6" w14:textId="386997CA" w:rsidR="000F4CA9" w:rsidRPr="007F14ED" w:rsidRDefault="000F4CA9" w:rsidP="004534FE">
            <w:pPr>
              <w:spacing w:before="80" w:after="80"/>
              <w:jc w:val="center"/>
              <w:rPr>
                <w:rFonts w:cstheme="minorHAnsi"/>
                <w:sz w:val="20"/>
                <w:szCs w:val="20"/>
              </w:rPr>
            </w:pPr>
            <w:r w:rsidRPr="007F14ED">
              <w:rPr>
                <w:rFonts w:cstheme="minorHAnsi"/>
                <w:sz w:val="20"/>
                <w:szCs w:val="20"/>
              </w:rPr>
              <w:t>szt.</w:t>
            </w:r>
          </w:p>
        </w:tc>
        <w:tc>
          <w:tcPr>
            <w:tcW w:w="1418" w:type="dxa"/>
            <w:tcBorders>
              <w:top w:val="single" w:sz="12" w:space="0" w:color="33CC33"/>
            </w:tcBorders>
            <w:shd w:val="clear" w:color="auto" w:fill="FFFFFF" w:themeFill="background1"/>
            <w:vAlign w:val="center"/>
          </w:tcPr>
          <w:p w14:paraId="184D648E" w14:textId="45F0EA56" w:rsidR="000F4CA9" w:rsidRPr="007F14ED" w:rsidRDefault="000F4CA9" w:rsidP="004534FE">
            <w:pPr>
              <w:spacing w:before="80" w:after="80"/>
              <w:jc w:val="center"/>
              <w:rPr>
                <w:rFonts w:cstheme="minorHAnsi"/>
                <w:sz w:val="20"/>
                <w:szCs w:val="20"/>
              </w:rPr>
            </w:pPr>
            <w:r w:rsidRPr="007F14ED">
              <w:rPr>
                <w:rFonts w:cstheme="minorHAnsi"/>
                <w:sz w:val="20"/>
                <w:szCs w:val="20"/>
              </w:rPr>
              <w:t>produkt</w:t>
            </w:r>
          </w:p>
        </w:tc>
        <w:tc>
          <w:tcPr>
            <w:tcW w:w="1417" w:type="dxa"/>
            <w:tcBorders>
              <w:top w:val="single" w:sz="12" w:space="0" w:color="33CC33"/>
            </w:tcBorders>
            <w:shd w:val="clear" w:color="auto" w:fill="FFFFFF" w:themeFill="background1"/>
            <w:vAlign w:val="center"/>
          </w:tcPr>
          <w:p w14:paraId="6C1760AB" w14:textId="465AC9CC" w:rsidR="000F4CA9" w:rsidRPr="007F14ED" w:rsidRDefault="000F4CA9" w:rsidP="004534FE">
            <w:pPr>
              <w:spacing w:before="80" w:after="80"/>
              <w:jc w:val="center"/>
              <w:rPr>
                <w:rFonts w:cstheme="minorHAnsi"/>
                <w:sz w:val="20"/>
                <w:szCs w:val="20"/>
              </w:rPr>
            </w:pPr>
            <w:r w:rsidRPr="007F14ED">
              <w:rPr>
                <w:rFonts w:cstheme="minorHAnsi"/>
                <w:sz w:val="20"/>
                <w:szCs w:val="20"/>
              </w:rPr>
              <w:t>kluczowy</w:t>
            </w:r>
          </w:p>
        </w:tc>
        <w:tc>
          <w:tcPr>
            <w:tcW w:w="1276" w:type="dxa"/>
            <w:tcBorders>
              <w:top w:val="single" w:sz="12" w:space="0" w:color="33CC33"/>
            </w:tcBorders>
            <w:shd w:val="clear" w:color="auto" w:fill="FFFFFF" w:themeFill="background1"/>
            <w:vAlign w:val="center"/>
          </w:tcPr>
          <w:p w14:paraId="57E46C17" w14:textId="23FC67CF" w:rsidR="000F4CA9" w:rsidRPr="007F14ED" w:rsidRDefault="000F4CA9" w:rsidP="004534FE">
            <w:pPr>
              <w:spacing w:before="80" w:after="80"/>
              <w:jc w:val="center"/>
              <w:rPr>
                <w:rFonts w:cstheme="minorHAnsi"/>
                <w:sz w:val="20"/>
                <w:szCs w:val="20"/>
              </w:rPr>
            </w:pPr>
            <w:r w:rsidRPr="007F14ED">
              <w:rPr>
                <w:rFonts w:cstheme="minorHAnsi"/>
                <w:sz w:val="20"/>
                <w:szCs w:val="20"/>
              </w:rPr>
              <w:t>-</w:t>
            </w:r>
          </w:p>
        </w:tc>
        <w:tc>
          <w:tcPr>
            <w:tcW w:w="5670" w:type="dxa"/>
            <w:tcBorders>
              <w:top w:val="single" w:sz="12" w:space="0" w:color="33CC33"/>
            </w:tcBorders>
            <w:shd w:val="clear" w:color="auto" w:fill="FFFFFF" w:themeFill="background1"/>
            <w:vAlign w:val="center"/>
          </w:tcPr>
          <w:p w14:paraId="7113A4D0" w14:textId="25273BBB" w:rsidR="000F4CA9" w:rsidRPr="007F14ED" w:rsidRDefault="000F4CA9" w:rsidP="00C05389">
            <w:pPr>
              <w:tabs>
                <w:tab w:val="left" w:pos="3402"/>
                <w:tab w:val="left" w:pos="5103"/>
              </w:tabs>
              <w:spacing w:before="60" w:after="60"/>
              <w:ind w:left="-6"/>
              <w:jc w:val="both"/>
              <w:rPr>
                <w:rFonts w:eastAsia="Times New Roman" w:cstheme="minorHAnsi"/>
                <w:sz w:val="20"/>
                <w:szCs w:val="20"/>
              </w:rPr>
            </w:pPr>
            <w:r w:rsidRPr="007F14ED">
              <w:rPr>
                <w:rFonts w:cstheme="minorHAnsi"/>
                <w:color w:val="000000"/>
                <w:sz w:val="20"/>
                <w:szCs w:val="20"/>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w:t>
            </w:r>
            <w:r w:rsidRPr="007F14ED">
              <w:rPr>
                <w:rFonts w:cstheme="minorHAnsi"/>
                <w:color w:val="000000"/>
                <w:sz w:val="20"/>
                <w:szCs w:val="20"/>
              </w:rPr>
              <w:lastRenderedPageBreak/>
              <w:t>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r w:rsidR="000F4CA9" w:rsidRPr="004534FE" w14:paraId="162BBF6F" w14:textId="77777777" w:rsidTr="00F161B6">
        <w:tc>
          <w:tcPr>
            <w:tcW w:w="552" w:type="dxa"/>
            <w:tcBorders>
              <w:top w:val="single" w:sz="12" w:space="0" w:color="33CC33"/>
            </w:tcBorders>
            <w:shd w:val="clear" w:color="auto" w:fill="FFFFFF" w:themeFill="background1"/>
            <w:vAlign w:val="center"/>
          </w:tcPr>
          <w:p w14:paraId="28BB477E" w14:textId="0AF45F70" w:rsidR="000F4CA9" w:rsidRPr="007F14ED" w:rsidRDefault="004534FE" w:rsidP="007F14ED">
            <w:pPr>
              <w:spacing w:before="80" w:after="80"/>
              <w:jc w:val="center"/>
              <w:rPr>
                <w:rFonts w:cstheme="minorHAnsi"/>
                <w:sz w:val="20"/>
                <w:szCs w:val="20"/>
              </w:rPr>
            </w:pPr>
            <w:r w:rsidRPr="007F14ED">
              <w:rPr>
                <w:rFonts w:cstheme="minorHAnsi"/>
                <w:sz w:val="20"/>
                <w:szCs w:val="20"/>
              </w:rPr>
              <w:lastRenderedPageBreak/>
              <w:t>3</w:t>
            </w:r>
            <w:r w:rsidR="007510A4" w:rsidRPr="007F14ED">
              <w:rPr>
                <w:rFonts w:cstheme="minorHAnsi"/>
                <w:sz w:val="20"/>
                <w:szCs w:val="20"/>
              </w:rPr>
              <w:t>.</w:t>
            </w:r>
          </w:p>
        </w:tc>
        <w:tc>
          <w:tcPr>
            <w:tcW w:w="2977" w:type="dxa"/>
            <w:tcBorders>
              <w:top w:val="single" w:sz="12" w:space="0" w:color="33CC33"/>
            </w:tcBorders>
            <w:shd w:val="clear" w:color="auto" w:fill="FFFFFF" w:themeFill="background1"/>
            <w:vAlign w:val="center"/>
          </w:tcPr>
          <w:p w14:paraId="33B28783" w14:textId="319200A7" w:rsidR="000F4CA9" w:rsidRPr="007F14ED" w:rsidRDefault="000F4CA9" w:rsidP="000F4CA9">
            <w:pPr>
              <w:spacing w:before="80" w:after="80"/>
              <w:rPr>
                <w:rFonts w:cstheme="minorHAnsi"/>
                <w:i/>
                <w:sz w:val="20"/>
                <w:szCs w:val="20"/>
              </w:rPr>
            </w:pPr>
            <w:r w:rsidRPr="007F14ED">
              <w:rPr>
                <w:rFonts w:cstheme="minorHAnsi"/>
                <w:i/>
                <w:color w:val="000000"/>
                <w:sz w:val="20"/>
                <w:szCs w:val="20"/>
              </w:rPr>
              <w:t xml:space="preserve">Liczba projektów, w których sfinansowano koszty racjonalnych usprawnień dla osób z niepełnosprawnościami </w:t>
            </w:r>
          </w:p>
        </w:tc>
        <w:tc>
          <w:tcPr>
            <w:tcW w:w="1134" w:type="dxa"/>
            <w:tcBorders>
              <w:top w:val="single" w:sz="12" w:space="0" w:color="33CC33"/>
            </w:tcBorders>
            <w:shd w:val="clear" w:color="auto" w:fill="FFFFFF" w:themeFill="background1"/>
            <w:vAlign w:val="center"/>
          </w:tcPr>
          <w:p w14:paraId="63058527" w14:textId="492FD724" w:rsidR="000F4CA9" w:rsidRPr="007F14ED" w:rsidRDefault="000F4CA9" w:rsidP="004534FE">
            <w:pPr>
              <w:spacing w:before="80" w:after="80"/>
              <w:jc w:val="center"/>
              <w:rPr>
                <w:rFonts w:cstheme="minorHAnsi"/>
                <w:sz w:val="20"/>
                <w:szCs w:val="20"/>
              </w:rPr>
            </w:pPr>
            <w:r w:rsidRPr="007F14ED">
              <w:rPr>
                <w:rFonts w:cstheme="minorHAnsi"/>
                <w:sz w:val="20"/>
                <w:szCs w:val="20"/>
              </w:rPr>
              <w:t>szt.</w:t>
            </w:r>
          </w:p>
        </w:tc>
        <w:tc>
          <w:tcPr>
            <w:tcW w:w="1418" w:type="dxa"/>
            <w:tcBorders>
              <w:top w:val="single" w:sz="12" w:space="0" w:color="33CC33"/>
            </w:tcBorders>
            <w:shd w:val="clear" w:color="auto" w:fill="FFFFFF" w:themeFill="background1"/>
            <w:vAlign w:val="center"/>
          </w:tcPr>
          <w:p w14:paraId="65D21DD4" w14:textId="4B5D5D10" w:rsidR="000F4CA9" w:rsidRPr="007F14ED" w:rsidRDefault="000F4CA9" w:rsidP="004534FE">
            <w:pPr>
              <w:spacing w:before="80" w:after="80"/>
              <w:jc w:val="center"/>
              <w:rPr>
                <w:rFonts w:cstheme="minorHAnsi"/>
                <w:sz w:val="20"/>
                <w:szCs w:val="20"/>
              </w:rPr>
            </w:pPr>
            <w:r w:rsidRPr="007F14ED">
              <w:rPr>
                <w:rFonts w:cstheme="minorHAnsi"/>
                <w:sz w:val="20"/>
                <w:szCs w:val="20"/>
              </w:rPr>
              <w:t>produkt</w:t>
            </w:r>
          </w:p>
        </w:tc>
        <w:tc>
          <w:tcPr>
            <w:tcW w:w="1417" w:type="dxa"/>
            <w:tcBorders>
              <w:top w:val="single" w:sz="12" w:space="0" w:color="33CC33"/>
            </w:tcBorders>
            <w:shd w:val="clear" w:color="auto" w:fill="FFFFFF" w:themeFill="background1"/>
            <w:vAlign w:val="center"/>
          </w:tcPr>
          <w:p w14:paraId="48CF4719" w14:textId="57C8189C" w:rsidR="000F4CA9" w:rsidRPr="007F14ED" w:rsidRDefault="000F4CA9" w:rsidP="004534FE">
            <w:pPr>
              <w:spacing w:before="80" w:after="80"/>
              <w:jc w:val="center"/>
              <w:rPr>
                <w:rFonts w:cstheme="minorHAnsi"/>
                <w:sz w:val="20"/>
                <w:szCs w:val="20"/>
              </w:rPr>
            </w:pPr>
            <w:r w:rsidRPr="007F14ED">
              <w:rPr>
                <w:rFonts w:cstheme="minorHAnsi"/>
                <w:sz w:val="20"/>
                <w:szCs w:val="20"/>
              </w:rPr>
              <w:t>kluczowy</w:t>
            </w:r>
          </w:p>
        </w:tc>
        <w:tc>
          <w:tcPr>
            <w:tcW w:w="1276" w:type="dxa"/>
            <w:tcBorders>
              <w:top w:val="single" w:sz="12" w:space="0" w:color="33CC33"/>
            </w:tcBorders>
            <w:shd w:val="clear" w:color="auto" w:fill="FFFFFF" w:themeFill="background1"/>
            <w:vAlign w:val="center"/>
          </w:tcPr>
          <w:p w14:paraId="52E7784D" w14:textId="326504CB" w:rsidR="000F4CA9" w:rsidRPr="007F14ED" w:rsidRDefault="000F4CA9" w:rsidP="004534FE">
            <w:pPr>
              <w:spacing w:before="80" w:after="80"/>
              <w:jc w:val="center"/>
              <w:rPr>
                <w:rFonts w:cstheme="minorHAnsi"/>
                <w:sz w:val="20"/>
                <w:szCs w:val="20"/>
              </w:rPr>
            </w:pPr>
            <w:r w:rsidRPr="007F14ED">
              <w:rPr>
                <w:rFonts w:cstheme="minorHAnsi"/>
                <w:sz w:val="20"/>
                <w:szCs w:val="20"/>
              </w:rPr>
              <w:t>-</w:t>
            </w:r>
          </w:p>
        </w:tc>
        <w:tc>
          <w:tcPr>
            <w:tcW w:w="5670" w:type="dxa"/>
            <w:tcBorders>
              <w:top w:val="single" w:sz="12" w:space="0" w:color="33CC33"/>
            </w:tcBorders>
            <w:shd w:val="clear" w:color="auto" w:fill="FFFFFF" w:themeFill="background1"/>
            <w:vAlign w:val="center"/>
          </w:tcPr>
          <w:p w14:paraId="14FF033C" w14:textId="6875BDB4" w:rsidR="000F4CA9" w:rsidRPr="007F14ED" w:rsidRDefault="000F4CA9" w:rsidP="00C05389">
            <w:pPr>
              <w:tabs>
                <w:tab w:val="left" w:pos="3402"/>
                <w:tab w:val="left" w:pos="5103"/>
              </w:tabs>
              <w:spacing w:before="60" w:after="60"/>
              <w:ind w:left="-6"/>
              <w:jc w:val="both"/>
              <w:rPr>
                <w:rFonts w:eastAsia="Times New Roman" w:cstheme="minorHAnsi"/>
                <w:sz w:val="20"/>
                <w:szCs w:val="20"/>
              </w:rPr>
            </w:pPr>
            <w:r w:rsidRPr="007F14ED">
              <w:rPr>
                <w:rFonts w:cstheme="minorHAnsi"/>
                <w:color w:val="000000"/>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t>
            </w:r>
            <w:r w:rsidRPr="007F14ED">
              <w:rPr>
                <w:rFonts w:cstheme="minorHAnsi"/>
                <w:color w:val="000000"/>
                <w:sz w:val="20"/>
                <w:szCs w:val="20"/>
              </w:rPr>
              <w:lastRenderedPageBreak/>
              <w:t>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0F4CA9" w:rsidRPr="004534FE" w14:paraId="070EBE11" w14:textId="77777777" w:rsidTr="00B52A4E">
        <w:trPr>
          <w:trHeight w:hRule="exact" w:val="567"/>
        </w:trPr>
        <w:tc>
          <w:tcPr>
            <w:tcW w:w="14444" w:type="dxa"/>
            <w:gridSpan w:val="7"/>
            <w:tcBorders>
              <w:top w:val="single" w:sz="12" w:space="0" w:color="33CC33"/>
              <w:bottom w:val="single" w:sz="12" w:space="0" w:color="33CC33"/>
            </w:tcBorders>
            <w:shd w:val="clear" w:color="auto" w:fill="D9D9D9" w:themeFill="background1" w:themeFillShade="D9"/>
            <w:vAlign w:val="center"/>
          </w:tcPr>
          <w:p w14:paraId="05B8367B" w14:textId="2B6C73C0" w:rsidR="000F4CA9" w:rsidRPr="007F14ED" w:rsidRDefault="000F4CA9" w:rsidP="007510A4">
            <w:pPr>
              <w:spacing w:before="80" w:after="80"/>
              <w:rPr>
                <w:rFonts w:cstheme="minorHAnsi"/>
                <w:i/>
                <w:color w:val="000099"/>
                <w:sz w:val="20"/>
                <w:szCs w:val="20"/>
              </w:rPr>
            </w:pPr>
            <w:r w:rsidRPr="007F14ED">
              <w:rPr>
                <w:rFonts w:cstheme="minorHAnsi"/>
                <w:i/>
                <w:color w:val="000099"/>
                <w:sz w:val="20"/>
                <w:szCs w:val="20"/>
              </w:rPr>
              <w:lastRenderedPageBreak/>
              <w:t xml:space="preserve">Oś priorytetowa I </w:t>
            </w:r>
            <w:r w:rsidRPr="007F14ED">
              <w:rPr>
                <w:rFonts w:cstheme="minorHAnsi"/>
                <w:b/>
                <w:i/>
                <w:color w:val="000099"/>
                <w:sz w:val="20"/>
                <w:szCs w:val="20"/>
              </w:rPr>
              <w:t xml:space="preserve">Fundusze Europejskie na rzecz </w:t>
            </w:r>
            <w:r w:rsidR="007510A4" w:rsidRPr="007F14ED">
              <w:rPr>
                <w:rFonts w:cstheme="minorHAnsi"/>
                <w:b/>
                <w:i/>
                <w:color w:val="000099"/>
                <w:sz w:val="20"/>
                <w:szCs w:val="20"/>
              </w:rPr>
              <w:t xml:space="preserve">wzrostu innowacyjności i konkurencyjności </w:t>
            </w:r>
            <w:r w:rsidRPr="007F14ED">
              <w:rPr>
                <w:rFonts w:cstheme="minorHAnsi"/>
                <w:b/>
                <w:i/>
                <w:color w:val="000099"/>
                <w:sz w:val="20"/>
                <w:szCs w:val="20"/>
              </w:rPr>
              <w:t>opolskiego</w:t>
            </w:r>
          </w:p>
        </w:tc>
      </w:tr>
      <w:tr w:rsidR="000F4CA9" w:rsidRPr="004534FE" w14:paraId="602B1D20" w14:textId="77777777" w:rsidTr="00B52A4E">
        <w:trPr>
          <w:trHeight w:hRule="exact" w:val="567"/>
        </w:trPr>
        <w:tc>
          <w:tcPr>
            <w:tcW w:w="14444" w:type="dxa"/>
            <w:gridSpan w:val="7"/>
            <w:tcBorders>
              <w:top w:val="single" w:sz="12" w:space="0" w:color="33CC33"/>
              <w:bottom w:val="single" w:sz="12" w:space="0" w:color="33CC33"/>
            </w:tcBorders>
            <w:shd w:val="clear" w:color="auto" w:fill="EAF1DD"/>
            <w:vAlign w:val="center"/>
          </w:tcPr>
          <w:p w14:paraId="5B9E3A30" w14:textId="527A3A58" w:rsidR="000F4CA9" w:rsidRPr="007F14ED" w:rsidRDefault="000F4CA9" w:rsidP="00C51F9B">
            <w:pPr>
              <w:spacing w:before="80" w:after="80"/>
              <w:rPr>
                <w:rFonts w:cstheme="minorHAnsi"/>
                <w:i/>
                <w:color w:val="000099"/>
                <w:sz w:val="20"/>
                <w:szCs w:val="20"/>
              </w:rPr>
            </w:pPr>
            <w:r w:rsidRPr="007F14ED">
              <w:rPr>
                <w:rFonts w:cstheme="minorHAnsi"/>
                <w:i/>
                <w:color w:val="000099"/>
                <w:sz w:val="20"/>
                <w:szCs w:val="20"/>
              </w:rPr>
              <w:t xml:space="preserve">Działanie </w:t>
            </w:r>
            <w:r w:rsidR="007510A4" w:rsidRPr="007F14ED">
              <w:rPr>
                <w:rFonts w:cstheme="minorHAnsi"/>
                <w:i/>
                <w:color w:val="000099"/>
                <w:sz w:val="20"/>
                <w:szCs w:val="20"/>
              </w:rPr>
              <w:t>1</w:t>
            </w:r>
            <w:r w:rsidRPr="007F14ED">
              <w:rPr>
                <w:rFonts w:cstheme="minorHAnsi"/>
                <w:i/>
                <w:color w:val="000099"/>
                <w:sz w:val="20"/>
                <w:szCs w:val="20"/>
              </w:rPr>
              <w:t>.</w:t>
            </w:r>
            <w:r w:rsidR="00F34A8F">
              <w:rPr>
                <w:rFonts w:cstheme="minorHAnsi"/>
                <w:i/>
                <w:color w:val="000099"/>
                <w:sz w:val="20"/>
                <w:szCs w:val="20"/>
              </w:rPr>
              <w:t>9</w:t>
            </w:r>
            <w:r w:rsidRPr="007F14ED">
              <w:rPr>
                <w:rFonts w:cstheme="minorHAnsi"/>
                <w:i/>
                <w:color w:val="000099"/>
                <w:sz w:val="20"/>
                <w:szCs w:val="20"/>
              </w:rPr>
              <w:t xml:space="preserve">  </w:t>
            </w:r>
            <w:r w:rsidR="00C149FA">
              <w:rPr>
                <w:rFonts w:cstheme="minorHAnsi"/>
                <w:b/>
                <w:i/>
                <w:color w:val="000099"/>
                <w:sz w:val="20"/>
                <w:szCs w:val="20"/>
              </w:rPr>
              <w:t>W</w:t>
            </w:r>
            <w:r w:rsidR="00F34A8F">
              <w:rPr>
                <w:rFonts w:cstheme="minorHAnsi"/>
                <w:b/>
                <w:i/>
                <w:color w:val="000099"/>
                <w:sz w:val="20"/>
                <w:szCs w:val="20"/>
              </w:rPr>
              <w:t>drożenie B+R przez MŚP</w:t>
            </w:r>
          </w:p>
        </w:tc>
      </w:tr>
      <w:tr w:rsidR="000F4CA9" w:rsidRPr="004534FE" w14:paraId="28378D77" w14:textId="77777777" w:rsidTr="00F161B6">
        <w:trPr>
          <w:trHeight w:val="1041"/>
        </w:trPr>
        <w:tc>
          <w:tcPr>
            <w:tcW w:w="552" w:type="dxa"/>
            <w:tcBorders>
              <w:top w:val="single" w:sz="12" w:space="0" w:color="33CC33"/>
            </w:tcBorders>
            <w:vAlign w:val="center"/>
          </w:tcPr>
          <w:p w14:paraId="71093EB9" w14:textId="77777777" w:rsidR="000F4CA9" w:rsidRPr="007F14ED" w:rsidRDefault="000F4CA9" w:rsidP="007F14ED">
            <w:pPr>
              <w:spacing w:before="60" w:after="60"/>
              <w:jc w:val="center"/>
              <w:rPr>
                <w:rFonts w:cstheme="minorHAnsi"/>
                <w:sz w:val="20"/>
                <w:szCs w:val="20"/>
              </w:rPr>
            </w:pPr>
            <w:r w:rsidRPr="007F14ED">
              <w:rPr>
                <w:rFonts w:cstheme="minorHAnsi"/>
                <w:sz w:val="20"/>
                <w:szCs w:val="20"/>
              </w:rPr>
              <w:t>1.</w:t>
            </w:r>
          </w:p>
        </w:tc>
        <w:tc>
          <w:tcPr>
            <w:tcW w:w="2977" w:type="dxa"/>
            <w:tcBorders>
              <w:top w:val="single" w:sz="12" w:space="0" w:color="33CC33"/>
            </w:tcBorders>
            <w:vAlign w:val="center"/>
          </w:tcPr>
          <w:p w14:paraId="0AB820D8" w14:textId="7C2379FC" w:rsidR="009447D5" w:rsidRPr="007F14ED" w:rsidRDefault="009447D5" w:rsidP="009447D5">
            <w:pPr>
              <w:spacing w:before="60" w:after="60"/>
              <w:rPr>
                <w:rFonts w:eastAsia="Times New Roman" w:cstheme="minorHAnsi"/>
                <w:i/>
                <w:color w:val="000000"/>
                <w:sz w:val="20"/>
                <w:szCs w:val="20"/>
              </w:rPr>
            </w:pPr>
            <w:r w:rsidRPr="007F14ED">
              <w:rPr>
                <w:rFonts w:cstheme="minorHAnsi"/>
                <w:i/>
                <w:sz w:val="20"/>
                <w:szCs w:val="20"/>
              </w:rPr>
              <w:t xml:space="preserve">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p>
        </w:tc>
        <w:tc>
          <w:tcPr>
            <w:tcW w:w="1134" w:type="dxa"/>
            <w:tcBorders>
              <w:top w:val="single" w:sz="12" w:space="0" w:color="33CC33"/>
            </w:tcBorders>
            <w:vAlign w:val="center"/>
          </w:tcPr>
          <w:p w14:paraId="54D0A5A8" w14:textId="11CD7ECA" w:rsidR="000F4CA9" w:rsidRPr="007F14ED" w:rsidRDefault="009447D5" w:rsidP="004534FE">
            <w:pPr>
              <w:spacing w:before="60" w:after="60"/>
              <w:jc w:val="center"/>
              <w:rPr>
                <w:rFonts w:eastAsia="Times New Roman" w:cstheme="minorHAnsi"/>
                <w:sz w:val="20"/>
                <w:szCs w:val="20"/>
              </w:rPr>
            </w:pPr>
            <w:r w:rsidRPr="007F14ED">
              <w:rPr>
                <w:rFonts w:cstheme="minorHAnsi"/>
                <w:sz w:val="20"/>
                <w:szCs w:val="20"/>
              </w:rPr>
              <w:t>szt.</w:t>
            </w:r>
          </w:p>
        </w:tc>
        <w:tc>
          <w:tcPr>
            <w:tcW w:w="1418" w:type="dxa"/>
            <w:tcBorders>
              <w:top w:val="single" w:sz="12" w:space="0" w:color="33CC33"/>
            </w:tcBorders>
            <w:vAlign w:val="center"/>
          </w:tcPr>
          <w:p w14:paraId="636FF7CB" w14:textId="03B511F2" w:rsidR="000F4CA9" w:rsidRPr="007F14ED" w:rsidRDefault="000F4CA9" w:rsidP="004534FE">
            <w:pPr>
              <w:spacing w:before="60" w:after="60"/>
              <w:jc w:val="center"/>
              <w:rPr>
                <w:rFonts w:cstheme="minorHAnsi"/>
                <w:sz w:val="20"/>
                <w:szCs w:val="20"/>
              </w:rPr>
            </w:pPr>
            <w:r w:rsidRPr="007F14ED">
              <w:rPr>
                <w:rFonts w:cstheme="minorHAnsi"/>
                <w:sz w:val="20"/>
                <w:szCs w:val="20"/>
              </w:rPr>
              <w:t>produkt</w:t>
            </w:r>
          </w:p>
        </w:tc>
        <w:tc>
          <w:tcPr>
            <w:tcW w:w="1417" w:type="dxa"/>
            <w:tcBorders>
              <w:top w:val="single" w:sz="12" w:space="0" w:color="33CC33"/>
            </w:tcBorders>
            <w:vAlign w:val="center"/>
          </w:tcPr>
          <w:p w14:paraId="598217D0" w14:textId="547E1ADF" w:rsidR="000F4CA9" w:rsidRPr="007F14ED" w:rsidRDefault="000F4CA9" w:rsidP="004534FE">
            <w:pPr>
              <w:spacing w:before="60" w:after="60"/>
              <w:jc w:val="center"/>
              <w:rPr>
                <w:rFonts w:cstheme="minorHAnsi"/>
                <w:sz w:val="20"/>
                <w:szCs w:val="20"/>
              </w:rPr>
            </w:pPr>
            <w:r w:rsidRPr="007F14ED">
              <w:rPr>
                <w:rFonts w:cstheme="minorHAnsi"/>
                <w:sz w:val="20"/>
                <w:szCs w:val="20"/>
              </w:rPr>
              <w:t>kluczowy</w:t>
            </w:r>
          </w:p>
        </w:tc>
        <w:tc>
          <w:tcPr>
            <w:tcW w:w="1276" w:type="dxa"/>
            <w:tcBorders>
              <w:top w:val="single" w:sz="12" w:space="0" w:color="33CC33"/>
            </w:tcBorders>
            <w:vAlign w:val="center"/>
          </w:tcPr>
          <w:p w14:paraId="11D24CE9" w14:textId="77777777" w:rsidR="004534FE" w:rsidRPr="007F14ED" w:rsidRDefault="004534FE" w:rsidP="004534FE">
            <w:pPr>
              <w:spacing w:before="60" w:after="60"/>
              <w:jc w:val="center"/>
              <w:rPr>
                <w:rFonts w:cstheme="minorHAnsi"/>
                <w:sz w:val="20"/>
                <w:szCs w:val="20"/>
              </w:rPr>
            </w:pPr>
            <w:r w:rsidRPr="007F14ED">
              <w:rPr>
                <w:rFonts w:cstheme="minorHAnsi"/>
                <w:sz w:val="20"/>
                <w:szCs w:val="20"/>
              </w:rPr>
              <w:t>Wskaźnik programowy</w:t>
            </w:r>
          </w:p>
          <w:p w14:paraId="4BDD3879" w14:textId="77777777" w:rsidR="004534FE" w:rsidRPr="007F14ED" w:rsidRDefault="004534FE" w:rsidP="004534FE">
            <w:pPr>
              <w:spacing w:before="60" w:after="60"/>
              <w:jc w:val="center"/>
              <w:rPr>
                <w:rFonts w:cstheme="minorHAnsi"/>
                <w:sz w:val="20"/>
                <w:szCs w:val="20"/>
              </w:rPr>
            </w:pPr>
          </w:p>
          <w:p w14:paraId="6ED86412" w14:textId="00CC4BC8" w:rsidR="000F4CA9" w:rsidRPr="007F14ED" w:rsidRDefault="004534FE" w:rsidP="004534FE">
            <w:pPr>
              <w:spacing w:before="60" w:after="60"/>
              <w:jc w:val="center"/>
              <w:rPr>
                <w:rFonts w:cstheme="minorHAnsi"/>
                <w:sz w:val="20"/>
                <w:szCs w:val="20"/>
              </w:rPr>
            </w:pPr>
            <w:r w:rsidRPr="007F14ED">
              <w:rPr>
                <w:rFonts w:cstheme="minorHAnsi"/>
                <w:sz w:val="20"/>
                <w:szCs w:val="20"/>
              </w:rPr>
              <w:t>Wskaźnik agregujący</w:t>
            </w:r>
          </w:p>
        </w:tc>
        <w:tc>
          <w:tcPr>
            <w:tcW w:w="5670" w:type="dxa"/>
            <w:tcBorders>
              <w:top w:val="single" w:sz="12" w:space="0" w:color="33CC33"/>
            </w:tcBorders>
            <w:vAlign w:val="center"/>
          </w:tcPr>
          <w:p w14:paraId="7E83FAC0" w14:textId="5B0C8D5A" w:rsidR="000F4CA9" w:rsidRPr="007F14ED" w:rsidRDefault="009447D5" w:rsidP="00C05389">
            <w:pPr>
              <w:spacing w:before="60" w:after="60"/>
              <w:jc w:val="both"/>
              <w:rPr>
                <w:rFonts w:cstheme="minorHAnsi"/>
                <w:sz w:val="20"/>
                <w:szCs w:val="20"/>
              </w:rPr>
            </w:pPr>
            <w:r w:rsidRPr="007F14ED">
              <w:rPr>
                <w:rFonts w:cstheme="minorHAnsi"/>
                <w:sz w:val="20"/>
                <w:szCs w:val="20"/>
              </w:rPr>
              <w:t xml:space="preserve">Wskaźnik obejmuje wszystkie przedsiębiorstwa, które otrzymują wsparcie finansowe lub rzeczowe z EFRR i Funduszu Spójności.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   Na potrzeby tego wskaźnika przedsiębiorstwa są organizacjami nastawionymi na osiąganie zysku, które wytwarzają </w:t>
            </w:r>
            <w:r w:rsidRPr="007F14ED">
              <w:rPr>
                <w:rFonts w:cstheme="minorHAnsi"/>
                <w:sz w:val="20"/>
                <w:szCs w:val="20"/>
              </w:rPr>
              <w:lastRenderedPageBreak/>
              <w:t>towary lub usługi w celu zaspokojenia potrzeb rynku. W przypadku celu polityki 4 (Społeczna Europa) wskaźnik obejmuje również przedsiębiorstwa społeczne definiowane przez Komisję (DG GROW) następująco: „przedsiębiorstwo społeczne jest podmiotem gospodarki społecznej, którego głównym celem jest raczej wywarcie skutku społecznego niż wygenerowanie zysku dla właścicieli i udziałowców. Przedsiębiorstwo społeczne działa, dostarczając towary i świadcząc usługi na rynku w sposób przedsiębiorczy i innowacyjny, a zyski wykorzystuje przede wszystkim do osiągania celów społecznych”.</w:t>
            </w:r>
            <w:r w:rsidR="00CA3565">
              <w:rPr>
                <w:rFonts w:cstheme="minorHAnsi"/>
                <w:sz w:val="20"/>
                <w:szCs w:val="20"/>
              </w:rPr>
              <w:t xml:space="preserve"> </w:t>
            </w:r>
            <w:r w:rsidRPr="007F14ED">
              <w:rPr>
                <w:rFonts w:cstheme="minorHAnsi"/>
                <w:sz w:val="20"/>
                <w:szCs w:val="20"/>
              </w:rPr>
              <w:t>Klasyfikacja przedsiębiorstw:   Mikroprzedsiębiorstwo (&lt; 10 pracowników i roczne obroty ≤ 2 mln EUR lub bilans ≤ 2 mln EUR);   Małe przedsiębiorstwo (10-49 pracowników i roczne obroty &gt; 2 mln EUR ≤ 10 mln EUR lub bilans &gt; 2 mln EUR ≤ 10 mln EUR);   Średnie przedsiębiorstwo (50-249 pracowników i roczne obroty &gt; 10 mln EUR ≤ 50 mln EUR lub bilans w EUR &gt; 10 mln EUR ≤ 43 mln EUR);   Duże przedsiębiorstwa (&gt;250 pracowników i obroty &gt; 50 mln EUR lub bilans &gt; 43 mln EUR).   W przypadku przekroczenia jednego z dwóch progów (liczby pracowników lub rocznych obrót/bilansu) przedsiębiorstwa klasyfikuje się do wyższej kategorii wielkości.    (ESTAT na podstawie art. 2-3 załącznika do zalecenia KE 2003/361/WE)   Wielkość wspieranego przedsiębiorstwa jest mierzona w momencie wnioskowania</w:t>
            </w:r>
            <w:r w:rsidRPr="007F14ED">
              <w:rPr>
                <w:rFonts w:cstheme="minorHAnsi"/>
                <w:bCs/>
                <w:color w:val="000000"/>
                <w:sz w:val="20"/>
                <w:szCs w:val="20"/>
              </w:rPr>
              <w:t xml:space="preserve">   </w:t>
            </w:r>
          </w:p>
        </w:tc>
      </w:tr>
      <w:tr w:rsidR="009447D5" w:rsidRPr="004534FE" w14:paraId="0A19BBEC" w14:textId="77777777" w:rsidTr="00F161B6">
        <w:trPr>
          <w:trHeight w:val="625"/>
        </w:trPr>
        <w:tc>
          <w:tcPr>
            <w:tcW w:w="552" w:type="dxa"/>
            <w:vAlign w:val="center"/>
          </w:tcPr>
          <w:p w14:paraId="763ACF7D" w14:textId="7CEC59BD" w:rsidR="009447D5" w:rsidRPr="007F14ED" w:rsidRDefault="00DE16A7" w:rsidP="007F14ED">
            <w:pPr>
              <w:spacing w:before="60" w:after="60"/>
              <w:jc w:val="center"/>
              <w:rPr>
                <w:rFonts w:cstheme="minorHAnsi"/>
                <w:sz w:val="20"/>
                <w:szCs w:val="20"/>
              </w:rPr>
            </w:pPr>
            <w:r w:rsidRPr="007F14ED">
              <w:rPr>
                <w:rFonts w:cstheme="minorHAnsi"/>
                <w:sz w:val="20"/>
                <w:szCs w:val="20"/>
              </w:rPr>
              <w:lastRenderedPageBreak/>
              <w:t>1a</w:t>
            </w:r>
            <w:r w:rsidR="009447D5" w:rsidRPr="007F14ED">
              <w:rPr>
                <w:rFonts w:cstheme="minorHAnsi"/>
                <w:sz w:val="20"/>
                <w:szCs w:val="20"/>
              </w:rPr>
              <w:t>.</w:t>
            </w:r>
          </w:p>
        </w:tc>
        <w:tc>
          <w:tcPr>
            <w:tcW w:w="2977" w:type="dxa"/>
            <w:vAlign w:val="center"/>
          </w:tcPr>
          <w:p w14:paraId="4936F6A1" w14:textId="6EBF28A9" w:rsidR="009447D5" w:rsidRPr="007F14ED" w:rsidRDefault="009447D5" w:rsidP="009447D5">
            <w:pPr>
              <w:spacing w:before="60" w:after="60"/>
              <w:rPr>
                <w:rFonts w:cstheme="minorHAnsi"/>
                <w:i/>
                <w:sz w:val="20"/>
                <w:szCs w:val="20"/>
              </w:rPr>
            </w:pPr>
            <w:r w:rsidRPr="007F14ED">
              <w:rPr>
                <w:rFonts w:cstheme="minorHAnsi"/>
                <w:i/>
                <w:sz w:val="20"/>
                <w:szCs w:val="20"/>
              </w:rPr>
              <w:t>Liczba wspartych mikroprzedsiębiorstw</w:t>
            </w:r>
          </w:p>
        </w:tc>
        <w:tc>
          <w:tcPr>
            <w:tcW w:w="1134" w:type="dxa"/>
            <w:vAlign w:val="center"/>
          </w:tcPr>
          <w:p w14:paraId="5CA06104" w14:textId="3687C4AB" w:rsidR="009447D5" w:rsidRPr="007F14ED" w:rsidRDefault="009447D5" w:rsidP="004534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0FB6D130" w14:textId="1190B5E8" w:rsidR="009447D5" w:rsidRPr="007F14ED" w:rsidRDefault="009447D5" w:rsidP="004534FE">
            <w:pPr>
              <w:spacing w:before="60" w:after="60"/>
              <w:jc w:val="center"/>
              <w:rPr>
                <w:rFonts w:cstheme="minorHAnsi"/>
                <w:sz w:val="20"/>
                <w:szCs w:val="20"/>
              </w:rPr>
            </w:pPr>
            <w:r w:rsidRPr="007F14ED">
              <w:rPr>
                <w:rFonts w:cstheme="minorHAnsi"/>
                <w:sz w:val="20"/>
                <w:szCs w:val="20"/>
              </w:rPr>
              <w:t>produkt</w:t>
            </w:r>
          </w:p>
        </w:tc>
        <w:tc>
          <w:tcPr>
            <w:tcW w:w="1417" w:type="dxa"/>
            <w:vAlign w:val="center"/>
          </w:tcPr>
          <w:p w14:paraId="7383E624" w14:textId="36C89B41" w:rsidR="009447D5" w:rsidRPr="007F14ED" w:rsidRDefault="0097781B" w:rsidP="004534FE">
            <w:pPr>
              <w:spacing w:before="60" w:after="60"/>
              <w:jc w:val="center"/>
              <w:rPr>
                <w:rFonts w:cstheme="minorHAnsi"/>
                <w:sz w:val="20"/>
                <w:szCs w:val="20"/>
              </w:rPr>
            </w:pPr>
            <w:r>
              <w:rPr>
                <w:rFonts w:cstheme="minorHAnsi"/>
                <w:sz w:val="20"/>
                <w:szCs w:val="20"/>
              </w:rPr>
              <w:t>kluczowy</w:t>
            </w:r>
          </w:p>
        </w:tc>
        <w:tc>
          <w:tcPr>
            <w:tcW w:w="1276" w:type="dxa"/>
            <w:vAlign w:val="center"/>
          </w:tcPr>
          <w:p w14:paraId="2620ECC3" w14:textId="328D996F" w:rsidR="009447D5" w:rsidRPr="007F14ED" w:rsidRDefault="009447D5" w:rsidP="004534FE">
            <w:pPr>
              <w:spacing w:before="60" w:after="60"/>
              <w:jc w:val="center"/>
              <w:rPr>
                <w:rFonts w:cstheme="minorHAnsi"/>
                <w:sz w:val="20"/>
                <w:szCs w:val="20"/>
              </w:rPr>
            </w:pPr>
            <w:r w:rsidRPr="007F14ED">
              <w:rPr>
                <w:rFonts w:cstheme="minorHAnsi"/>
                <w:sz w:val="20"/>
                <w:szCs w:val="20"/>
              </w:rPr>
              <w:t>-</w:t>
            </w:r>
          </w:p>
        </w:tc>
        <w:tc>
          <w:tcPr>
            <w:tcW w:w="5670" w:type="dxa"/>
          </w:tcPr>
          <w:p w14:paraId="5827CE14" w14:textId="5046454B" w:rsidR="009447D5" w:rsidRPr="007F14ED" w:rsidRDefault="009447D5" w:rsidP="00B52A4E">
            <w:pPr>
              <w:spacing w:before="60" w:after="60"/>
              <w:jc w:val="both"/>
              <w:rPr>
                <w:rFonts w:cstheme="minorHAnsi"/>
                <w:sz w:val="20"/>
                <w:szCs w:val="20"/>
              </w:rPr>
            </w:pPr>
            <w:r w:rsidRPr="007F14ED">
              <w:rPr>
                <w:rFonts w:cstheme="minorHAnsi"/>
                <w:sz w:val="20"/>
                <w:szCs w:val="20"/>
              </w:rPr>
              <w:t xml:space="preserve">Wskaźnik obejmuje mikroprzedsiębiorstwa, które otrzymały wsparcie finansowe oraz pozafinansowe z Europejskiego Funduszu Rozwoju Regionalnego (EFRR) , Funduszu Spójności (FS) oraz Funduszu Sprawiedliwej Transformacji (FST). Definicja przedsiębiorstwa zgodna z definicją wskaźnika </w:t>
            </w:r>
            <w:r w:rsidR="00B52A4E" w:rsidRPr="007F14ED">
              <w:rPr>
                <w:rFonts w:cstheme="minorHAnsi"/>
                <w:i/>
                <w:sz w:val="20"/>
                <w:szCs w:val="20"/>
              </w:rPr>
              <w:t xml:space="preserve">Przedsiębiorstwa objęte wsparciem (w tym: mikro, małe, średnie, </w:t>
            </w:r>
            <w:proofErr w:type="spellStart"/>
            <w:r w:rsidR="00B52A4E" w:rsidRPr="007F14ED">
              <w:rPr>
                <w:rFonts w:cstheme="minorHAnsi"/>
                <w:i/>
                <w:sz w:val="20"/>
                <w:szCs w:val="20"/>
              </w:rPr>
              <w:t>duże</w:t>
            </w:r>
            <w:proofErr w:type="spellEnd"/>
            <w:r w:rsidR="00B52A4E" w:rsidRPr="007F14ED">
              <w:rPr>
                <w:rFonts w:cstheme="minorHAnsi"/>
                <w:i/>
                <w:sz w:val="20"/>
                <w:szCs w:val="20"/>
              </w:rPr>
              <w:t>)</w:t>
            </w:r>
            <w:r w:rsidRPr="007F14ED">
              <w:rPr>
                <w:rFonts w:cstheme="minorHAnsi"/>
                <w:sz w:val="20"/>
                <w:szCs w:val="20"/>
              </w:rPr>
              <w:t xml:space="preserve">. Zgodnie z zaleceniem KE (2003/361/EC) mikroprzedsiębiorstwo to przedsiębiorstwo zatrudniające mniej niż 10 osób oraz którego roczny obrót lub/i roczny bilans nie przekracza 2 mln EUR. Na </w:t>
            </w:r>
            <w:r w:rsidRPr="007F14ED">
              <w:rPr>
                <w:rFonts w:cstheme="minorHAnsi"/>
                <w:sz w:val="20"/>
                <w:szCs w:val="20"/>
              </w:rPr>
              <w:lastRenderedPageBreak/>
              <w:t>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r w:rsidR="009447D5" w:rsidRPr="004534FE" w14:paraId="5F612BD5" w14:textId="77777777" w:rsidTr="00F161B6">
        <w:trPr>
          <w:trHeight w:val="1121"/>
        </w:trPr>
        <w:tc>
          <w:tcPr>
            <w:tcW w:w="552" w:type="dxa"/>
            <w:tcBorders>
              <w:bottom w:val="single" w:sz="4" w:space="0" w:color="92D050"/>
            </w:tcBorders>
            <w:vAlign w:val="center"/>
          </w:tcPr>
          <w:p w14:paraId="184AFA5E" w14:textId="5E21A50E" w:rsidR="009447D5" w:rsidRPr="007F14ED" w:rsidRDefault="00DE16A7" w:rsidP="007F14ED">
            <w:pPr>
              <w:spacing w:before="60" w:after="60"/>
              <w:jc w:val="center"/>
              <w:rPr>
                <w:rFonts w:cstheme="minorHAnsi"/>
                <w:sz w:val="20"/>
                <w:szCs w:val="20"/>
              </w:rPr>
            </w:pPr>
            <w:r w:rsidRPr="007F14ED">
              <w:rPr>
                <w:rFonts w:cstheme="minorHAnsi"/>
                <w:sz w:val="20"/>
                <w:szCs w:val="20"/>
              </w:rPr>
              <w:lastRenderedPageBreak/>
              <w:t>1b.</w:t>
            </w:r>
          </w:p>
        </w:tc>
        <w:tc>
          <w:tcPr>
            <w:tcW w:w="2977" w:type="dxa"/>
            <w:tcBorders>
              <w:bottom w:val="single" w:sz="4" w:space="0" w:color="33CC33"/>
            </w:tcBorders>
            <w:vAlign w:val="center"/>
          </w:tcPr>
          <w:p w14:paraId="6023842D" w14:textId="77777777" w:rsidR="009447D5" w:rsidRPr="007F14ED" w:rsidRDefault="009447D5" w:rsidP="009447D5">
            <w:pPr>
              <w:spacing w:before="60" w:after="60"/>
              <w:rPr>
                <w:rFonts w:cstheme="minorHAnsi"/>
                <w:i/>
                <w:sz w:val="20"/>
                <w:szCs w:val="20"/>
              </w:rPr>
            </w:pPr>
            <w:r w:rsidRPr="007F14ED">
              <w:rPr>
                <w:rFonts w:cstheme="minorHAnsi"/>
                <w:i/>
                <w:sz w:val="20"/>
                <w:szCs w:val="20"/>
              </w:rPr>
              <w:t>Liczba wspartych małych przedsiębiorstw</w:t>
            </w:r>
          </w:p>
          <w:p w14:paraId="0F73B361" w14:textId="1C991062" w:rsidR="009447D5" w:rsidRPr="007F14ED" w:rsidRDefault="009447D5" w:rsidP="009447D5">
            <w:pPr>
              <w:spacing w:before="60" w:after="60"/>
              <w:rPr>
                <w:rFonts w:cstheme="minorHAnsi"/>
                <w:i/>
                <w:sz w:val="20"/>
                <w:szCs w:val="20"/>
              </w:rPr>
            </w:pPr>
          </w:p>
        </w:tc>
        <w:tc>
          <w:tcPr>
            <w:tcW w:w="1134" w:type="dxa"/>
            <w:tcBorders>
              <w:bottom w:val="single" w:sz="4" w:space="0" w:color="33CC33"/>
            </w:tcBorders>
            <w:vAlign w:val="center"/>
          </w:tcPr>
          <w:p w14:paraId="64B551CC" w14:textId="4D929F98" w:rsidR="009447D5" w:rsidRPr="007F14ED" w:rsidRDefault="009447D5" w:rsidP="004534FE">
            <w:pPr>
              <w:spacing w:before="60" w:after="60"/>
              <w:jc w:val="center"/>
              <w:rPr>
                <w:rFonts w:cstheme="minorHAnsi"/>
                <w:sz w:val="20"/>
                <w:szCs w:val="20"/>
              </w:rPr>
            </w:pPr>
            <w:r w:rsidRPr="007F14ED">
              <w:rPr>
                <w:rFonts w:cstheme="minorHAnsi"/>
                <w:sz w:val="20"/>
                <w:szCs w:val="20"/>
              </w:rPr>
              <w:t>szt.</w:t>
            </w:r>
          </w:p>
        </w:tc>
        <w:tc>
          <w:tcPr>
            <w:tcW w:w="1418" w:type="dxa"/>
            <w:tcBorders>
              <w:bottom w:val="single" w:sz="4" w:space="0" w:color="33CC33"/>
            </w:tcBorders>
            <w:vAlign w:val="center"/>
          </w:tcPr>
          <w:p w14:paraId="1B0FFCD7" w14:textId="0D015D9E" w:rsidR="009447D5" w:rsidRPr="007F14ED" w:rsidRDefault="009447D5" w:rsidP="004534FE">
            <w:pPr>
              <w:spacing w:before="60" w:after="60"/>
              <w:jc w:val="center"/>
              <w:rPr>
                <w:rFonts w:cstheme="minorHAnsi"/>
                <w:sz w:val="20"/>
                <w:szCs w:val="20"/>
              </w:rPr>
            </w:pPr>
            <w:r w:rsidRPr="007F14ED">
              <w:rPr>
                <w:rFonts w:cstheme="minorHAnsi"/>
                <w:sz w:val="20"/>
                <w:szCs w:val="20"/>
              </w:rPr>
              <w:t>produkt</w:t>
            </w:r>
          </w:p>
        </w:tc>
        <w:tc>
          <w:tcPr>
            <w:tcW w:w="1417" w:type="dxa"/>
            <w:tcBorders>
              <w:bottom w:val="single" w:sz="4" w:space="0" w:color="33CC33"/>
            </w:tcBorders>
            <w:vAlign w:val="center"/>
          </w:tcPr>
          <w:p w14:paraId="4F639600" w14:textId="10AAB66F" w:rsidR="009447D5" w:rsidRPr="007F14ED" w:rsidRDefault="0097781B" w:rsidP="004534FE">
            <w:pPr>
              <w:spacing w:before="60" w:after="60"/>
              <w:jc w:val="center"/>
              <w:rPr>
                <w:rFonts w:cstheme="minorHAnsi"/>
                <w:sz w:val="20"/>
                <w:szCs w:val="20"/>
              </w:rPr>
            </w:pPr>
            <w:r>
              <w:rPr>
                <w:rFonts w:cstheme="minorHAnsi"/>
                <w:sz w:val="20"/>
                <w:szCs w:val="20"/>
              </w:rPr>
              <w:t>kluczowy</w:t>
            </w:r>
          </w:p>
        </w:tc>
        <w:tc>
          <w:tcPr>
            <w:tcW w:w="1276" w:type="dxa"/>
            <w:tcBorders>
              <w:bottom w:val="single" w:sz="4" w:space="0" w:color="33CC33"/>
            </w:tcBorders>
            <w:vAlign w:val="center"/>
          </w:tcPr>
          <w:p w14:paraId="3A7E6C4C" w14:textId="79549D0D" w:rsidR="009447D5" w:rsidRPr="007F14ED" w:rsidRDefault="009447D5" w:rsidP="004534FE">
            <w:pPr>
              <w:spacing w:before="60" w:after="60"/>
              <w:jc w:val="center"/>
              <w:rPr>
                <w:rFonts w:cstheme="minorHAnsi"/>
                <w:sz w:val="20"/>
                <w:szCs w:val="20"/>
              </w:rPr>
            </w:pPr>
            <w:r w:rsidRPr="007F14ED">
              <w:rPr>
                <w:rFonts w:cstheme="minorHAnsi"/>
                <w:sz w:val="20"/>
                <w:szCs w:val="20"/>
              </w:rPr>
              <w:t>-</w:t>
            </w:r>
          </w:p>
        </w:tc>
        <w:tc>
          <w:tcPr>
            <w:tcW w:w="5670" w:type="dxa"/>
            <w:tcBorders>
              <w:bottom w:val="single" w:sz="4" w:space="0" w:color="33CC33"/>
            </w:tcBorders>
            <w:vAlign w:val="center"/>
          </w:tcPr>
          <w:p w14:paraId="1F0D6179" w14:textId="05A14436" w:rsidR="009447D5" w:rsidRPr="007F14ED" w:rsidRDefault="009447D5" w:rsidP="009447D5">
            <w:pPr>
              <w:spacing w:before="60" w:after="60"/>
              <w:rPr>
                <w:rFonts w:cstheme="minorHAnsi"/>
                <w:sz w:val="20"/>
                <w:szCs w:val="20"/>
              </w:rPr>
            </w:pPr>
            <w:r w:rsidRPr="007F14ED">
              <w:rPr>
                <w:rFonts w:cstheme="minorHAnsi"/>
                <w:sz w:val="20"/>
                <w:szCs w:val="20"/>
              </w:rPr>
              <w:t xml:space="preserve">Wskaźnik obejmuje małe przedsiębiorstwa, które otrzymały wsparcie finansowe oraz pozafinansowe z Europejskiego Funduszu Rozwoju Regionalnego (EFRR) , Funduszu Spójności (FS) oraz Funduszu Sprawiedliwej Transformacji (FST).    Definicja przedsiębiorstwa zgodna z definicją wskaźnika </w:t>
            </w:r>
            <w:r w:rsidRPr="007F14ED">
              <w:rPr>
                <w:rFonts w:cstheme="minorHAnsi"/>
                <w:i/>
                <w:sz w:val="20"/>
                <w:szCs w:val="20"/>
              </w:rPr>
              <w:t xml:space="preserve">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r w:rsidRPr="007F14ED">
              <w:rPr>
                <w:rFonts w:cstheme="minorHAnsi"/>
                <w:sz w:val="20"/>
                <w:szCs w:val="20"/>
              </w:rPr>
              <w:t xml:space="preserve"> Zgodnie z zaleceniem KE (2003/361/EC) małe przedsiębiorstwo to przedsiębiorstwo zatrudniające mniej niż  50 osób oraz którego roczny obrót lub/i roczny bilans nie przekracza  10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r w:rsidR="009447D5" w:rsidRPr="004534FE" w14:paraId="6E4051B2" w14:textId="77777777" w:rsidTr="00F161B6">
        <w:trPr>
          <w:trHeight w:val="767"/>
        </w:trPr>
        <w:tc>
          <w:tcPr>
            <w:tcW w:w="552" w:type="dxa"/>
            <w:tcBorders>
              <w:top w:val="single" w:sz="4" w:space="0" w:color="92D050"/>
              <w:bottom w:val="single" w:sz="4" w:space="0" w:color="33CC33"/>
            </w:tcBorders>
            <w:vAlign w:val="center"/>
          </w:tcPr>
          <w:p w14:paraId="2DDB7228" w14:textId="020509EE" w:rsidR="009447D5" w:rsidRPr="007F14ED" w:rsidRDefault="00DE16A7" w:rsidP="007F14ED">
            <w:pPr>
              <w:spacing w:before="60" w:after="60"/>
              <w:jc w:val="center"/>
              <w:rPr>
                <w:rFonts w:cstheme="minorHAnsi"/>
                <w:sz w:val="20"/>
                <w:szCs w:val="20"/>
              </w:rPr>
            </w:pPr>
            <w:r w:rsidRPr="007F14ED">
              <w:rPr>
                <w:rFonts w:cstheme="minorHAnsi"/>
                <w:sz w:val="20"/>
                <w:szCs w:val="20"/>
              </w:rPr>
              <w:t>1c</w:t>
            </w:r>
            <w:r w:rsidR="009447D5" w:rsidRPr="007F14ED">
              <w:rPr>
                <w:rFonts w:cstheme="minorHAnsi"/>
                <w:sz w:val="20"/>
                <w:szCs w:val="20"/>
              </w:rPr>
              <w:t>.</w:t>
            </w:r>
          </w:p>
        </w:tc>
        <w:tc>
          <w:tcPr>
            <w:tcW w:w="2977" w:type="dxa"/>
            <w:tcBorders>
              <w:top w:val="single" w:sz="4" w:space="0" w:color="33CC33"/>
              <w:bottom w:val="single" w:sz="4" w:space="0" w:color="33CC33"/>
            </w:tcBorders>
            <w:vAlign w:val="center"/>
          </w:tcPr>
          <w:p w14:paraId="56B731F6" w14:textId="38175EC3" w:rsidR="009447D5" w:rsidRPr="007F14ED" w:rsidRDefault="009447D5" w:rsidP="009447D5">
            <w:pPr>
              <w:spacing w:before="60" w:after="60"/>
              <w:rPr>
                <w:rFonts w:cstheme="minorHAnsi"/>
                <w:i/>
                <w:sz w:val="20"/>
                <w:szCs w:val="20"/>
              </w:rPr>
            </w:pPr>
            <w:r w:rsidRPr="007F14ED">
              <w:rPr>
                <w:rFonts w:cstheme="minorHAnsi"/>
                <w:i/>
                <w:sz w:val="20"/>
                <w:szCs w:val="20"/>
              </w:rPr>
              <w:t>Liczba wspartych średnich przedsiębiorstw</w:t>
            </w:r>
          </w:p>
        </w:tc>
        <w:tc>
          <w:tcPr>
            <w:tcW w:w="1134" w:type="dxa"/>
            <w:tcBorders>
              <w:top w:val="single" w:sz="4" w:space="0" w:color="33CC33"/>
              <w:bottom w:val="single" w:sz="4" w:space="0" w:color="33CC33"/>
            </w:tcBorders>
            <w:vAlign w:val="center"/>
          </w:tcPr>
          <w:p w14:paraId="4D048481" w14:textId="128F00F1" w:rsidR="009447D5" w:rsidRPr="007F14ED" w:rsidRDefault="009447D5" w:rsidP="004534FE">
            <w:pPr>
              <w:spacing w:before="60" w:after="60"/>
              <w:jc w:val="center"/>
              <w:rPr>
                <w:rFonts w:cstheme="minorHAnsi"/>
                <w:sz w:val="20"/>
                <w:szCs w:val="20"/>
              </w:rPr>
            </w:pPr>
            <w:r w:rsidRPr="007F14ED">
              <w:rPr>
                <w:rFonts w:cstheme="minorHAnsi"/>
                <w:sz w:val="20"/>
                <w:szCs w:val="20"/>
              </w:rPr>
              <w:t>szt.</w:t>
            </w:r>
          </w:p>
        </w:tc>
        <w:tc>
          <w:tcPr>
            <w:tcW w:w="1418" w:type="dxa"/>
            <w:tcBorders>
              <w:top w:val="single" w:sz="4" w:space="0" w:color="33CC33"/>
              <w:bottom w:val="single" w:sz="4" w:space="0" w:color="33CC33"/>
            </w:tcBorders>
            <w:vAlign w:val="center"/>
          </w:tcPr>
          <w:p w14:paraId="415C3669" w14:textId="1323CF75" w:rsidR="009447D5" w:rsidRPr="007F14ED" w:rsidRDefault="009447D5" w:rsidP="004534FE">
            <w:pPr>
              <w:spacing w:before="60" w:after="60"/>
              <w:jc w:val="center"/>
              <w:rPr>
                <w:rFonts w:cstheme="minorHAnsi"/>
                <w:sz w:val="20"/>
                <w:szCs w:val="20"/>
              </w:rPr>
            </w:pPr>
            <w:r w:rsidRPr="007F14ED">
              <w:rPr>
                <w:rFonts w:cstheme="minorHAnsi"/>
                <w:sz w:val="20"/>
                <w:szCs w:val="20"/>
              </w:rPr>
              <w:t>produkt</w:t>
            </w:r>
          </w:p>
        </w:tc>
        <w:tc>
          <w:tcPr>
            <w:tcW w:w="1417" w:type="dxa"/>
            <w:tcBorders>
              <w:top w:val="single" w:sz="4" w:space="0" w:color="33CC33"/>
              <w:bottom w:val="single" w:sz="4" w:space="0" w:color="33CC33"/>
            </w:tcBorders>
            <w:vAlign w:val="center"/>
          </w:tcPr>
          <w:p w14:paraId="09A0230E" w14:textId="3AEBEDB6" w:rsidR="009447D5" w:rsidRPr="007F14ED" w:rsidRDefault="0097781B" w:rsidP="004534FE">
            <w:pPr>
              <w:spacing w:before="60" w:after="60"/>
              <w:jc w:val="center"/>
              <w:rPr>
                <w:rFonts w:cstheme="minorHAnsi"/>
                <w:sz w:val="20"/>
                <w:szCs w:val="20"/>
              </w:rPr>
            </w:pPr>
            <w:r>
              <w:rPr>
                <w:rFonts w:cstheme="minorHAnsi"/>
                <w:sz w:val="20"/>
                <w:szCs w:val="20"/>
              </w:rPr>
              <w:t>kluczowy</w:t>
            </w:r>
          </w:p>
        </w:tc>
        <w:tc>
          <w:tcPr>
            <w:tcW w:w="1276" w:type="dxa"/>
            <w:tcBorders>
              <w:top w:val="single" w:sz="4" w:space="0" w:color="33CC33"/>
              <w:bottom w:val="single" w:sz="4" w:space="0" w:color="33CC33"/>
            </w:tcBorders>
            <w:vAlign w:val="center"/>
          </w:tcPr>
          <w:p w14:paraId="5F6D7972" w14:textId="59B826AA" w:rsidR="009447D5" w:rsidRPr="007F14ED" w:rsidRDefault="009447D5" w:rsidP="004534FE">
            <w:pPr>
              <w:spacing w:before="60" w:after="60"/>
              <w:jc w:val="center"/>
              <w:rPr>
                <w:rFonts w:cstheme="minorHAnsi"/>
                <w:sz w:val="20"/>
                <w:szCs w:val="20"/>
              </w:rPr>
            </w:pPr>
            <w:r w:rsidRPr="007F14ED">
              <w:rPr>
                <w:rFonts w:cstheme="minorHAnsi"/>
                <w:sz w:val="20"/>
                <w:szCs w:val="20"/>
              </w:rPr>
              <w:t>-</w:t>
            </w:r>
          </w:p>
        </w:tc>
        <w:tc>
          <w:tcPr>
            <w:tcW w:w="5670" w:type="dxa"/>
            <w:tcBorders>
              <w:top w:val="single" w:sz="4" w:space="0" w:color="33CC33"/>
              <w:bottom w:val="single" w:sz="4" w:space="0" w:color="33CC33"/>
            </w:tcBorders>
            <w:vAlign w:val="center"/>
          </w:tcPr>
          <w:p w14:paraId="05D8EE72" w14:textId="585A766D" w:rsidR="009447D5" w:rsidRPr="007F14ED" w:rsidRDefault="009447D5" w:rsidP="0075314C">
            <w:pPr>
              <w:spacing w:before="60" w:after="60"/>
              <w:jc w:val="both"/>
              <w:rPr>
                <w:rFonts w:cstheme="minorHAnsi"/>
                <w:sz w:val="20"/>
                <w:szCs w:val="20"/>
              </w:rPr>
            </w:pPr>
            <w:r w:rsidRPr="007F14ED">
              <w:rPr>
                <w:rFonts w:cstheme="minorHAnsi"/>
                <w:sz w:val="20"/>
                <w:szCs w:val="20"/>
              </w:rPr>
              <w:t xml:space="preserve">Wskaźnik obejmuje średnie przedsiębiorstwa, które otrzymały wsparcie finansowe oraz pozafinansowe z Europejskiego Funduszu Rozwoju Regionalnego (EFRR) , Funduszu Spójności (FS) oraz Funduszu Sprawiedliwej Transformacji (FST). Definicja przedsiębiorstwa zgodna z definicją wskaźnika </w:t>
            </w:r>
            <w:r w:rsidRPr="007F14ED">
              <w:rPr>
                <w:rFonts w:cstheme="minorHAnsi"/>
                <w:i/>
                <w:sz w:val="20"/>
                <w:szCs w:val="20"/>
              </w:rPr>
              <w:t xml:space="preserve">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r w:rsidRPr="007F14ED">
              <w:rPr>
                <w:rFonts w:cstheme="minorHAnsi"/>
                <w:sz w:val="20"/>
                <w:szCs w:val="20"/>
              </w:rPr>
              <w:t xml:space="preserve"> Zgodnie z zaleceniem KE (2003/361/EC) średnie przedsiębiorstwo to przedsiębiorstwo zatrudniające od 50 do 249  osób oraz którego roczny obrót wynosi  nie przekracza 50 mln EUR lub/i roczny bilans nie przekracza43 mln EUR. Na poziomie celu szczegółowego przedsiębiorstwo liczone jest tylko raz, niezależnie od tego ile rodzajów wsparcia otrzymuje. Na poziomie programu, </w:t>
            </w:r>
            <w:r w:rsidRPr="007F14ED">
              <w:rPr>
                <w:rFonts w:cstheme="minorHAnsi"/>
                <w:sz w:val="20"/>
                <w:szCs w:val="20"/>
              </w:rPr>
              <w:lastRenderedPageBreak/>
              <w:t>przedsiębiorstwo jest liczone tylko raz, niezależnie od tego, ile rodzajów wsparcia otrzymuje (z działań realizowanych w ramach jednego lub kilku celów szczegółowych).</w:t>
            </w:r>
          </w:p>
        </w:tc>
      </w:tr>
      <w:tr w:rsidR="009447D5" w:rsidRPr="004534FE" w14:paraId="543D116D" w14:textId="77777777" w:rsidTr="00F161B6">
        <w:tc>
          <w:tcPr>
            <w:tcW w:w="552" w:type="dxa"/>
            <w:tcBorders>
              <w:top w:val="single" w:sz="4" w:space="0" w:color="33CC33"/>
              <w:bottom w:val="single" w:sz="4" w:space="0" w:color="33CC33"/>
            </w:tcBorders>
            <w:vAlign w:val="center"/>
          </w:tcPr>
          <w:p w14:paraId="348B020A" w14:textId="2C01BBB2" w:rsidR="009447D5" w:rsidRPr="007F14ED" w:rsidRDefault="00DE16A7" w:rsidP="007F14ED">
            <w:pPr>
              <w:spacing w:before="60" w:after="60"/>
              <w:jc w:val="center"/>
              <w:rPr>
                <w:rFonts w:cstheme="minorHAnsi"/>
                <w:sz w:val="20"/>
                <w:szCs w:val="20"/>
              </w:rPr>
            </w:pPr>
            <w:r w:rsidRPr="007F14ED">
              <w:rPr>
                <w:rFonts w:cstheme="minorHAnsi"/>
                <w:sz w:val="20"/>
                <w:szCs w:val="20"/>
              </w:rPr>
              <w:lastRenderedPageBreak/>
              <w:t>2</w:t>
            </w:r>
            <w:r w:rsidR="009447D5" w:rsidRPr="007F14ED">
              <w:rPr>
                <w:rFonts w:cstheme="minorHAnsi"/>
                <w:sz w:val="20"/>
                <w:szCs w:val="20"/>
              </w:rPr>
              <w:t>.</w:t>
            </w:r>
          </w:p>
        </w:tc>
        <w:tc>
          <w:tcPr>
            <w:tcW w:w="2977" w:type="dxa"/>
            <w:tcBorders>
              <w:top w:val="single" w:sz="4" w:space="0" w:color="33CC33"/>
              <w:bottom w:val="single" w:sz="4" w:space="0" w:color="33CC33"/>
            </w:tcBorders>
            <w:vAlign w:val="center"/>
          </w:tcPr>
          <w:p w14:paraId="0DAE0331" w14:textId="77777777" w:rsidR="009447D5" w:rsidRPr="007F14ED" w:rsidRDefault="009447D5" w:rsidP="009447D5">
            <w:pPr>
              <w:spacing w:before="60" w:after="60"/>
              <w:rPr>
                <w:rFonts w:cstheme="minorHAnsi"/>
                <w:i/>
                <w:sz w:val="20"/>
                <w:szCs w:val="20"/>
              </w:rPr>
            </w:pPr>
            <w:r w:rsidRPr="007F14ED">
              <w:rPr>
                <w:rFonts w:cstheme="minorHAnsi"/>
                <w:i/>
                <w:sz w:val="20"/>
                <w:szCs w:val="20"/>
              </w:rPr>
              <w:t>Przedsiębiorstwa objęte wsparciem w formie dotacji</w:t>
            </w:r>
          </w:p>
          <w:p w14:paraId="53DA1485" w14:textId="0022EC8C" w:rsidR="009447D5" w:rsidRPr="007F14ED" w:rsidRDefault="009447D5" w:rsidP="009447D5">
            <w:pPr>
              <w:spacing w:before="60" w:after="60"/>
              <w:rPr>
                <w:rFonts w:cstheme="minorHAnsi"/>
                <w:i/>
                <w:sz w:val="20"/>
                <w:szCs w:val="20"/>
              </w:rPr>
            </w:pPr>
          </w:p>
        </w:tc>
        <w:tc>
          <w:tcPr>
            <w:tcW w:w="1134" w:type="dxa"/>
            <w:tcBorders>
              <w:top w:val="single" w:sz="4" w:space="0" w:color="33CC33"/>
              <w:bottom w:val="single" w:sz="4" w:space="0" w:color="33CC33"/>
            </w:tcBorders>
            <w:vAlign w:val="center"/>
          </w:tcPr>
          <w:p w14:paraId="705218D1" w14:textId="67BD3502" w:rsidR="009447D5" w:rsidRPr="007F14ED" w:rsidRDefault="009447D5" w:rsidP="004534FE">
            <w:pPr>
              <w:spacing w:before="60" w:after="60"/>
              <w:jc w:val="center"/>
              <w:rPr>
                <w:rFonts w:cstheme="minorHAnsi"/>
                <w:sz w:val="20"/>
                <w:szCs w:val="20"/>
              </w:rPr>
            </w:pPr>
            <w:r w:rsidRPr="007F14ED">
              <w:rPr>
                <w:rFonts w:cstheme="minorHAnsi"/>
                <w:sz w:val="20"/>
                <w:szCs w:val="20"/>
              </w:rPr>
              <w:t>szt.</w:t>
            </w:r>
          </w:p>
        </w:tc>
        <w:tc>
          <w:tcPr>
            <w:tcW w:w="1418" w:type="dxa"/>
            <w:tcBorders>
              <w:top w:val="single" w:sz="4" w:space="0" w:color="33CC33"/>
              <w:bottom w:val="single" w:sz="4" w:space="0" w:color="33CC33"/>
            </w:tcBorders>
            <w:vAlign w:val="center"/>
          </w:tcPr>
          <w:p w14:paraId="188EF65A" w14:textId="60A76F22" w:rsidR="009447D5" w:rsidRPr="007F14ED" w:rsidRDefault="009447D5" w:rsidP="004534FE">
            <w:pPr>
              <w:spacing w:before="60" w:after="60"/>
              <w:jc w:val="center"/>
              <w:rPr>
                <w:rFonts w:cstheme="minorHAnsi"/>
                <w:sz w:val="20"/>
                <w:szCs w:val="20"/>
              </w:rPr>
            </w:pPr>
            <w:r w:rsidRPr="007F14ED">
              <w:rPr>
                <w:rFonts w:cstheme="minorHAnsi"/>
                <w:sz w:val="20"/>
                <w:szCs w:val="20"/>
              </w:rPr>
              <w:t>produkt</w:t>
            </w:r>
          </w:p>
        </w:tc>
        <w:tc>
          <w:tcPr>
            <w:tcW w:w="1417" w:type="dxa"/>
            <w:tcBorders>
              <w:top w:val="single" w:sz="4" w:space="0" w:color="33CC33"/>
              <w:bottom w:val="single" w:sz="4" w:space="0" w:color="33CC33"/>
            </w:tcBorders>
            <w:vAlign w:val="center"/>
          </w:tcPr>
          <w:p w14:paraId="3F8D87E1" w14:textId="125F4A4A" w:rsidR="009447D5" w:rsidRPr="007F14ED" w:rsidRDefault="009447D5" w:rsidP="004534FE">
            <w:pPr>
              <w:spacing w:before="60" w:after="60"/>
              <w:jc w:val="center"/>
              <w:rPr>
                <w:rFonts w:cstheme="minorHAnsi"/>
                <w:sz w:val="20"/>
                <w:szCs w:val="20"/>
              </w:rPr>
            </w:pPr>
            <w:r w:rsidRPr="007F14ED">
              <w:rPr>
                <w:rFonts w:cstheme="minorHAnsi"/>
                <w:sz w:val="20"/>
                <w:szCs w:val="20"/>
              </w:rPr>
              <w:t>kluczowy</w:t>
            </w:r>
          </w:p>
        </w:tc>
        <w:tc>
          <w:tcPr>
            <w:tcW w:w="1276" w:type="dxa"/>
            <w:tcBorders>
              <w:top w:val="single" w:sz="4" w:space="0" w:color="33CC33"/>
              <w:bottom w:val="single" w:sz="4" w:space="0" w:color="33CC33"/>
            </w:tcBorders>
            <w:vAlign w:val="center"/>
          </w:tcPr>
          <w:p w14:paraId="33A28A85" w14:textId="212271D4" w:rsidR="009447D5" w:rsidRPr="007F14ED" w:rsidRDefault="004534FE" w:rsidP="004534FE">
            <w:pPr>
              <w:spacing w:before="60" w:after="60"/>
              <w:jc w:val="center"/>
              <w:rPr>
                <w:rFonts w:cstheme="minorHAnsi"/>
                <w:sz w:val="20"/>
                <w:szCs w:val="20"/>
              </w:rPr>
            </w:pPr>
            <w:r w:rsidRPr="007F14ED">
              <w:rPr>
                <w:rFonts w:cstheme="minorHAnsi"/>
                <w:sz w:val="20"/>
                <w:szCs w:val="20"/>
              </w:rPr>
              <w:t>Wskaźnik programowy</w:t>
            </w:r>
          </w:p>
        </w:tc>
        <w:tc>
          <w:tcPr>
            <w:tcW w:w="5670" w:type="dxa"/>
            <w:tcBorders>
              <w:top w:val="single" w:sz="4" w:space="0" w:color="33CC33"/>
              <w:bottom w:val="single" w:sz="4" w:space="0" w:color="33CC33"/>
            </w:tcBorders>
          </w:tcPr>
          <w:p w14:paraId="7DA8EA9A" w14:textId="4347E323" w:rsidR="009447D5" w:rsidRPr="007F14ED" w:rsidRDefault="009447D5" w:rsidP="009447D5">
            <w:pPr>
              <w:spacing w:before="60" w:after="60"/>
              <w:jc w:val="both"/>
              <w:rPr>
                <w:rFonts w:cstheme="minorHAnsi"/>
                <w:i/>
                <w:sz w:val="20"/>
                <w:szCs w:val="20"/>
              </w:rPr>
            </w:pPr>
            <w:r w:rsidRPr="007F14ED">
              <w:rPr>
                <w:rFonts w:cstheme="minorHAnsi"/>
                <w:sz w:val="20"/>
                <w:szCs w:val="20"/>
              </w:rPr>
              <w:t>Liczba przedsiębiorstw otrzymujących wsparcie finansowe w formie dotacji. Definicja przedsiębiorstwa znajduje się we wskaźniku</w:t>
            </w:r>
            <w:r w:rsidR="00DC76DB">
              <w:rPr>
                <w:rFonts w:cstheme="minorHAnsi"/>
                <w:sz w:val="20"/>
                <w:szCs w:val="20"/>
              </w:rPr>
              <w:t>:</w:t>
            </w:r>
            <w:r w:rsidRPr="007F14ED">
              <w:rPr>
                <w:rFonts w:cstheme="minorHAnsi"/>
                <w:i/>
                <w:sz w:val="20"/>
                <w:szCs w:val="20"/>
              </w:rPr>
              <w:t xml:space="preserve"> 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p>
        </w:tc>
      </w:tr>
      <w:tr w:rsidR="00C97197" w:rsidRPr="00F14DAD" w14:paraId="3CD75472" w14:textId="77777777" w:rsidTr="00A61D10">
        <w:tc>
          <w:tcPr>
            <w:tcW w:w="552" w:type="dxa"/>
            <w:tcBorders>
              <w:top w:val="single" w:sz="4" w:space="0" w:color="33CC33"/>
              <w:bottom w:val="single" w:sz="4" w:space="0" w:color="33CC33"/>
            </w:tcBorders>
            <w:shd w:val="clear" w:color="auto" w:fill="auto"/>
            <w:vAlign w:val="center"/>
          </w:tcPr>
          <w:p w14:paraId="758965D1" w14:textId="1BD54413" w:rsidR="00C97197" w:rsidRDefault="007F2586" w:rsidP="00C97197">
            <w:pPr>
              <w:spacing w:before="60" w:after="60"/>
              <w:jc w:val="center"/>
              <w:rPr>
                <w:rFonts w:cstheme="minorHAnsi"/>
                <w:sz w:val="20"/>
                <w:szCs w:val="20"/>
              </w:rPr>
            </w:pPr>
            <w:r>
              <w:rPr>
                <w:rFonts w:cstheme="minorHAnsi"/>
                <w:sz w:val="20"/>
                <w:szCs w:val="20"/>
              </w:rPr>
              <w:t>3</w:t>
            </w:r>
            <w:r w:rsidR="00C97197">
              <w:rPr>
                <w:rFonts w:cstheme="minorHAnsi"/>
                <w:sz w:val="20"/>
                <w:szCs w:val="20"/>
              </w:rPr>
              <w:t>.</w:t>
            </w:r>
          </w:p>
        </w:tc>
        <w:tc>
          <w:tcPr>
            <w:tcW w:w="2977" w:type="dxa"/>
            <w:tcBorders>
              <w:top w:val="single" w:sz="4" w:space="0" w:color="33CC33"/>
              <w:bottom w:val="single" w:sz="4" w:space="0" w:color="33CC33"/>
            </w:tcBorders>
            <w:shd w:val="clear" w:color="auto" w:fill="auto"/>
            <w:vAlign w:val="center"/>
          </w:tcPr>
          <w:p w14:paraId="3313F8F0" w14:textId="19DF1E77" w:rsidR="00C97197" w:rsidRPr="00C97197" w:rsidRDefault="00C97197" w:rsidP="00C97197">
            <w:pPr>
              <w:spacing w:before="60" w:after="60"/>
              <w:rPr>
                <w:rFonts w:cstheme="minorHAnsi"/>
                <w:i/>
                <w:sz w:val="20"/>
                <w:szCs w:val="20"/>
              </w:rPr>
            </w:pPr>
            <w:r w:rsidRPr="00C97197">
              <w:rPr>
                <w:rFonts w:cstheme="minorHAnsi"/>
                <w:i/>
                <w:sz w:val="20"/>
                <w:szCs w:val="20"/>
              </w:rPr>
              <w:t>Miejsca pracy dla naukowców utworzone we wspieranych jednostkach</w:t>
            </w:r>
          </w:p>
        </w:tc>
        <w:tc>
          <w:tcPr>
            <w:tcW w:w="1134" w:type="dxa"/>
            <w:tcBorders>
              <w:top w:val="single" w:sz="4" w:space="0" w:color="33CC33"/>
              <w:bottom w:val="single" w:sz="4" w:space="0" w:color="33CC33"/>
            </w:tcBorders>
            <w:shd w:val="clear" w:color="auto" w:fill="auto"/>
            <w:vAlign w:val="center"/>
          </w:tcPr>
          <w:p w14:paraId="2041EC53" w14:textId="10A39099" w:rsidR="00C97197" w:rsidRPr="00C97197" w:rsidRDefault="00C97197" w:rsidP="00C97197">
            <w:pPr>
              <w:spacing w:before="60" w:after="60"/>
              <w:jc w:val="center"/>
              <w:rPr>
                <w:rFonts w:cstheme="minorHAnsi"/>
                <w:sz w:val="20"/>
                <w:szCs w:val="20"/>
              </w:rPr>
            </w:pPr>
            <w:r>
              <w:rPr>
                <w:rFonts w:cstheme="minorHAnsi"/>
                <w:sz w:val="20"/>
                <w:szCs w:val="20"/>
              </w:rPr>
              <w:t>EPC</w:t>
            </w:r>
          </w:p>
        </w:tc>
        <w:tc>
          <w:tcPr>
            <w:tcW w:w="1418" w:type="dxa"/>
            <w:tcBorders>
              <w:top w:val="single" w:sz="4" w:space="0" w:color="33CC33"/>
              <w:bottom w:val="single" w:sz="4" w:space="0" w:color="33CC33"/>
            </w:tcBorders>
            <w:shd w:val="clear" w:color="auto" w:fill="auto"/>
            <w:vAlign w:val="center"/>
          </w:tcPr>
          <w:p w14:paraId="1C13FD87" w14:textId="6BFAAB1B" w:rsidR="00C97197" w:rsidRPr="00C97197" w:rsidRDefault="00C97197" w:rsidP="00C97197">
            <w:pPr>
              <w:spacing w:before="60" w:after="60"/>
              <w:jc w:val="center"/>
              <w:rPr>
                <w:rFonts w:cstheme="minorHAnsi"/>
                <w:sz w:val="20"/>
                <w:szCs w:val="20"/>
              </w:rPr>
            </w:pPr>
            <w:r>
              <w:rPr>
                <w:rFonts w:cstheme="minorHAnsi"/>
                <w:sz w:val="20"/>
                <w:szCs w:val="20"/>
              </w:rPr>
              <w:t>rezultat</w:t>
            </w:r>
          </w:p>
        </w:tc>
        <w:tc>
          <w:tcPr>
            <w:tcW w:w="1417" w:type="dxa"/>
            <w:tcBorders>
              <w:top w:val="single" w:sz="4" w:space="0" w:color="33CC33"/>
              <w:bottom w:val="single" w:sz="4" w:space="0" w:color="33CC33"/>
            </w:tcBorders>
            <w:shd w:val="clear" w:color="auto" w:fill="auto"/>
            <w:vAlign w:val="center"/>
          </w:tcPr>
          <w:p w14:paraId="45F1E18F" w14:textId="1E08DD00" w:rsidR="00C97197" w:rsidRPr="00C97197" w:rsidRDefault="00C97197" w:rsidP="00C97197">
            <w:pPr>
              <w:spacing w:before="60" w:after="60"/>
              <w:jc w:val="center"/>
              <w:rPr>
                <w:rFonts w:cstheme="minorHAnsi"/>
                <w:sz w:val="20"/>
                <w:szCs w:val="20"/>
              </w:rPr>
            </w:pPr>
            <w:r w:rsidRPr="00C97197">
              <w:rPr>
                <w:rFonts w:cstheme="minorHAnsi"/>
                <w:sz w:val="20"/>
                <w:szCs w:val="20"/>
              </w:rPr>
              <w:t>kluczowy</w:t>
            </w:r>
          </w:p>
        </w:tc>
        <w:tc>
          <w:tcPr>
            <w:tcW w:w="1276" w:type="dxa"/>
            <w:tcBorders>
              <w:top w:val="single" w:sz="4" w:space="0" w:color="33CC33"/>
              <w:bottom w:val="single" w:sz="4" w:space="0" w:color="33CC33"/>
            </w:tcBorders>
            <w:shd w:val="clear" w:color="auto" w:fill="auto"/>
            <w:vAlign w:val="center"/>
          </w:tcPr>
          <w:p w14:paraId="6B6709A8" w14:textId="55131DBE" w:rsidR="00C97197" w:rsidRPr="00C97197" w:rsidRDefault="00C97197" w:rsidP="00C97197">
            <w:pPr>
              <w:spacing w:before="60" w:after="60"/>
              <w:jc w:val="center"/>
              <w:rPr>
                <w:rFonts w:cstheme="minorHAnsi"/>
                <w:sz w:val="20"/>
                <w:szCs w:val="20"/>
              </w:rPr>
            </w:pPr>
            <w:r w:rsidRPr="00C97197">
              <w:rPr>
                <w:rFonts w:cstheme="minorHAnsi"/>
                <w:sz w:val="20"/>
                <w:szCs w:val="20"/>
              </w:rPr>
              <w:t>-</w:t>
            </w:r>
          </w:p>
        </w:tc>
        <w:tc>
          <w:tcPr>
            <w:tcW w:w="5670" w:type="dxa"/>
            <w:tcBorders>
              <w:top w:val="single" w:sz="4" w:space="0" w:color="33CC33"/>
              <w:bottom w:val="single" w:sz="4" w:space="0" w:color="33CC33"/>
            </w:tcBorders>
            <w:shd w:val="clear" w:color="auto" w:fill="auto"/>
          </w:tcPr>
          <w:p w14:paraId="6AEA62A5" w14:textId="1E17DF2C" w:rsidR="00C97197" w:rsidRPr="00C97197" w:rsidRDefault="00C97197" w:rsidP="00C97197">
            <w:pPr>
              <w:spacing w:before="60" w:after="60"/>
              <w:jc w:val="both"/>
              <w:rPr>
                <w:rFonts w:cstheme="minorHAnsi"/>
                <w:sz w:val="20"/>
                <w:szCs w:val="20"/>
              </w:rPr>
            </w:pPr>
            <w:r w:rsidRPr="00C97197">
              <w:rPr>
                <w:rFonts w:cstheme="minorHAnsi"/>
                <w:sz w:val="20"/>
                <w:szCs w:val="20"/>
              </w:rPr>
              <w:t>Liczba miejsc pracy dla naukowców utworzonych w wyniku wsparcia. Wskaźnik jest mierzony pod względem średnich rocznych ekwiwalentów pełnego czasu pracy (EPC) obliczanych zgodnie z metodyką podaną w Podręczniku Frascati OECD 2015. Nie wlicza się wolnych stanowisk w działalności badawczo-rozwojowej, podobnie jak personelu pomocniczego w działalności badawczo-rozwojowej (tj. stanowisk niezwiązanych bezpośrednio z tą działalnością).   Roczne EPC personelu naukowego definiuje się jako stosunek godzin pracy faktycznie poświęconych na badania i rozwój w ciągu roku kalendarzowego podzielony przez całkowitą liczby godzin umownie przepracowanych w tym samym okresie przez osobę lub grupę. Zgodnie z konwencją dana osoba nie może wykonywać więcej niż jednego EPC w zakresie badań i rozwoju rocznie. Liczba godzin umownie przepracowanych ustalana jest na podstawie normatywnych/ustawowych godzin pracy. Osoba pracująca w pełnym wymiarze czasu pracy zostanie zidentyfikowana w odniesieniu do jej statusu zatrudnienia, rodzaju umowy (pełny lub niepełny etat) oraz poziomu zaangażowania w działalność badawczą i rozwojową (zob. Podręcznik Frascati OECD w odniesieniach, rozdział 5.3).</w:t>
            </w:r>
          </w:p>
        </w:tc>
      </w:tr>
      <w:tr w:rsidR="00C97197" w:rsidRPr="004534FE" w14:paraId="5C0C7A3F" w14:textId="77777777" w:rsidTr="00F161B6">
        <w:trPr>
          <w:trHeight w:val="483"/>
        </w:trPr>
        <w:tc>
          <w:tcPr>
            <w:tcW w:w="552" w:type="dxa"/>
            <w:tcBorders>
              <w:top w:val="single" w:sz="4" w:space="0" w:color="33CC33"/>
            </w:tcBorders>
            <w:vAlign w:val="center"/>
          </w:tcPr>
          <w:p w14:paraId="48236348" w14:textId="4C4E8B72" w:rsidR="00C97197" w:rsidRPr="007F14ED" w:rsidRDefault="007F2586" w:rsidP="00C97197">
            <w:pPr>
              <w:spacing w:before="60" w:after="60"/>
              <w:jc w:val="center"/>
              <w:rPr>
                <w:rFonts w:cstheme="minorHAnsi"/>
                <w:sz w:val="20"/>
                <w:szCs w:val="20"/>
              </w:rPr>
            </w:pPr>
            <w:r>
              <w:rPr>
                <w:rFonts w:cstheme="minorHAnsi"/>
                <w:sz w:val="20"/>
                <w:szCs w:val="20"/>
              </w:rPr>
              <w:t>4</w:t>
            </w:r>
            <w:r w:rsidR="00C97197" w:rsidRPr="007F14ED">
              <w:rPr>
                <w:rFonts w:cstheme="minorHAnsi"/>
                <w:sz w:val="20"/>
                <w:szCs w:val="20"/>
              </w:rPr>
              <w:t>.</w:t>
            </w:r>
          </w:p>
        </w:tc>
        <w:tc>
          <w:tcPr>
            <w:tcW w:w="2977" w:type="dxa"/>
            <w:tcBorders>
              <w:top w:val="single" w:sz="4" w:space="0" w:color="33CC33"/>
            </w:tcBorders>
            <w:vAlign w:val="center"/>
          </w:tcPr>
          <w:p w14:paraId="39A6A2A2" w14:textId="77777777" w:rsidR="00C97197" w:rsidRPr="00B34318" w:rsidRDefault="00C97197" w:rsidP="00C97197">
            <w:pPr>
              <w:spacing w:before="60" w:after="60"/>
              <w:rPr>
                <w:rFonts w:cstheme="minorHAnsi"/>
                <w:i/>
                <w:sz w:val="20"/>
                <w:szCs w:val="20"/>
              </w:rPr>
            </w:pPr>
            <w:r w:rsidRPr="00B34318">
              <w:rPr>
                <w:rFonts w:cstheme="minorHAnsi"/>
                <w:i/>
                <w:sz w:val="20"/>
                <w:szCs w:val="20"/>
              </w:rPr>
              <w:t xml:space="preserve">Inwestycje prywatne uzupełniające wsparcie publiczne </w:t>
            </w:r>
            <w:r w:rsidRPr="00B34318">
              <w:rPr>
                <w:rFonts w:cstheme="minorHAnsi"/>
                <w:i/>
                <w:sz w:val="20"/>
                <w:szCs w:val="20"/>
              </w:rPr>
              <w:lastRenderedPageBreak/>
              <w:t xml:space="preserve">(w tym: dotacje, instrumenty finansowe) </w:t>
            </w:r>
          </w:p>
          <w:p w14:paraId="10A48B0A" w14:textId="3D69516A" w:rsidR="00C97197" w:rsidRPr="00B34318" w:rsidRDefault="00C97197" w:rsidP="00C97197">
            <w:pPr>
              <w:spacing w:before="60" w:after="60"/>
              <w:rPr>
                <w:rFonts w:cstheme="minorHAnsi"/>
                <w:i/>
                <w:sz w:val="20"/>
                <w:szCs w:val="20"/>
              </w:rPr>
            </w:pPr>
          </w:p>
        </w:tc>
        <w:tc>
          <w:tcPr>
            <w:tcW w:w="1134" w:type="dxa"/>
            <w:tcBorders>
              <w:top w:val="single" w:sz="4" w:space="0" w:color="33CC33"/>
            </w:tcBorders>
            <w:vAlign w:val="center"/>
          </w:tcPr>
          <w:p w14:paraId="1376B5DC" w14:textId="765E62BC" w:rsidR="00C97197" w:rsidRPr="00B34318" w:rsidRDefault="00FF7CF1" w:rsidP="00C97197">
            <w:pPr>
              <w:spacing w:before="60" w:after="60"/>
              <w:jc w:val="center"/>
              <w:rPr>
                <w:rFonts w:cstheme="minorHAnsi"/>
                <w:sz w:val="20"/>
                <w:szCs w:val="20"/>
              </w:rPr>
            </w:pPr>
            <w:r>
              <w:rPr>
                <w:rFonts w:cstheme="minorHAnsi"/>
                <w:sz w:val="20"/>
                <w:szCs w:val="20"/>
              </w:rPr>
              <w:lastRenderedPageBreak/>
              <w:t>PLN</w:t>
            </w:r>
          </w:p>
        </w:tc>
        <w:tc>
          <w:tcPr>
            <w:tcW w:w="1418" w:type="dxa"/>
            <w:tcBorders>
              <w:top w:val="single" w:sz="4" w:space="0" w:color="33CC33"/>
            </w:tcBorders>
            <w:vAlign w:val="center"/>
          </w:tcPr>
          <w:p w14:paraId="4C2B6761" w14:textId="222F25D6" w:rsidR="00C97197" w:rsidRPr="00B34318" w:rsidRDefault="00C97197" w:rsidP="00C97197">
            <w:pPr>
              <w:spacing w:before="60" w:after="60"/>
              <w:jc w:val="center"/>
              <w:rPr>
                <w:rFonts w:cstheme="minorHAnsi"/>
                <w:sz w:val="20"/>
                <w:szCs w:val="20"/>
              </w:rPr>
            </w:pPr>
            <w:r w:rsidRPr="00B34318">
              <w:rPr>
                <w:rFonts w:cstheme="minorHAnsi"/>
                <w:sz w:val="20"/>
                <w:szCs w:val="20"/>
              </w:rPr>
              <w:t>rezultat</w:t>
            </w:r>
          </w:p>
        </w:tc>
        <w:tc>
          <w:tcPr>
            <w:tcW w:w="1417" w:type="dxa"/>
            <w:tcBorders>
              <w:top w:val="single" w:sz="4" w:space="0" w:color="33CC33"/>
            </w:tcBorders>
            <w:vAlign w:val="center"/>
          </w:tcPr>
          <w:p w14:paraId="3829BF64" w14:textId="05CB4B5A" w:rsidR="00C97197" w:rsidRPr="00B34318" w:rsidRDefault="00C97197" w:rsidP="00C97197">
            <w:pPr>
              <w:spacing w:before="60" w:after="60"/>
              <w:jc w:val="center"/>
              <w:rPr>
                <w:rFonts w:cstheme="minorHAnsi"/>
                <w:sz w:val="20"/>
                <w:szCs w:val="20"/>
              </w:rPr>
            </w:pPr>
            <w:r w:rsidRPr="00B34318">
              <w:rPr>
                <w:rFonts w:cstheme="minorHAnsi"/>
                <w:sz w:val="20"/>
                <w:szCs w:val="20"/>
              </w:rPr>
              <w:t>kluczowy</w:t>
            </w:r>
          </w:p>
        </w:tc>
        <w:tc>
          <w:tcPr>
            <w:tcW w:w="1276" w:type="dxa"/>
            <w:tcBorders>
              <w:top w:val="single" w:sz="4" w:space="0" w:color="33CC33"/>
            </w:tcBorders>
            <w:vAlign w:val="center"/>
          </w:tcPr>
          <w:p w14:paraId="34E079B4" w14:textId="77777777" w:rsidR="00C97197" w:rsidRPr="00B34318" w:rsidRDefault="00C97197" w:rsidP="00C97197">
            <w:pPr>
              <w:spacing w:before="60" w:after="60"/>
              <w:jc w:val="center"/>
              <w:rPr>
                <w:rFonts w:cstheme="minorHAnsi"/>
                <w:sz w:val="20"/>
                <w:szCs w:val="20"/>
              </w:rPr>
            </w:pPr>
            <w:r w:rsidRPr="00B34318">
              <w:rPr>
                <w:rFonts w:cstheme="minorHAnsi"/>
                <w:sz w:val="20"/>
                <w:szCs w:val="20"/>
              </w:rPr>
              <w:t>Wskaźnik programowy</w:t>
            </w:r>
          </w:p>
          <w:p w14:paraId="22A9B19A" w14:textId="77777777" w:rsidR="00C97197" w:rsidRPr="00B34318" w:rsidRDefault="00C97197" w:rsidP="00C97197">
            <w:pPr>
              <w:spacing w:before="60" w:after="60"/>
              <w:jc w:val="center"/>
              <w:rPr>
                <w:rFonts w:cstheme="minorHAnsi"/>
                <w:sz w:val="20"/>
                <w:szCs w:val="20"/>
              </w:rPr>
            </w:pPr>
          </w:p>
          <w:p w14:paraId="34A04049" w14:textId="41D5CF4C" w:rsidR="00C97197" w:rsidRPr="00B34318" w:rsidRDefault="00C97197" w:rsidP="00C97197">
            <w:pPr>
              <w:spacing w:before="60" w:after="60"/>
              <w:jc w:val="center"/>
              <w:rPr>
                <w:rFonts w:cstheme="minorHAnsi"/>
                <w:sz w:val="20"/>
                <w:szCs w:val="20"/>
              </w:rPr>
            </w:pPr>
            <w:r w:rsidRPr="00B34318">
              <w:rPr>
                <w:rFonts w:cstheme="minorHAnsi"/>
                <w:sz w:val="20"/>
                <w:szCs w:val="20"/>
              </w:rPr>
              <w:lastRenderedPageBreak/>
              <w:t>Wskaźnik agregujący</w:t>
            </w:r>
          </w:p>
        </w:tc>
        <w:tc>
          <w:tcPr>
            <w:tcW w:w="5670" w:type="dxa"/>
            <w:tcBorders>
              <w:top w:val="single" w:sz="4" w:space="0" w:color="33CC33"/>
            </w:tcBorders>
          </w:tcPr>
          <w:p w14:paraId="02CF0C03" w14:textId="28A1EB74" w:rsidR="00C97197" w:rsidRPr="00B34318" w:rsidRDefault="00C97197" w:rsidP="00C97197">
            <w:pPr>
              <w:spacing w:before="60" w:after="60"/>
              <w:jc w:val="both"/>
              <w:rPr>
                <w:rFonts w:cstheme="minorHAnsi"/>
                <w:sz w:val="20"/>
                <w:szCs w:val="20"/>
              </w:rPr>
            </w:pPr>
            <w:r w:rsidRPr="00B34318">
              <w:rPr>
                <w:rFonts w:cstheme="minorHAnsi"/>
                <w:sz w:val="20"/>
                <w:szCs w:val="20"/>
              </w:rPr>
              <w:lastRenderedPageBreak/>
              <w:t xml:space="preserve">Całkowity wkład prywatny współfinansujący wspierane projekty, w których    wsparcie ma formę dotacji lub pochodzi z instrumentów finansowych. Wskaźnik obejmuje również niekwalifikowalną część kosztów projektu, w tym podatek VAT. W przypadku </w:t>
            </w:r>
            <w:r w:rsidRPr="00B34318">
              <w:rPr>
                <w:rFonts w:cstheme="minorHAnsi"/>
                <w:sz w:val="20"/>
                <w:szCs w:val="20"/>
              </w:rPr>
              <w:lastRenderedPageBreak/>
              <w:t>przedsiębiorstw państwowych wskaźnik obejmuje wkłady na współfinansowanie z ich własnego budżetu. Wskaźnik należy obliczyć na podstawie prywatnego współfinansowania przewidzianego w umowach o dofinansowanie.   W przypadku instrumentów finansowych ma on obejmować zarówno finansowanie prywatne przez pośrednika (zarządzającego funduszem), jak i ostatecznego odbiorcę.</w:t>
            </w:r>
          </w:p>
        </w:tc>
      </w:tr>
      <w:tr w:rsidR="00C97197" w:rsidRPr="004534FE" w14:paraId="5D170579" w14:textId="77777777" w:rsidTr="00F161B6">
        <w:trPr>
          <w:trHeight w:val="1683"/>
        </w:trPr>
        <w:tc>
          <w:tcPr>
            <w:tcW w:w="552" w:type="dxa"/>
            <w:vAlign w:val="center"/>
          </w:tcPr>
          <w:p w14:paraId="65BAB4B4" w14:textId="04F93FEA" w:rsidR="00C97197" w:rsidRPr="007F14ED" w:rsidRDefault="007F2586" w:rsidP="00C97197">
            <w:pPr>
              <w:spacing w:before="60" w:after="60"/>
              <w:jc w:val="center"/>
              <w:rPr>
                <w:rFonts w:cstheme="minorHAnsi"/>
                <w:sz w:val="20"/>
                <w:szCs w:val="20"/>
              </w:rPr>
            </w:pPr>
            <w:r>
              <w:rPr>
                <w:rFonts w:cstheme="minorHAnsi"/>
                <w:sz w:val="20"/>
                <w:szCs w:val="20"/>
              </w:rPr>
              <w:lastRenderedPageBreak/>
              <w:t>4</w:t>
            </w:r>
            <w:r w:rsidR="00C97197">
              <w:rPr>
                <w:rFonts w:cstheme="minorHAnsi"/>
                <w:sz w:val="20"/>
                <w:szCs w:val="20"/>
              </w:rPr>
              <w:t>a</w:t>
            </w:r>
            <w:r w:rsidR="00C97197" w:rsidRPr="007F14ED">
              <w:rPr>
                <w:rFonts w:cstheme="minorHAnsi"/>
                <w:sz w:val="20"/>
                <w:szCs w:val="20"/>
              </w:rPr>
              <w:t>.</w:t>
            </w:r>
          </w:p>
        </w:tc>
        <w:tc>
          <w:tcPr>
            <w:tcW w:w="2977" w:type="dxa"/>
            <w:vAlign w:val="center"/>
          </w:tcPr>
          <w:p w14:paraId="27B963E0" w14:textId="77777777" w:rsidR="00C97197" w:rsidRPr="007F14ED" w:rsidRDefault="00C97197" w:rsidP="00C97197">
            <w:pPr>
              <w:spacing w:before="60" w:after="60"/>
              <w:rPr>
                <w:rFonts w:cstheme="minorHAnsi"/>
                <w:i/>
                <w:sz w:val="20"/>
                <w:szCs w:val="20"/>
              </w:rPr>
            </w:pPr>
            <w:r w:rsidRPr="007F14ED">
              <w:rPr>
                <w:rFonts w:cstheme="minorHAnsi"/>
                <w:i/>
                <w:sz w:val="20"/>
                <w:szCs w:val="20"/>
              </w:rPr>
              <w:t>Wartość inwestycji prywatnych uzupełniających wsparcie publiczne - dotacje</w:t>
            </w:r>
          </w:p>
          <w:p w14:paraId="46B34ADC" w14:textId="29C57611" w:rsidR="00C97197" w:rsidRPr="007F14ED" w:rsidRDefault="00C97197" w:rsidP="00C97197">
            <w:pPr>
              <w:spacing w:before="60" w:after="60"/>
              <w:rPr>
                <w:rFonts w:cstheme="minorHAnsi"/>
                <w:i/>
                <w:sz w:val="20"/>
                <w:szCs w:val="20"/>
              </w:rPr>
            </w:pPr>
          </w:p>
        </w:tc>
        <w:tc>
          <w:tcPr>
            <w:tcW w:w="1134" w:type="dxa"/>
            <w:vAlign w:val="center"/>
          </w:tcPr>
          <w:p w14:paraId="674BC238" w14:textId="0E3958A0" w:rsidR="00C97197" w:rsidRPr="007F14ED" w:rsidRDefault="00C97197" w:rsidP="00C97197">
            <w:pPr>
              <w:spacing w:before="60" w:after="60"/>
              <w:jc w:val="center"/>
              <w:rPr>
                <w:rFonts w:cstheme="minorHAnsi"/>
                <w:sz w:val="20"/>
                <w:szCs w:val="20"/>
              </w:rPr>
            </w:pPr>
            <w:r w:rsidRPr="007F14ED">
              <w:rPr>
                <w:rFonts w:cstheme="minorHAnsi"/>
                <w:sz w:val="20"/>
                <w:szCs w:val="20"/>
              </w:rPr>
              <w:t>PLN</w:t>
            </w:r>
          </w:p>
        </w:tc>
        <w:tc>
          <w:tcPr>
            <w:tcW w:w="1418" w:type="dxa"/>
            <w:vAlign w:val="center"/>
          </w:tcPr>
          <w:p w14:paraId="6066D88D" w14:textId="4909BA35" w:rsidR="00C97197" w:rsidRPr="007F14ED" w:rsidRDefault="00C97197" w:rsidP="00C97197">
            <w:pPr>
              <w:spacing w:before="60" w:after="60"/>
              <w:jc w:val="center"/>
              <w:rPr>
                <w:rFonts w:cstheme="minorHAnsi"/>
                <w:sz w:val="20"/>
                <w:szCs w:val="20"/>
              </w:rPr>
            </w:pPr>
            <w:r w:rsidRPr="007F14ED">
              <w:rPr>
                <w:rFonts w:cstheme="minorHAnsi"/>
                <w:sz w:val="20"/>
                <w:szCs w:val="20"/>
              </w:rPr>
              <w:t>rezultat</w:t>
            </w:r>
          </w:p>
        </w:tc>
        <w:tc>
          <w:tcPr>
            <w:tcW w:w="1417" w:type="dxa"/>
            <w:vAlign w:val="center"/>
          </w:tcPr>
          <w:p w14:paraId="648E7CE0" w14:textId="2F058C8D" w:rsidR="00C97197" w:rsidRPr="007F14ED" w:rsidRDefault="00C97197" w:rsidP="00C97197">
            <w:pPr>
              <w:spacing w:before="60" w:after="60"/>
              <w:jc w:val="center"/>
              <w:rPr>
                <w:rFonts w:cstheme="minorHAnsi"/>
                <w:sz w:val="20"/>
                <w:szCs w:val="20"/>
              </w:rPr>
            </w:pPr>
            <w:r>
              <w:rPr>
                <w:rFonts w:cstheme="minorHAnsi"/>
                <w:sz w:val="20"/>
                <w:szCs w:val="20"/>
              </w:rPr>
              <w:t>kluczowy</w:t>
            </w:r>
          </w:p>
        </w:tc>
        <w:tc>
          <w:tcPr>
            <w:tcW w:w="1276" w:type="dxa"/>
            <w:vAlign w:val="center"/>
          </w:tcPr>
          <w:p w14:paraId="49598D8B" w14:textId="533404B8" w:rsidR="00C97197" w:rsidRPr="007F14ED" w:rsidRDefault="00C97197" w:rsidP="00C97197">
            <w:pPr>
              <w:spacing w:before="60" w:after="60"/>
              <w:jc w:val="center"/>
              <w:rPr>
                <w:rFonts w:cstheme="minorHAnsi"/>
                <w:sz w:val="20"/>
                <w:szCs w:val="20"/>
              </w:rPr>
            </w:pPr>
            <w:r w:rsidRPr="007F14ED">
              <w:rPr>
                <w:rFonts w:cstheme="minorHAnsi"/>
                <w:sz w:val="20"/>
                <w:szCs w:val="20"/>
              </w:rPr>
              <w:t>-</w:t>
            </w:r>
          </w:p>
        </w:tc>
        <w:tc>
          <w:tcPr>
            <w:tcW w:w="5670" w:type="dxa"/>
          </w:tcPr>
          <w:p w14:paraId="0B97E41E" w14:textId="0DA5EF5F" w:rsidR="00C97197" w:rsidRPr="007F14ED" w:rsidRDefault="00C97197" w:rsidP="00C97197">
            <w:pPr>
              <w:spacing w:before="60" w:after="60"/>
              <w:jc w:val="both"/>
              <w:rPr>
                <w:rFonts w:cstheme="minorHAnsi"/>
                <w:sz w:val="20"/>
                <w:szCs w:val="20"/>
              </w:rPr>
            </w:pPr>
            <w:r w:rsidRPr="007F14ED">
              <w:rPr>
                <w:rFonts w:cstheme="minorHAnsi"/>
                <w:sz w:val="20"/>
                <w:szCs w:val="20"/>
              </w:rPr>
              <w:t>Wskaźnik mierzy całkowity wkład prywatny współfinansujący wspierane projekty, w przypadku których formą wsparcia jest dotacja. Wskaźnik obejmuje również niekwalifikowalną część kosztów projektu, w tym podatek VAT. W przypadku projektów realizowanych przez przedsiębiorstwa państwowe, do wartości wskaźnika wliczany jest wkład własny tego przedsiębiorstwa.   Wskaźnik powinien być obliczany na podstawie współfinansowania prywatnego przewidzianego w umowach o dofinansowanie dla wspieranych projektów.</w:t>
            </w:r>
          </w:p>
        </w:tc>
      </w:tr>
      <w:tr w:rsidR="00E838FE" w:rsidRPr="004534FE" w14:paraId="71FEA6C3" w14:textId="77777777" w:rsidTr="009C1E3C">
        <w:trPr>
          <w:trHeight w:val="625"/>
        </w:trPr>
        <w:tc>
          <w:tcPr>
            <w:tcW w:w="552" w:type="dxa"/>
            <w:vAlign w:val="center"/>
          </w:tcPr>
          <w:p w14:paraId="4A46277A" w14:textId="7E769556" w:rsidR="00E838FE" w:rsidRDefault="007F2586" w:rsidP="00E838FE">
            <w:pPr>
              <w:spacing w:before="60" w:after="60"/>
              <w:jc w:val="center"/>
              <w:rPr>
                <w:rFonts w:cstheme="minorHAnsi"/>
                <w:sz w:val="20"/>
                <w:szCs w:val="20"/>
              </w:rPr>
            </w:pPr>
            <w:r>
              <w:rPr>
                <w:rFonts w:cstheme="minorHAnsi"/>
                <w:sz w:val="20"/>
                <w:szCs w:val="20"/>
              </w:rPr>
              <w:t>5</w:t>
            </w:r>
            <w:r w:rsidR="00E838FE">
              <w:rPr>
                <w:rFonts w:cstheme="minorHAnsi"/>
                <w:sz w:val="20"/>
                <w:szCs w:val="20"/>
              </w:rPr>
              <w:t>.</w:t>
            </w:r>
          </w:p>
        </w:tc>
        <w:tc>
          <w:tcPr>
            <w:tcW w:w="2977" w:type="dxa"/>
            <w:vAlign w:val="center"/>
          </w:tcPr>
          <w:p w14:paraId="00655C00" w14:textId="5A2BD3AF" w:rsidR="00E838FE" w:rsidRPr="007F14ED" w:rsidRDefault="00E838FE" w:rsidP="00E838FE">
            <w:pPr>
              <w:spacing w:before="60" w:after="60"/>
              <w:rPr>
                <w:rFonts w:cstheme="minorHAnsi"/>
                <w:i/>
                <w:sz w:val="20"/>
                <w:szCs w:val="20"/>
              </w:rPr>
            </w:pPr>
            <w:r w:rsidRPr="009C1E3C">
              <w:rPr>
                <w:rFonts w:cstheme="minorHAnsi"/>
                <w:i/>
                <w:sz w:val="20"/>
                <w:szCs w:val="20"/>
              </w:rPr>
              <w:t>Małe i średnie przedsiębiorstwa (MŚP) wprowadzające innowacje produktowe lub procesowe</w:t>
            </w:r>
          </w:p>
        </w:tc>
        <w:tc>
          <w:tcPr>
            <w:tcW w:w="1134" w:type="dxa"/>
            <w:vAlign w:val="center"/>
          </w:tcPr>
          <w:p w14:paraId="4B8715F6" w14:textId="2828C494"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18624D6C" w14:textId="3F0A20B5" w:rsidR="00E838FE" w:rsidRPr="007F14ED"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0E40DBF0" w14:textId="0295896A" w:rsidR="00E838FE"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69424666" w14:textId="17FF9C63" w:rsidR="00E838FE" w:rsidRPr="007F14ED" w:rsidRDefault="00E838FE" w:rsidP="00E838FE">
            <w:pPr>
              <w:spacing w:before="60" w:after="60"/>
              <w:jc w:val="center"/>
              <w:rPr>
                <w:rFonts w:cstheme="minorHAnsi"/>
                <w:sz w:val="20"/>
                <w:szCs w:val="20"/>
              </w:rPr>
            </w:pPr>
            <w:r w:rsidRPr="007F14ED">
              <w:rPr>
                <w:rFonts w:cstheme="minorHAnsi"/>
                <w:sz w:val="20"/>
                <w:szCs w:val="20"/>
              </w:rPr>
              <w:t>Wskaźnik agregujący</w:t>
            </w:r>
          </w:p>
        </w:tc>
        <w:tc>
          <w:tcPr>
            <w:tcW w:w="5670" w:type="dxa"/>
          </w:tcPr>
          <w:p w14:paraId="2E93AA72" w14:textId="780E5E74" w:rsidR="00E838FE" w:rsidRPr="007F14ED" w:rsidRDefault="00E838FE" w:rsidP="00E838FE">
            <w:pPr>
              <w:spacing w:before="60" w:after="60"/>
              <w:jc w:val="both"/>
              <w:rPr>
                <w:rFonts w:cstheme="minorHAnsi"/>
                <w:sz w:val="20"/>
                <w:szCs w:val="20"/>
              </w:rPr>
            </w:pPr>
            <w:r w:rsidRPr="009C1E3C">
              <w:rPr>
                <w:rFonts w:cstheme="minorHAnsi"/>
                <w:sz w:val="20"/>
                <w:szCs w:val="20"/>
              </w:rPr>
              <w:t xml:space="preserve">Liczba MŚP wprowadzających innowacje produktowe lub procesowe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mogą być pierwotnie opracowane przez wspierane przedsiębiorstwa lub przez inne przedsiębiorstwa lub organizacje.   </w:t>
            </w:r>
            <w:r w:rsidRPr="007F14ED">
              <w:rPr>
                <w:rFonts w:cstheme="minorHAnsi"/>
                <w:sz w:val="20"/>
                <w:szCs w:val="20"/>
              </w:rPr>
              <w:t>Definicja przedsiębiorstwa znajduje się we wskaźniku</w:t>
            </w:r>
            <w:r w:rsidRPr="007F14ED">
              <w:rPr>
                <w:rFonts w:cstheme="minorHAnsi"/>
                <w:i/>
                <w:sz w:val="20"/>
                <w:szCs w:val="20"/>
              </w:rPr>
              <w:t xml:space="preserve"> 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p>
        </w:tc>
      </w:tr>
      <w:tr w:rsidR="00E838FE" w:rsidRPr="004534FE" w14:paraId="469F0866" w14:textId="77777777" w:rsidTr="00CA3565">
        <w:trPr>
          <w:trHeight w:val="1547"/>
        </w:trPr>
        <w:tc>
          <w:tcPr>
            <w:tcW w:w="552" w:type="dxa"/>
            <w:vAlign w:val="center"/>
          </w:tcPr>
          <w:p w14:paraId="17744873" w14:textId="4D4D9B6B" w:rsidR="00E838FE" w:rsidRDefault="007F2586" w:rsidP="00E838FE">
            <w:pPr>
              <w:spacing w:before="60" w:after="60"/>
              <w:jc w:val="center"/>
              <w:rPr>
                <w:rFonts w:cstheme="minorHAnsi"/>
                <w:sz w:val="20"/>
                <w:szCs w:val="20"/>
              </w:rPr>
            </w:pPr>
            <w:r>
              <w:rPr>
                <w:rFonts w:cstheme="minorHAnsi"/>
                <w:sz w:val="20"/>
                <w:szCs w:val="20"/>
              </w:rPr>
              <w:lastRenderedPageBreak/>
              <w:t>5</w:t>
            </w:r>
            <w:r w:rsidR="00E838FE">
              <w:rPr>
                <w:rFonts w:cstheme="minorHAnsi"/>
                <w:sz w:val="20"/>
                <w:szCs w:val="20"/>
              </w:rPr>
              <w:t>a.</w:t>
            </w:r>
          </w:p>
        </w:tc>
        <w:tc>
          <w:tcPr>
            <w:tcW w:w="2977" w:type="dxa"/>
            <w:vAlign w:val="center"/>
          </w:tcPr>
          <w:p w14:paraId="630C2FC1" w14:textId="584EF362" w:rsidR="00E838FE" w:rsidRPr="009C1E3C" w:rsidRDefault="00E838FE" w:rsidP="00E838FE">
            <w:pPr>
              <w:spacing w:before="60" w:after="60"/>
              <w:rPr>
                <w:rFonts w:cstheme="minorHAnsi"/>
                <w:i/>
                <w:sz w:val="20"/>
                <w:szCs w:val="20"/>
              </w:rPr>
            </w:pPr>
            <w:r w:rsidRPr="009C1E3C">
              <w:rPr>
                <w:rFonts w:cstheme="minorHAnsi"/>
                <w:i/>
                <w:sz w:val="20"/>
                <w:szCs w:val="20"/>
              </w:rPr>
              <w:t>Małe i średnie przedsiębiorstwa (MŚP) wprowadzające innowacje produktowe</w:t>
            </w:r>
          </w:p>
        </w:tc>
        <w:tc>
          <w:tcPr>
            <w:tcW w:w="1134" w:type="dxa"/>
            <w:vAlign w:val="center"/>
          </w:tcPr>
          <w:p w14:paraId="6590DFFE" w14:textId="68B2B6F6"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01EE0E29" w14:textId="2B21D7E8" w:rsidR="00E838FE" w:rsidRPr="007F14ED"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24A1EA2D" w14:textId="4C649F45" w:rsidR="00E838FE"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72A18B6D" w14:textId="4B3EF88D" w:rsidR="00E838FE" w:rsidRPr="007F14ED"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3A6EC597" w14:textId="1A3EF2BB" w:rsidR="00E838FE" w:rsidRPr="007F14ED" w:rsidRDefault="00E838FE" w:rsidP="00E838FE">
            <w:pPr>
              <w:spacing w:before="60" w:after="60"/>
              <w:jc w:val="both"/>
              <w:rPr>
                <w:rFonts w:cstheme="minorHAnsi"/>
                <w:sz w:val="20"/>
                <w:szCs w:val="20"/>
              </w:rPr>
            </w:pPr>
            <w:r w:rsidRPr="009C1E3C">
              <w:rPr>
                <w:rFonts w:cstheme="minorHAnsi"/>
                <w:sz w:val="20"/>
                <w:szCs w:val="20"/>
              </w:rPr>
              <w:t>Liczba przedsiębiorstw MŚP wprowadzających innowacje produktowe w przedsiębiorstwie w wyniku realizacji projektu. Innowacja produktowa to produkt lub usługa, które są nowe lub znacząco ulepszone w zakresie swoich cech lub zastosowań (np. specyfikacja techniczna, komponenty, materiały, t</w:t>
            </w:r>
            <w:r w:rsidR="004E0EC9">
              <w:rPr>
                <w:rFonts w:cstheme="minorHAnsi"/>
                <w:sz w:val="20"/>
                <w:szCs w:val="20"/>
              </w:rPr>
              <w:t>r</w:t>
            </w:r>
            <w:r w:rsidRPr="009C1E3C">
              <w:rPr>
                <w:rFonts w:cstheme="minorHAnsi"/>
                <w:sz w:val="20"/>
                <w:szCs w:val="20"/>
              </w:rPr>
              <w:t>wałość lub inne cechy funkcjonalne).</w:t>
            </w:r>
          </w:p>
        </w:tc>
      </w:tr>
      <w:tr w:rsidR="00E838FE" w:rsidRPr="004534FE" w14:paraId="3970CB98" w14:textId="77777777" w:rsidTr="00CA3565">
        <w:trPr>
          <w:trHeight w:val="1273"/>
        </w:trPr>
        <w:tc>
          <w:tcPr>
            <w:tcW w:w="552" w:type="dxa"/>
            <w:vAlign w:val="center"/>
          </w:tcPr>
          <w:p w14:paraId="78D9D043" w14:textId="62C62B4F" w:rsidR="00E838FE" w:rsidRDefault="007F2586" w:rsidP="00E838FE">
            <w:pPr>
              <w:spacing w:before="60" w:after="60"/>
              <w:jc w:val="center"/>
              <w:rPr>
                <w:rFonts w:cstheme="minorHAnsi"/>
                <w:sz w:val="20"/>
                <w:szCs w:val="20"/>
              </w:rPr>
            </w:pPr>
            <w:r>
              <w:rPr>
                <w:rFonts w:cstheme="minorHAnsi"/>
                <w:sz w:val="20"/>
                <w:szCs w:val="20"/>
              </w:rPr>
              <w:t>5</w:t>
            </w:r>
            <w:r w:rsidR="00E838FE">
              <w:rPr>
                <w:rFonts w:cstheme="minorHAnsi"/>
                <w:sz w:val="20"/>
                <w:szCs w:val="20"/>
              </w:rPr>
              <w:t>b.</w:t>
            </w:r>
          </w:p>
        </w:tc>
        <w:tc>
          <w:tcPr>
            <w:tcW w:w="2977" w:type="dxa"/>
            <w:vAlign w:val="center"/>
          </w:tcPr>
          <w:p w14:paraId="571795AC" w14:textId="0E8D41F8" w:rsidR="00E838FE" w:rsidRPr="009C1E3C" w:rsidRDefault="00E838FE" w:rsidP="00E838FE">
            <w:pPr>
              <w:spacing w:before="60" w:after="60"/>
              <w:rPr>
                <w:rFonts w:cstheme="minorHAnsi"/>
                <w:i/>
                <w:sz w:val="20"/>
                <w:szCs w:val="20"/>
              </w:rPr>
            </w:pPr>
            <w:r w:rsidRPr="009C1E3C">
              <w:rPr>
                <w:rFonts w:cstheme="minorHAnsi"/>
                <w:i/>
                <w:sz w:val="20"/>
                <w:szCs w:val="20"/>
              </w:rPr>
              <w:t>Małe i średnie przedsiębiorstwa (MŚP) wprowadzające innowacje procesowe</w:t>
            </w:r>
          </w:p>
        </w:tc>
        <w:tc>
          <w:tcPr>
            <w:tcW w:w="1134" w:type="dxa"/>
            <w:vAlign w:val="center"/>
          </w:tcPr>
          <w:p w14:paraId="3ED5C0B9" w14:textId="603A42EA"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294F5FDC" w14:textId="3625F76E" w:rsidR="00E838FE" w:rsidRPr="007F14ED"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651D4EEA" w14:textId="69920A6E" w:rsidR="00E838FE"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3069589A" w14:textId="22A70524" w:rsidR="00E838FE" w:rsidRPr="007F14ED"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5478CD82" w14:textId="3FD70D2A" w:rsidR="00E838FE" w:rsidRPr="007F14ED" w:rsidRDefault="00E838FE" w:rsidP="00E838FE">
            <w:pPr>
              <w:spacing w:before="60" w:after="60"/>
              <w:jc w:val="both"/>
              <w:rPr>
                <w:rFonts w:cstheme="minorHAnsi"/>
                <w:sz w:val="20"/>
                <w:szCs w:val="20"/>
              </w:rPr>
            </w:pPr>
            <w:r w:rsidRPr="009C1E3C">
              <w:rPr>
                <w:rFonts w:cstheme="minorHAnsi"/>
                <w:sz w:val="20"/>
                <w:szCs w:val="20"/>
              </w:rPr>
              <w:t>Liczba przedsiębiorstw MŚP wprowadzających innowacje procesowe w przedsiębiorstwie w wyniku realizacji projektu. Innowacja procesowa to wdrożenie nowego lub znacząco ulepszonego procesu produkcyjnego, metody dystrybucji lub działalności wspierającej.</w:t>
            </w:r>
          </w:p>
        </w:tc>
      </w:tr>
      <w:tr w:rsidR="00E838FE" w:rsidRPr="004534FE" w14:paraId="75359DDE" w14:textId="77777777" w:rsidTr="00CA3565">
        <w:trPr>
          <w:trHeight w:val="767"/>
        </w:trPr>
        <w:tc>
          <w:tcPr>
            <w:tcW w:w="552" w:type="dxa"/>
            <w:vAlign w:val="center"/>
          </w:tcPr>
          <w:p w14:paraId="1C3A3881" w14:textId="53811F11" w:rsidR="00E838FE" w:rsidRDefault="007F2586" w:rsidP="00E838FE">
            <w:pPr>
              <w:spacing w:before="60" w:after="60"/>
              <w:jc w:val="center"/>
              <w:rPr>
                <w:rFonts w:cstheme="minorHAnsi"/>
                <w:sz w:val="20"/>
                <w:szCs w:val="20"/>
              </w:rPr>
            </w:pPr>
            <w:r>
              <w:rPr>
                <w:rFonts w:cstheme="minorHAnsi"/>
                <w:sz w:val="20"/>
                <w:szCs w:val="20"/>
              </w:rPr>
              <w:t>6</w:t>
            </w:r>
            <w:r w:rsidR="00E838FE">
              <w:rPr>
                <w:rFonts w:cstheme="minorHAnsi"/>
                <w:sz w:val="20"/>
                <w:szCs w:val="20"/>
              </w:rPr>
              <w:t>.</w:t>
            </w:r>
          </w:p>
        </w:tc>
        <w:tc>
          <w:tcPr>
            <w:tcW w:w="2977" w:type="dxa"/>
            <w:vAlign w:val="center"/>
          </w:tcPr>
          <w:p w14:paraId="00966D61" w14:textId="51ABBFF1" w:rsidR="00E838FE" w:rsidRPr="009C1E3C" w:rsidRDefault="00E838FE" w:rsidP="00E838FE">
            <w:pPr>
              <w:spacing w:before="60" w:after="60"/>
              <w:rPr>
                <w:rFonts w:cstheme="minorHAnsi"/>
                <w:i/>
                <w:sz w:val="20"/>
                <w:szCs w:val="20"/>
              </w:rPr>
            </w:pPr>
            <w:r w:rsidRPr="00CA3565">
              <w:rPr>
                <w:rFonts w:cstheme="minorHAnsi"/>
                <w:i/>
                <w:sz w:val="20"/>
                <w:szCs w:val="20"/>
              </w:rPr>
              <w:t>MŚP wprowadzające innowacje marketingowe lub organizacyjne</w:t>
            </w:r>
          </w:p>
        </w:tc>
        <w:tc>
          <w:tcPr>
            <w:tcW w:w="1134" w:type="dxa"/>
            <w:vAlign w:val="center"/>
          </w:tcPr>
          <w:p w14:paraId="25EEE4C7" w14:textId="619A6EC0"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58CB6528" w14:textId="7C97B3B5"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0DF4A416" w14:textId="62D61F89"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7D47950A" w14:textId="003494FB" w:rsidR="00E838FE" w:rsidRDefault="00E838FE" w:rsidP="00E838FE">
            <w:pPr>
              <w:spacing w:before="60" w:after="60"/>
              <w:jc w:val="center"/>
              <w:rPr>
                <w:rFonts w:cstheme="minorHAnsi"/>
                <w:sz w:val="20"/>
                <w:szCs w:val="20"/>
              </w:rPr>
            </w:pPr>
            <w:r w:rsidRPr="007F14ED">
              <w:rPr>
                <w:rFonts w:cstheme="minorHAnsi"/>
                <w:sz w:val="20"/>
                <w:szCs w:val="20"/>
              </w:rPr>
              <w:t>Wskaźnik agregujący</w:t>
            </w:r>
          </w:p>
        </w:tc>
        <w:tc>
          <w:tcPr>
            <w:tcW w:w="5670" w:type="dxa"/>
          </w:tcPr>
          <w:p w14:paraId="3E2D918D" w14:textId="162C5CE8" w:rsidR="00E838FE" w:rsidRPr="009C1E3C" w:rsidRDefault="00E838FE" w:rsidP="00E838FE">
            <w:pPr>
              <w:spacing w:before="60" w:after="60"/>
              <w:jc w:val="both"/>
              <w:rPr>
                <w:rFonts w:cstheme="minorHAnsi"/>
                <w:sz w:val="20"/>
                <w:szCs w:val="20"/>
              </w:rPr>
            </w:pPr>
            <w:r w:rsidRPr="00CA3565">
              <w:rPr>
                <w:rFonts w:cstheme="minorHAnsi"/>
                <w:sz w:val="20"/>
                <w:szCs w:val="20"/>
              </w:rPr>
              <w:t xml:space="preserve">Liczba MŚP wprowadzających innowacje marketingowe lub organizacyjne dzięki udzielonemu wsparciu. Wskaźnik obejmuje również mikroprzedsiębiorstwa. Innowacja marketingowa to wdrożenie nowej koncepcji lub strategii marketingowej, która różni się istotnie od dotychczasowych metod marketingowych przedsiębiorstwa i która nie była wcześniej stosowana. Wymaga ona znaczących zmian w projekcie lub opakowaniu produktu, lokowaniu produktu, promocji produktu lub cenie. Wskaźnik nie obejmuje sezonowych, regularnych lub innych rutynowych zmian w metodach marketingowych.   Innowacja organizacyjna to nowa metoda organizacyjna w praktykach biznesowych przedsiębiorstwa (w tym zarządzaniu wiedzą). Innowacja organizacyjna musi być wynikiem strategicznych decyzji kierownictwa oraz musi być wdrażana przy wsparciu projektu. Wskaźnik nie obejmuje fuzji lub przejęć, nawet jeśli zostały przeprowadzone po raz pierwszy.    Definicja przedsiębiorstwa </w:t>
            </w:r>
            <w:r>
              <w:rPr>
                <w:rFonts w:cstheme="minorHAnsi"/>
                <w:sz w:val="20"/>
                <w:szCs w:val="20"/>
              </w:rPr>
              <w:t xml:space="preserve">znajduje się we wskaźniku:  </w:t>
            </w:r>
            <w:r w:rsidRPr="007F14ED">
              <w:rPr>
                <w:rFonts w:cstheme="minorHAnsi"/>
                <w:i/>
                <w:sz w:val="20"/>
                <w:szCs w:val="20"/>
              </w:rPr>
              <w:t xml:space="preserve">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r>
              <w:rPr>
                <w:rFonts w:cstheme="minorHAnsi"/>
                <w:i/>
                <w:sz w:val="20"/>
                <w:szCs w:val="20"/>
              </w:rPr>
              <w:t>.</w:t>
            </w:r>
          </w:p>
        </w:tc>
      </w:tr>
      <w:tr w:rsidR="00E838FE" w:rsidRPr="004534FE" w14:paraId="610737D1" w14:textId="77777777" w:rsidTr="00CA3565">
        <w:trPr>
          <w:trHeight w:val="483"/>
        </w:trPr>
        <w:tc>
          <w:tcPr>
            <w:tcW w:w="552" w:type="dxa"/>
            <w:vAlign w:val="center"/>
          </w:tcPr>
          <w:p w14:paraId="59440474" w14:textId="5D410433" w:rsidR="00E838FE" w:rsidRDefault="007F2586" w:rsidP="00E838FE">
            <w:pPr>
              <w:spacing w:before="60" w:after="60"/>
              <w:jc w:val="center"/>
              <w:rPr>
                <w:rFonts w:cstheme="minorHAnsi"/>
                <w:sz w:val="20"/>
                <w:szCs w:val="20"/>
              </w:rPr>
            </w:pPr>
            <w:r>
              <w:rPr>
                <w:rFonts w:cstheme="minorHAnsi"/>
                <w:sz w:val="20"/>
                <w:szCs w:val="20"/>
              </w:rPr>
              <w:lastRenderedPageBreak/>
              <w:t>6</w:t>
            </w:r>
            <w:r w:rsidR="00E838FE">
              <w:rPr>
                <w:rFonts w:cstheme="minorHAnsi"/>
                <w:sz w:val="20"/>
                <w:szCs w:val="20"/>
              </w:rPr>
              <w:t>a.</w:t>
            </w:r>
          </w:p>
        </w:tc>
        <w:tc>
          <w:tcPr>
            <w:tcW w:w="2977" w:type="dxa"/>
            <w:vAlign w:val="center"/>
          </w:tcPr>
          <w:p w14:paraId="216BC75C" w14:textId="476E3063" w:rsidR="00E838FE" w:rsidRPr="009C1E3C" w:rsidRDefault="00E838FE" w:rsidP="00E838FE">
            <w:pPr>
              <w:spacing w:before="60" w:after="60"/>
              <w:rPr>
                <w:rFonts w:cstheme="minorHAnsi"/>
                <w:i/>
                <w:sz w:val="20"/>
                <w:szCs w:val="20"/>
              </w:rPr>
            </w:pPr>
            <w:r w:rsidRPr="00CA3565">
              <w:rPr>
                <w:rFonts w:cstheme="minorHAnsi"/>
                <w:i/>
                <w:sz w:val="20"/>
                <w:szCs w:val="20"/>
              </w:rPr>
              <w:t>MŚP wprowadzające innowacje marketingowe</w:t>
            </w:r>
          </w:p>
        </w:tc>
        <w:tc>
          <w:tcPr>
            <w:tcW w:w="1134" w:type="dxa"/>
            <w:vAlign w:val="center"/>
          </w:tcPr>
          <w:p w14:paraId="3ECBD982" w14:textId="044E0C28"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2D6415D6" w14:textId="41351CB1" w:rsidR="00E838FE" w:rsidRPr="007F14ED"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73A682C3" w14:textId="2D9A9B0D" w:rsidR="00E838FE"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55F372BE" w14:textId="1F3B1904" w:rsidR="00E838FE" w:rsidRPr="007F14ED"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7785BF42" w14:textId="6DD4A1B8" w:rsidR="00E838FE" w:rsidRPr="007F14ED" w:rsidRDefault="00E838FE" w:rsidP="00E838FE">
            <w:pPr>
              <w:spacing w:before="60" w:after="60"/>
              <w:jc w:val="both"/>
              <w:rPr>
                <w:rFonts w:cstheme="minorHAnsi"/>
                <w:sz w:val="20"/>
                <w:szCs w:val="20"/>
              </w:rPr>
            </w:pPr>
            <w:r w:rsidRPr="00CA3565">
              <w:rPr>
                <w:rFonts w:cstheme="minorHAnsi"/>
                <w:sz w:val="20"/>
                <w:szCs w:val="20"/>
              </w:rPr>
              <w:t>Liczba MŚP wprowadzających innowacje marketingowe dzięki udzielonemu wsparciu. Wskaźnik obejmuje również mikroprzedsiębiorstwa. Innowacja marketingowa to wdrożenie nowej koncepcji lub strategii marketingowej, która różni się istotnie od dotychczasowych metod marketingowych przedsiębiorstwa i która nie była wcześniej stosowana. Wymaga ona znaczących zmian w projekcie lub opakowaniu produktu, lokowaniu produktu, promocji produktu lub cenie. Wskaźnik nie obejmuje sezonowych, regularnych lub innych rutynowych zmian w metodach marketingowych</w:t>
            </w:r>
            <w:r>
              <w:rPr>
                <w:rFonts w:cstheme="minorHAnsi"/>
                <w:sz w:val="20"/>
                <w:szCs w:val="20"/>
              </w:rPr>
              <w:t>.</w:t>
            </w:r>
          </w:p>
        </w:tc>
      </w:tr>
      <w:tr w:rsidR="00E838FE" w:rsidRPr="004534FE" w14:paraId="07E99B06" w14:textId="77777777" w:rsidTr="00F161B6">
        <w:trPr>
          <w:trHeight w:val="1683"/>
        </w:trPr>
        <w:tc>
          <w:tcPr>
            <w:tcW w:w="552" w:type="dxa"/>
            <w:vAlign w:val="center"/>
          </w:tcPr>
          <w:p w14:paraId="13CBD3DE" w14:textId="18DC0D81" w:rsidR="00E838FE" w:rsidRDefault="007F2586" w:rsidP="00E838FE">
            <w:pPr>
              <w:spacing w:before="60" w:after="60"/>
              <w:jc w:val="center"/>
              <w:rPr>
                <w:rFonts w:cstheme="minorHAnsi"/>
                <w:sz w:val="20"/>
                <w:szCs w:val="20"/>
              </w:rPr>
            </w:pPr>
            <w:r>
              <w:rPr>
                <w:rFonts w:cstheme="minorHAnsi"/>
                <w:sz w:val="20"/>
                <w:szCs w:val="20"/>
              </w:rPr>
              <w:t>6</w:t>
            </w:r>
            <w:r w:rsidR="00E838FE">
              <w:rPr>
                <w:rFonts w:cstheme="minorHAnsi"/>
                <w:sz w:val="20"/>
                <w:szCs w:val="20"/>
              </w:rPr>
              <w:t>b.</w:t>
            </w:r>
          </w:p>
        </w:tc>
        <w:tc>
          <w:tcPr>
            <w:tcW w:w="2977" w:type="dxa"/>
            <w:vAlign w:val="center"/>
          </w:tcPr>
          <w:p w14:paraId="0D8BA353" w14:textId="6E09AABA" w:rsidR="00E838FE" w:rsidRPr="009C1E3C" w:rsidRDefault="00E838FE" w:rsidP="00E838FE">
            <w:pPr>
              <w:spacing w:before="60" w:after="60"/>
              <w:rPr>
                <w:rFonts w:cstheme="minorHAnsi"/>
                <w:i/>
                <w:sz w:val="20"/>
                <w:szCs w:val="20"/>
              </w:rPr>
            </w:pPr>
            <w:r w:rsidRPr="00CA3565">
              <w:rPr>
                <w:rFonts w:cstheme="minorHAnsi"/>
                <w:i/>
                <w:sz w:val="20"/>
                <w:szCs w:val="20"/>
              </w:rPr>
              <w:t>MŚP wprowadzające innowacje organizacyjne</w:t>
            </w:r>
          </w:p>
        </w:tc>
        <w:tc>
          <w:tcPr>
            <w:tcW w:w="1134" w:type="dxa"/>
            <w:vAlign w:val="center"/>
          </w:tcPr>
          <w:p w14:paraId="4105590E" w14:textId="353D5503"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053646E1" w14:textId="4F906079" w:rsidR="00E838FE" w:rsidRPr="007F14ED"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0E49E295" w14:textId="66196D72" w:rsidR="00E838FE"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4386347D" w14:textId="78888F4B" w:rsidR="00E838FE" w:rsidRPr="007F14ED"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0E986865" w14:textId="510237DD" w:rsidR="00E838FE" w:rsidRPr="007F14ED" w:rsidRDefault="00E838FE" w:rsidP="00E838FE">
            <w:pPr>
              <w:spacing w:before="60" w:after="60"/>
              <w:jc w:val="both"/>
              <w:rPr>
                <w:rFonts w:cstheme="minorHAnsi"/>
                <w:sz w:val="20"/>
                <w:szCs w:val="20"/>
              </w:rPr>
            </w:pPr>
            <w:r w:rsidRPr="00CA3565">
              <w:rPr>
                <w:rFonts w:cstheme="minorHAnsi"/>
                <w:sz w:val="20"/>
                <w:szCs w:val="20"/>
              </w:rPr>
              <w:t>Liczba MŚP wprowadzających innowacje organizacyjne dzięki udzielonemu wsparciu. Wskaźnik obejmuje również mikroprzedsiębiorstwa.</w:t>
            </w:r>
            <w:r>
              <w:rPr>
                <w:rFonts w:cstheme="minorHAnsi"/>
                <w:sz w:val="20"/>
                <w:szCs w:val="20"/>
              </w:rPr>
              <w:t xml:space="preserve"> </w:t>
            </w:r>
            <w:r w:rsidRPr="00CA3565">
              <w:rPr>
                <w:rFonts w:cstheme="minorHAnsi"/>
                <w:sz w:val="20"/>
                <w:szCs w:val="20"/>
              </w:rPr>
              <w:t xml:space="preserve">Innowacja organizacyjna to nowa metoda organizacyjna w praktykach biznesowych przedsiębiorstwa (w tym zarządzaniu wiedzą). Innowacja organizacyjna musi być wynikiem strategicznych decyzji kierownictwa oraz musi być wdrażana przy wsparciu projektu. Wskaźnik nie obejmuje fuzji lub przejęć, nawet jeśli zostały przeprowadzone po raz pierwszy.    </w:t>
            </w:r>
          </w:p>
        </w:tc>
      </w:tr>
      <w:tr w:rsidR="00E838FE" w:rsidRPr="004534FE" w14:paraId="74A9D9BB" w14:textId="77777777" w:rsidTr="00F161B6">
        <w:trPr>
          <w:trHeight w:val="1683"/>
        </w:trPr>
        <w:tc>
          <w:tcPr>
            <w:tcW w:w="552" w:type="dxa"/>
            <w:vAlign w:val="center"/>
          </w:tcPr>
          <w:p w14:paraId="061CCD04" w14:textId="29E0F7E3" w:rsidR="00E838FE" w:rsidRDefault="007F2586" w:rsidP="00E838FE">
            <w:pPr>
              <w:spacing w:before="60" w:after="60"/>
              <w:jc w:val="center"/>
              <w:rPr>
                <w:rFonts w:cstheme="minorHAnsi"/>
                <w:sz w:val="20"/>
                <w:szCs w:val="20"/>
              </w:rPr>
            </w:pPr>
            <w:r>
              <w:rPr>
                <w:rFonts w:cstheme="minorHAnsi"/>
                <w:sz w:val="20"/>
                <w:szCs w:val="20"/>
              </w:rPr>
              <w:t>7</w:t>
            </w:r>
            <w:r w:rsidR="00E838FE">
              <w:rPr>
                <w:rFonts w:cstheme="minorHAnsi"/>
                <w:sz w:val="20"/>
                <w:szCs w:val="20"/>
              </w:rPr>
              <w:t>.</w:t>
            </w:r>
          </w:p>
        </w:tc>
        <w:tc>
          <w:tcPr>
            <w:tcW w:w="2977" w:type="dxa"/>
            <w:vAlign w:val="center"/>
          </w:tcPr>
          <w:p w14:paraId="19F1B513" w14:textId="71DFF931" w:rsidR="00E838FE" w:rsidRPr="00CA3565" w:rsidRDefault="00E838FE" w:rsidP="00E838FE">
            <w:pPr>
              <w:spacing w:before="60" w:after="60"/>
              <w:rPr>
                <w:rFonts w:cstheme="minorHAnsi"/>
                <w:i/>
                <w:sz w:val="20"/>
                <w:szCs w:val="20"/>
              </w:rPr>
            </w:pPr>
            <w:r w:rsidRPr="00BC44F5">
              <w:rPr>
                <w:rFonts w:cstheme="minorHAnsi"/>
                <w:i/>
                <w:sz w:val="20"/>
                <w:szCs w:val="20"/>
              </w:rPr>
              <w:t>MŚP wprowadzające innowacje wewnątrz przedsiębiorstwa</w:t>
            </w:r>
          </w:p>
        </w:tc>
        <w:tc>
          <w:tcPr>
            <w:tcW w:w="1134" w:type="dxa"/>
            <w:vAlign w:val="center"/>
          </w:tcPr>
          <w:p w14:paraId="68BC4A3B" w14:textId="0E4A835A"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1A789958" w14:textId="5B9DD029"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1F9F8BA1" w14:textId="5047A523"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46BC5DFA" w14:textId="67970D4C"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436E2C64" w14:textId="37E192A0" w:rsidR="00E838FE" w:rsidRPr="00CA3565" w:rsidRDefault="00E838FE" w:rsidP="00E838FE">
            <w:pPr>
              <w:spacing w:before="60" w:after="60"/>
              <w:jc w:val="both"/>
              <w:rPr>
                <w:rFonts w:cstheme="minorHAnsi"/>
                <w:sz w:val="20"/>
                <w:szCs w:val="20"/>
              </w:rPr>
            </w:pPr>
            <w:r w:rsidRPr="00BC44F5">
              <w:rPr>
                <w:rFonts w:cstheme="minorHAnsi"/>
                <w:sz w:val="20"/>
                <w:szCs w:val="20"/>
              </w:rPr>
              <w:t xml:space="preserve">Liczba przedsiębiorstw, które wprowadziły innowacje wewnątrz przedsiębiorstwa. Wskaźnik obejmuje również mikroprzedsiębiorstwa. Działania innowacyjne są prowadzone wewnętrznie przez wspierane przedsiębiorstwo, a niezlecane innym przedsiębiorstwom lub innym organizacjom badawczym. Obejmuje to opracowanie oprogramowania, które spełnia te wymagania. </w:t>
            </w:r>
            <w:r w:rsidRPr="007F14ED">
              <w:rPr>
                <w:rFonts w:cstheme="minorHAnsi"/>
                <w:sz w:val="20"/>
                <w:szCs w:val="20"/>
              </w:rPr>
              <w:t>Definicja przedsiębiorstwa znajduje się we wskaźniku</w:t>
            </w:r>
            <w:r w:rsidR="00DC76DB">
              <w:rPr>
                <w:rFonts w:cstheme="minorHAnsi"/>
                <w:sz w:val="20"/>
                <w:szCs w:val="20"/>
              </w:rPr>
              <w:t>:</w:t>
            </w:r>
            <w:r w:rsidRPr="007F14ED">
              <w:rPr>
                <w:rFonts w:cstheme="minorHAnsi"/>
                <w:i/>
                <w:sz w:val="20"/>
                <w:szCs w:val="20"/>
              </w:rPr>
              <w:t xml:space="preserve"> Przedsiębiorstwa objęte wsparciem (w tym: mikro, małe, średnie, </w:t>
            </w:r>
            <w:proofErr w:type="spellStart"/>
            <w:r w:rsidRPr="007F14ED">
              <w:rPr>
                <w:rFonts w:cstheme="minorHAnsi"/>
                <w:i/>
                <w:sz w:val="20"/>
                <w:szCs w:val="20"/>
              </w:rPr>
              <w:t>duże</w:t>
            </w:r>
            <w:proofErr w:type="spellEnd"/>
            <w:r w:rsidRPr="007F14ED">
              <w:rPr>
                <w:rFonts w:cstheme="minorHAnsi"/>
                <w:i/>
                <w:sz w:val="20"/>
                <w:szCs w:val="20"/>
              </w:rPr>
              <w:t>).</w:t>
            </w:r>
            <w:r w:rsidRPr="00BC44F5">
              <w:rPr>
                <w:rFonts w:cstheme="minorHAnsi"/>
                <w:sz w:val="20"/>
                <w:szCs w:val="20"/>
              </w:rPr>
              <w:t xml:space="preserve">  </w:t>
            </w:r>
          </w:p>
        </w:tc>
      </w:tr>
      <w:tr w:rsidR="00E838FE" w:rsidRPr="004534FE" w14:paraId="054D69AD" w14:textId="77777777" w:rsidTr="00F161B6">
        <w:trPr>
          <w:trHeight w:val="1683"/>
        </w:trPr>
        <w:tc>
          <w:tcPr>
            <w:tcW w:w="552" w:type="dxa"/>
            <w:vAlign w:val="center"/>
          </w:tcPr>
          <w:p w14:paraId="680CE248" w14:textId="081A2465" w:rsidR="00E838FE" w:rsidRDefault="007F2586" w:rsidP="00E838FE">
            <w:pPr>
              <w:spacing w:before="60" w:after="60"/>
              <w:jc w:val="center"/>
              <w:rPr>
                <w:rFonts w:cstheme="minorHAnsi"/>
                <w:sz w:val="20"/>
                <w:szCs w:val="20"/>
              </w:rPr>
            </w:pPr>
            <w:r>
              <w:rPr>
                <w:rFonts w:cstheme="minorHAnsi"/>
                <w:sz w:val="20"/>
                <w:szCs w:val="20"/>
              </w:rPr>
              <w:lastRenderedPageBreak/>
              <w:t>8</w:t>
            </w:r>
            <w:r w:rsidR="00E838FE">
              <w:rPr>
                <w:rFonts w:cstheme="minorHAnsi"/>
                <w:sz w:val="20"/>
                <w:szCs w:val="20"/>
              </w:rPr>
              <w:t>.</w:t>
            </w:r>
          </w:p>
        </w:tc>
        <w:tc>
          <w:tcPr>
            <w:tcW w:w="2977" w:type="dxa"/>
            <w:vAlign w:val="center"/>
          </w:tcPr>
          <w:p w14:paraId="5151CF3A" w14:textId="35B66528" w:rsidR="00E838FE" w:rsidRPr="00BC44F5" w:rsidRDefault="00E838FE" w:rsidP="00E838FE">
            <w:pPr>
              <w:spacing w:before="60" w:after="60"/>
              <w:rPr>
                <w:rFonts w:cstheme="minorHAnsi"/>
                <w:i/>
                <w:sz w:val="20"/>
                <w:szCs w:val="20"/>
              </w:rPr>
            </w:pPr>
            <w:r w:rsidRPr="00BC44F5">
              <w:rPr>
                <w:rFonts w:cstheme="minorHAnsi"/>
                <w:i/>
                <w:sz w:val="20"/>
                <w:szCs w:val="20"/>
              </w:rPr>
              <w:t>Liczba wprowadzonych innowacji produktowych</w:t>
            </w:r>
          </w:p>
        </w:tc>
        <w:tc>
          <w:tcPr>
            <w:tcW w:w="1134" w:type="dxa"/>
            <w:vAlign w:val="center"/>
          </w:tcPr>
          <w:p w14:paraId="4A87D390" w14:textId="1808ADD5"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57CC1FF1" w14:textId="20018F29"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4CF23837" w14:textId="76DDD602"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036383C1" w14:textId="3767FAD2"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1BC23A90" w14:textId="7BF2B996" w:rsidR="00E838FE" w:rsidRPr="00CA3565" w:rsidRDefault="00E838FE" w:rsidP="00E838FE">
            <w:pPr>
              <w:spacing w:before="60" w:after="60"/>
              <w:jc w:val="both"/>
              <w:rPr>
                <w:rFonts w:cstheme="minorHAnsi"/>
                <w:sz w:val="20"/>
                <w:szCs w:val="20"/>
              </w:rPr>
            </w:pPr>
            <w:r w:rsidRPr="00BC44F5">
              <w:rPr>
                <w:rFonts w:cstheme="minorHAnsi"/>
                <w:sz w:val="20"/>
                <w:szCs w:val="20"/>
              </w:rPr>
              <w:t>Liczba innowacji produktowych, wprowadzonych w przedsiębiorstwie w wyniku realizacji projektu. Innowacja produktowa to produkt lub usługa, które są nowe lub znacząco ulepszone w zakresie swoich cech lub zastosowań (np. specyfikacja techniczna, komponenty, materiały, t</w:t>
            </w:r>
            <w:r w:rsidR="004E0EC9">
              <w:rPr>
                <w:rFonts w:cstheme="minorHAnsi"/>
                <w:sz w:val="20"/>
                <w:szCs w:val="20"/>
              </w:rPr>
              <w:t>r</w:t>
            </w:r>
            <w:r w:rsidRPr="00BC44F5">
              <w:rPr>
                <w:rFonts w:cstheme="minorHAnsi"/>
                <w:sz w:val="20"/>
                <w:szCs w:val="20"/>
              </w:rPr>
              <w:t>wałość lub inne cechy funkcjonalne).</w:t>
            </w:r>
          </w:p>
        </w:tc>
      </w:tr>
      <w:tr w:rsidR="00E838FE" w:rsidRPr="004534FE" w14:paraId="4225D2D2" w14:textId="77777777" w:rsidTr="00BC44F5">
        <w:trPr>
          <w:trHeight w:val="1343"/>
        </w:trPr>
        <w:tc>
          <w:tcPr>
            <w:tcW w:w="552" w:type="dxa"/>
            <w:vAlign w:val="center"/>
          </w:tcPr>
          <w:p w14:paraId="1382B77A" w14:textId="030EB20E" w:rsidR="00E838FE" w:rsidRDefault="007F2586" w:rsidP="00E838FE">
            <w:pPr>
              <w:spacing w:before="60" w:after="60"/>
              <w:jc w:val="center"/>
              <w:rPr>
                <w:rFonts w:cstheme="minorHAnsi"/>
                <w:sz w:val="20"/>
                <w:szCs w:val="20"/>
              </w:rPr>
            </w:pPr>
            <w:r>
              <w:rPr>
                <w:rFonts w:cstheme="minorHAnsi"/>
                <w:sz w:val="20"/>
                <w:szCs w:val="20"/>
              </w:rPr>
              <w:t>9</w:t>
            </w:r>
            <w:r w:rsidR="00E838FE">
              <w:rPr>
                <w:rFonts w:cstheme="minorHAnsi"/>
                <w:sz w:val="20"/>
                <w:szCs w:val="20"/>
              </w:rPr>
              <w:t>.</w:t>
            </w:r>
          </w:p>
        </w:tc>
        <w:tc>
          <w:tcPr>
            <w:tcW w:w="2977" w:type="dxa"/>
            <w:vAlign w:val="center"/>
          </w:tcPr>
          <w:p w14:paraId="18C58E67" w14:textId="14DE30E7" w:rsidR="00E838FE" w:rsidRPr="00BC44F5" w:rsidRDefault="00E838FE" w:rsidP="00E838FE">
            <w:pPr>
              <w:spacing w:before="60" w:after="60"/>
              <w:rPr>
                <w:rFonts w:cstheme="minorHAnsi"/>
                <w:i/>
                <w:sz w:val="20"/>
                <w:szCs w:val="20"/>
              </w:rPr>
            </w:pPr>
            <w:r w:rsidRPr="00BC44F5">
              <w:rPr>
                <w:rFonts w:cstheme="minorHAnsi"/>
                <w:i/>
                <w:sz w:val="20"/>
                <w:szCs w:val="20"/>
              </w:rPr>
              <w:t>Liczba wprowadzonych innowacji procesowych</w:t>
            </w:r>
          </w:p>
        </w:tc>
        <w:tc>
          <w:tcPr>
            <w:tcW w:w="1134" w:type="dxa"/>
            <w:vAlign w:val="center"/>
          </w:tcPr>
          <w:p w14:paraId="6DF4B90B" w14:textId="7C0EBB40"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606BBA9A" w14:textId="5C3280AE"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1FE29D75" w14:textId="187F8BEC"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53BF607A" w14:textId="7027A81C"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6FE51364" w14:textId="30F46ADE" w:rsidR="00E838FE" w:rsidRPr="00CA3565" w:rsidRDefault="00E838FE" w:rsidP="00E838FE">
            <w:pPr>
              <w:spacing w:before="60" w:after="60"/>
              <w:jc w:val="both"/>
              <w:rPr>
                <w:rFonts w:cstheme="minorHAnsi"/>
                <w:sz w:val="20"/>
                <w:szCs w:val="20"/>
              </w:rPr>
            </w:pPr>
            <w:r w:rsidRPr="00BC44F5">
              <w:rPr>
                <w:rFonts w:cstheme="minorHAnsi"/>
                <w:sz w:val="20"/>
                <w:szCs w:val="20"/>
              </w:rPr>
              <w:t>Liczba innowacji procesowych, wprowadzonych w przedsiębiorstwie w wyniku realizacji projektu. Innowacja procesowa to wdrożenie nowego lub znacząco ulepszonego procesu produkcyjnego, metody dystrybucji lub działalności wspierającej.</w:t>
            </w:r>
          </w:p>
        </w:tc>
      </w:tr>
      <w:tr w:rsidR="00E838FE" w:rsidRPr="004534FE" w14:paraId="0E49C870" w14:textId="77777777" w:rsidTr="00BC44F5">
        <w:trPr>
          <w:trHeight w:val="1263"/>
        </w:trPr>
        <w:tc>
          <w:tcPr>
            <w:tcW w:w="552" w:type="dxa"/>
            <w:vAlign w:val="center"/>
          </w:tcPr>
          <w:p w14:paraId="5935700A" w14:textId="248534DD" w:rsidR="00E838FE" w:rsidRDefault="007F2586" w:rsidP="00E838FE">
            <w:pPr>
              <w:spacing w:before="60" w:after="60"/>
              <w:jc w:val="center"/>
              <w:rPr>
                <w:rFonts w:cstheme="minorHAnsi"/>
                <w:sz w:val="20"/>
                <w:szCs w:val="20"/>
              </w:rPr>
            </w:pPr>
            <w:r>
              <w:rPr>
                <w:rFonts w:cstheme="minorHAnsi"/>
                <w:sz w:val="20"/>
                <w:szCs w:val="20"/>
              </w:rPr>
              <w:t>10</w:t>
            </w:r>
            <w:r w:rsidR="00E838FE">
              <w:rPr>
                <w:rFonts w:cstheme="minorHAnsi"/>
                <w:sz w:val="20"/>
                <w:szCs w:val="20"/>
              </w:rPr>
              <w:t>.</w:t>
            </w:r>
          </w:p>
        </w:tc>
        <w:tc>
          <w:tcPr>
            <w:tcW w:w="2977" w:type="dxa"/>
            <w:vAlign w:val="center"/>
          </w:tcPr>
          <w:p w14:paraId="72181010" w14:textId="4496F407" w:rsidR="00E838FE" w:rsidRPr="00BC44F5" w:rsidRDefault="00E838FE" w:rsidP="00E838FE">
            <w:pPr>
              <w:spacing w:before="60" w:after="60"/>
              <w:rPr>
                <w:rFonts w:cstheme="minorHAnsi"/>
                <w:i/>
                <w:sz w:val="20"/>
                <w:szCs w:val="20"/>
              </w:rPr>
            </w:pPr>
            <w:r w:rsidRPr="00BC44F5">
              <w:rPr>
                <w:rFonts w:cstheme="minorHAnsi"/>
                <w:i/>
                <w:sz w:val="20"/>
                <w:szCs w:val="20"/>
              </w:rPr>
              <w:t>Liczba wprowadzonych innowacji marketingowych</w:t>
            </w:r>
          </w:p>
        </w:tc>
        <w:tc>
          <w:tcPr>
            <w:tcW w:w="1134" w:type="dxa"/>
            <w:vAlign w:val="center"/>
          </w:tcPr>
          <w:p w14:paraId="202D2D40" w14:textId="1E69261C"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002DB869" w14:textId="42E7B2F9"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7508448C" w14:textId="4DC9DA24"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593A95BC" w14:textId="53C26F31"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378F44A9" w14:textId="662EE7DD" w:rsidR="00E838FE" w:rsidRPr="00CA3565" w:rsidRDefault="00E838FE" w:rsidP="00E838FE">
            <w:pPr>
              <w:spacing w:before="60" w:after="60"/>
              <w:jc w:val="both"/>
              <w:rPr>
                <w:rFonts w:cstheme="minorHAnsi"/>
                <w:sz w:val="20"/>
                <w:szCs w:val="20"/>
              </w:rPr>
            </w:pPr>
            <w:r w:rsidRPr="00BC44F5">
              <w:rPr>
                <w:rFonts w:cstheme="minorHAnsi"/>
                <w:sz w:val="20"/>
                <w:szCs w:val="20"/>
              </w:rPr>
              <w:t>Liczba innowacji marketingowych, wprowadzonych w przedsiębiorstwie w wyniku realizacji projektu. Innowacja marketingowa to wdrożenie nowej koncepcji lub strategii marketingowej, która znacznie różni się od istniejących metod marketingowych</w:t>
            </w:r>
            <w:r>
              <w:rPr>
                <w:rFonts w:cstheme="minorHAnsi"/>
                <w:sz w:val="20"/>
                <w:szCs w:val="20"/>
              </w:rPr>
              <w:t>.</w:t>
            </w:r>
          </w:p>
        </w:tc>
      </w:tr>
      <w:tr w:rsidR="00E838FE" w:rsidRPr="004534FE" w14:paraId="70EC6731" w14:textId="77777777" w:rsidTr="00F161B6">
        <w:trPr>
          <w:trHeight w:val="1683"/>
        </w:trPr>
        <w:tc>
          <w:tcPr>
            <w:tcW w:w="552" w:type="dxa"/>
            <w:vAlign w:val="center"/>
          </w:tcPr>
          <w:p w14:paraId="1139B9AB" w14:textId="3FBF0465" w:rsidR="00E838FE" w:rsidRDefault="007F2586" w:rsidP="00E838FE">
            <w:pPr>
              <w:spacing w:before="60" w:after="60"/>
              <w:jc w:val="center"/>
              <w:rPr>
                <w:rFonts w:cstheme="minorHAnsi"/>
                <w:sz w:val="20"/>
                <w:szCs w:val="20"/>
              </w:rPr>
            </w:pPr>
            <w:r>
              <w:rPr>
                <w:rFonts w:cstheme="minorHAnsi"/>
                <w:sz w:val="20"/>
                <w:szCs w:val="20"/>
              </w:rPr>
              <w:t>11</w:t>
            </w:r>
            <w:r w:rsidR="00E838FE">
              <w:rPr>
                <w:rFonts w:cstheme="minorHAnsi"/>
                <w:sz w:val="20"/>
                <w:szCs w:val="20"/>
              </w:rPr>
              <w:t>.</w:t>
            </w:r>
          </w:p>
        </w:tc>
        <w:tc>
          <w:tcPr>
            <w:tcW w:w="2977" w:type="dxa"/>
            <w:vAlign w:val="center"/>
          </w:tcPr>
          <w:p w14:paraId="6E948D17" w14:textId="3FA99F2E" w:rsidR="00E838FE" w:rsidRPr="00BC44F5" w:rsidRDefault="00E838FE" w:rsidP="00E838FE">
            <w:pPr>
              <w:spacing w:before="60" w:after="60"/>
              <w:rPr>
                <w:rFonts w:cstheme="minorHAnsi"/>
                <w:i/>
                <w:sz w:val="20"/>
                <w:szCs w:val="20"/>
              </w:rPr>
            </w:pPr>
            <w:r w:rsidRPr="00905B49">
              <w:rPr>
                <w:rFonts w:cstheme="minorHAnsi"/>
                <w:i/>
                <w:sz w:val="20"/>
                <w:szCs w:val="20"/>
              </w:rPr>
              <w:t>Liczba wprowadzonych innowacji organizacyjnych</w:t>
            </w:r>
          </w:p>
        </w:tc>
        <w:tc>
          <w:tcPr>
            <w:tcW w:w="1134" w:type="dxa"/>
            <w:vAlign w:val="center"/>
          </w:tcPr>
          <w:p w14:paraId="53F59F7E" w14:textId="7CEFDED7"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10F49398" w14:textId="1944DACA"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11CEFA80" w14:textId="018A3474"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4C6CB087" w14:textId="2E0AFB0B"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00BD1572" w14:textId="0C03B434" w:rsidR="00E838FE" w:rsidRPr="00CA3565" w:rsidRDefault="00E838FE" w:rsidP="00E838FE">
            <w:pPr>
              <w:spacing w:before="60" w:after="60"/>
              <w:jc w:val="both"/>
              <w:rPr>
                <w:rFonts w:cstheme="minorHAnsi"/>
                <w:sz w:val="20"/>
                <w:szCs w:val="20"/>
              </w:rPr>
            </w:pPr>
            <w:r w:rsidRPr="00905B49">
              <w:rPr>
                <w:rFonts w:cstheme="minorHAnsi"/>
                <w:sz w:val="20"/>
                <w:szCs w:val="20"/>
              </w:rPr>
              <w:t xml:space="preserve">Liczba innowacji organizacyjnych, wprowadzonych w przedsiębiorstwie w wyniku realizacji projektu. Innowacje organizacyjne to nowa metoda organizacyjna w praktykach biznesowych przedsiębiorstwa (w tym w zarządzaniu wiedzą, bussines </w:t>
            </w:r>
            <w:proofErr w:type="spellStart"/>
            <w:r w:rsidRPr="00905B49">
              <w:rPr>
                <w:rFonts w:cstheme="minorHAnsi"/>
                <w:sz w:val="20"/>
                <w:szCs w:val="20"/>
              </w:rPr>
              <w:t>inteligence</w:t>
            </w:r>
            <w:proofErr w:type="spellEnd"/>
            <w:r w:rsidRPr="00905B49">
              <w:rPr>
                <w:rFonts w:cstheme="minorHAnsi"/>
                <w:sz w:val="20"/>
                <w:szCs w:val="20"/>
              </w:rPr>
              <w:t>, SAAS). Innowacja organizacyjna musi być wynikiem strategicznych decyzji kierownictwa i wdrażana przy wsparciu projektu.</w:t>
            </w:r>
          </w:p>
        </w:tc>
      </w:tr>
      <w:tr w:rsidR="00E838FE" w:rsidRPr="004534FE" w14:paraId="11A01181" w14:textId="77777777" w:rsidTr="00905B49">
        <w:trPr>
          <w:trHeight w:val="483"/>
        </w:trPr>
        <w:tc>
          <w:tcPr>
            <w:tcW w:w="552" w:type="dxa"/>
            <w:vAlign w:val="center"/>
          </w:tcPr>
          <w:p w14:paraId="4F86781D" w14:textId="3F1796A4" w:rsidR="00E838FE" w:rsidRDefault="007F2586" w:rsidP="00E838FE">
            <w:pPr>
              <w:spacing w:before="60" w:after="60"/>
              <w:jc w:val="center"/>
              <w:rPr>
                <w:rFonts w:cstheme="minorHAnsi"/>
                <w:sz w:val="20"/>
                <w:szCs w:val="20"/>
              </w:rPr>
            </w:pPr>
            <w:r>
              <w:rPr>
                <w:rFonts w:cstheme="minorHAnsi"/>
                <w:sz w:val="20"/>
                <w:szCs w:val="20"/>
              </w:rPr>
              <w:t>12</w:t>
            </w:r>
            <w:r w:rsidR="00E838FE">
              <w:rPr>
                <w:rFonts w:cstheme="minorHAnsi"/>
                <w:sz w:val="20"/>
                <w:szCs w:val="20"/>
              </w:rPr>
              <w:t>.</w:t>
            </w:r>
          </w:p>
        </w:tc>
        <w:tc>
          <w:tcPr>
            <w:tcW w:w="2977" w:type="dxa"/>
            <w:vAlign w:val="center"/>
          </w:tcPr>
          <w:p w14:paraId="74BAC3A1" w14:textId="75D37684" w:rsidR="00E838FE" w:rsidRPr="00905B49" w:rsidRDefault="00E838FE" w:rsidP="00E838FE">
            <w:pPr>
              <w:spacing w:before="60" w:after="60"/>
              <w:rPr>
                <w:rFonts w:cstheme="minorHAnsi"/>
                <w:i/>
                <w:sz w:val="20"/>
                <w:szCs w:val="20"/>
              </w:rPr>
            </w:pPr>
            <w:r w:rsidRPr="00905B49">
              <w:rPr>
                <w:rFonts w:cstheme="minorHAnsi"/>
                <w:i/>
                <w:sz w:val="20"/>
                <w:szCs w:val="20"/>
              </w:rPr>
              <w:t>Złożone wnioski patentowe</w:t>
            </w:r>
          </w:p>
        </w:tc>
        <w:tc>
          <w:tcPr>
            <w:tcW w:w="1134" w:type="dxa"/>
            <w:vAlign w:val="center"/>
          </w:tcPr>
          <w:p w14:paraId="3BEFE230" w14:textId="041C3168"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7CC51816" w14:textId="48A0039A"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3039FD3A" w14:textId="3DB6F3DA"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3BB47003" w14:textId="2EB5C1EC"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143A0A0B" w14:textId="778DB0DB" w:rsidR="00E838FE" w:rsidRPr="00905B49" w:rsidRDefault="00E838FE" w:rsidP="00E838FE">
            <w:pPr>
              <w:spacing w:before="60" w:after="60"/>
              <w:jc w:val="both"/>
              <w:rPr>
                <w:rFonts w:cstheme="minorHAnsi"/>
                <w:sz w:val="20"/>
                <w:szCs w:val="20"/>
              </w:rPr>
            </w:pPr>
            <w:r w:rsidRPr="00905B49">
              <w:rPr>
                <w:rFonts w:cstheme="minorHAnsi"/>
                <w:sz w:val="20"/>
                <w:szCs w:val="20"/>
              </w:rPr>
              <w:t xml:space="preserve">Liczba złożonych i zweryfikowanych wniosków patentowych („zgłoszenie”), które są wynikiem wspieranych projektów. Ostateczne pozytywne rozpatrzenie wniosku nie jest wymogiem.   Wspierany projekt powinien mieć wyraźnie dający się zidentyfikować wkład do patentu, w odniesieniu do którego składany jest wniosek. Wnioski w zakresie wzorów zostały </w:t>
            </w:r>
            <w:r w:rsidRPr="00905B49">
              <w:rPr>
                <w:rFonts w:cstheme="minorHAnsi"/>
                <w:sz w:val="20"/>
                <w:szCs w:val="20"/>
              </w:rPr>
              <w:lastRenderedPageBreak/>
              <w:t>uwzględnione we wskaźniku</w:t>
            </w:r>
            <w:r>
              <w:rPr>
                <w:rFonts w:cstheme="minorHAnsi"/>
                <w:sz w:val="20"/>
                <w:szCs w:val="20"/>
              </w:rPr>
              <w:t>:</w:t>
            </w:r>
            <w:r w:rsidRPr="00905B49">
              <w:rPr>
                <w:rFonts w:cstheme="minorHAnsi"/>
                <w:sz w:val="20"/>
                <w:szCs w:val="20"/>
              </w:rPr>
              <w:t xml:space="preserve"> </w:t>
            </w:r>
            <w:r w:rsidRPr="00C976A3">
              <w:rPr>
                <w:rFonts w:cstheme="minorHAnsi"/>
                <w:i/>
                <w:iCs/>
                <w:sz w:val="20"/>
                <w:szCs w:val="20"/>
              </w:rPr>
              <w:t>Wnioski w zakresie znaków towarowych oraz wzorów.</w:t>
            </w:r>
          </w:p>
        </w:tc>
      </w:tr>
      <w:tr w:rsidR="00E838FE" w:rsidRPr="004534FE" w14:paraId="6DE89619" w14:textId="77777777" w:rsidTr="00905B49">
        <w:trPr>
          <w:trHeight w:val="483"/>
        </w:trPr>
        <w:tc>
          <w:tcPr>
            <w:tcW w:w="552" w:type="dxa"/>
            <w:vAlign w:val="center"/>
          </w:tcPr>
          <w:p w14:paraId="6468DD92" w14:textId="2577A8C1" w:rsidR="00E838FE" w:rsidRDefault="007F2586" w:rsidP="00E838FE">
            <w:pPr>
              <w:spacing w:before="60" w:after="60"/>
              <w:jc w:val="center"/>
              <w:rPr>
                <w:rFonts w:cstheme="minorHAnsi"/>
                <w:sz w:val="20"/>
                <w:szCs w:val="20"/>
              </w:rPr>
            </w:pPr>
            <w:r>
              <w:rPr>
                <w:rFonts w:cstheme="minorHAnsi"/>
                <w:sz w:val="20"/>
                <w:szCs w:val="20"/>
              </w:rPr>
              <w:lastRenderedPageBreak/>
              <w:t>13</w:t>
            </w:r>
            <w:r w:rsidR="00E838FE">
              <w:rPr>
                <w:rFonts w:cstheme="minorHAnsi"/>
                <w:sz w:val="20"/>
                <w:szCs w:val="20"/>
              </w:rPr>
              <w:t>.</w:t>
            </w:r>
          </w:p>
        </w:tc>
        <w:tc>
          <w:tcPr>
            <w:tcW w:w="2977" w:type="dxa"/>
            <w:vAlign w:val="center"/>
          </w:tcPr>
          <w:p w14:paraId="260911E4" w14:textId="5910E932" w:rsidR="00E838FE" w:rsidRPr="00905B49" w:rsidRDefault="00E838FE" w:rsidP="00E838FE">
            <w:pPr>
              <w:spacing w:before="60" w:after="60"/>
              <w:rPr>
                <w:rFonts w:cstheme="minorHAnsi"/>
                <w:i/>
                <w:sz w:val="20"/>
                <w:szCs w:val="20"/>
              </w:rPr>
            </w:pPr>
            <w:r w:rsidRPr="00905B49">
              <w:rPr>
                <w:rFonts w:cstheme="minorHAnsi"/>
                <w:i/>
                <w:sz w:val="20"/>
                <w:szCs w:val="20"/>
              </w:rPr>
              <w:t>Wnioski w zakresie znaków towarowych oraz wzorów</w:t>
            </w:r>
          </w:p>
        </w:tc>
        <w:tc>
          <w:tcPr>
            <w:tcW w:w="1134" w:type="dxa"/>
            <w:vAlign w:val="center"/>
          </w:tcPr>
          <w:p w14:paraId="4500283A" w14:textId="74FE77FC"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32140F17" w14:textId="614E0052"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4693ACE9" w14:textId="086F3AB6"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2A5D5265" w14:textId="2E2C0154"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592EA7CF" w14:textId="1BC905A4" w:rsidR="00E838FE" w:rsidRPr="00905B49" w:rsidRDefault="00E838FE" w:rsidP="00E838FE">
            <w:pPr>
              <w:spacing w:before="60" w:after="60"/>
              <w:jc w:val="both"/>
              <w:rPr>
                <w:rFonts w:cstheme="minorHAnsi"/>
                <w:sz w:val="20"/>
                <w:szCs w:val="20"/>
              </w:rPr>
            </w:pPr>
            <w:r w:rsidRPr="00E838FE">
              <w:rPr>
                <w:rFonts w:cstheme="minorHAnsi"/>
                <w:sz w:val="20"/>
                <w:szCs w:val="20"/>
              </w:rPr>
              <w:t>Liczba złożonych i zweryfikowanych wniosków w zakresie znaków towarowych UE i wspólnotowych wzorów („zgłoszenie”), które są wynikiem projektu objętego wsparciem. Ostateczne pozytywne rozpatrzenie wniosku nie jest wymogiem.   Wspierany projekt powinien mieć wyraźnie dający się zidentyfikować wkład w znak towarowy lub wzór, w odniesieniu do którego składane są wnioski.   Znak towarowy odnosi się do słów, symboli lub innych znaków używanych przez firmy w celu odróżnienia ich produktów lub usług od tych oferowanych przez inne firmy.   Wniosek w zakresie znaków towarowych Unii Europejskiej musi zostać złożony i zweryfikowany w Urzędzie Unii Europejskiej ds. Własności Intelektualnej (EUIPO).   Wzór oznacza „całkowitą lub częściową postać produktu, wynikającą w szczególności z elementów linii, konturów, kolorystyki, kształtu, faktury i/lub materiałów samego produktu i/lub jego ornamentacji“. Wskaźnik obejmuje wnioski w zakresie zarejestrowanych wspólnotowych wzorów. Taki wniosek musi zostać złożony i zweryfikowany w Urzędzie Unii Europejskiej ds. Własności Intelektualnej (EUIPO).</w:t>
            </w:r>
          </w:p>
        </w:tc>
      </w:tr>
      <w:tr w:rsidR="00E838FE" w:rsidRPr="004534FE" w14:paraId="63A82AA2" w14:textId="77777777" w:rsidTr="00905B49">
        <w:trPr>
          <w:trHeight w:val="483"/>
        </w:trPr>
        <w:tc>
          <w:tcPr>
            <w:tcW w:w="552" w:type="dxa"/>
            <w:vAlign w:val="center"/>
          </w:tcPr>
          <w:p w14:paraId="46760F61" w14:textId="366035DA" w:rsidR="00E838FE" w:rsidRDefault="007F2586" w:rsidP="00E838FE">
            <w:pPr>
              <w:spacing w:before="60" w:after="60"/>
              <w:jc w:val="center"/>
              <w:rPr>
                <w:rFonts w:cstheme="minorHAnsi"/>
                <w:sz w:val="20"/>
                <w:szCs w:val="20"/>
              </w:rPr>
            </w:pPr>
            <w:r>
              <w:rPr>
                <w:rFonts w:cstheme="minorHAnsi"/>
                <w:sz w:val="20"/>
                <w:szCs w:val="20"/>
              </w:rPr>
              <w:t>14</w:t>
            </w:r>
            <w:r w:rsidR="00E838FE">
              <w:rPr>
                <w:rFonts w:cstheme="minorHAnsi"/>
                <w:sz w:val="20"/>
                <w:szCs w:val="20"/>
              </w:rPr>
              <w:t>.</w:t>
            </w:r>
          </w:p>
        </w:tc>
        <w:tc>
          <w:tcPr>
            <w:tcW w:w="2977" w:type="dxa"/>
            <w:vAlign w:val="center"/>
          </w:tcPr>
          <w:p w14:paraId="3A38E2F7" w14:textId="0D0F9629" w:rsidR="00E838FE" w:rsidRPr="00905B49" w:rsidRDefault="00E838FE" w:rsidP="00E838FE">
            <w:pPr>
              <w:spacing w:before="60" w:after="60"/>
              <w:rPr>
                <w:rFonts w:cstheme="minorHAnsi"/>
                <w:i/>
                <w:sz w:val="20"/>
                <w:szCs w:val="20"/>
              </w:rPr>
            </w:pPr>
            <w:r w:rsidRPr="00E838FE">
              <w:rPr>
                <w:rFonts w:cstheme="minorHAnsi"/>
                <w:i/>
                <w:sz w:val="20"/>
                <w:szCs w:val="20"/>
              </w:rPr>
              <w:t>Liczba zgłoszeń wzorów przemysłowych do Urzędu Patentowego RP</w:t>
            </w:r>
          </w:p>
        </w:tc>
        <w:tc>
          <w:tcPr>
            <w:tcW w:w="1134" w:type="dxa"/>
            <w:vAlign w:val="center"/>
          </w:tcPr>
          <w:p w14:paraId="3367F8B2" w14:textId="6E9B4BC8"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36BC8BC6" w14:textId="56B72C65"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7A4AECDD" w14:textId="4C2F06C4"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276DD47F" w14:textId="43237282"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3B7DC981" w14:textId="4EC05432" w:rsidR="00E838FE" w:rsidRPr="00E838FE" w:rsidRDefault="00E838FE" w:rsidP="00E838FE">
            <w:pPr>
              <w:spacing w:before="60" w:after="60"/>
              <w:jc w:val="both"/>
              <w:rPr>
                <w:rFonts w:cstheme="minorHAnsi"/>
                <w:sz w:val="20"/>
                <w:szCs w:val="20"/>
              </w:rPr>
            </w:pPr>
            <w:r w:rsidRPr="00E838FE">
              <w:rPr>
                <w:rFonts w:cstheme="minorHAnsi"/>
                <w:sz w:val="20"/>
                <w:szCs w:val="20"/>
              </w:rPr>
              <w:t>Liczba zgłoszeń wzorów przemysłowych, dokonanych w wyniku realizowanego projektu w celu uzyskania praw ochronnych, zapewniających prawo do wyłącznego korzystania ze wzoru użytkowego na terenie RP, tj. liczba zgłoszeń dokonanych w ramach procedury krajowej inicjowanej wnioskiem (podaniem) skierowanym do Urzędu Patentowego RP. Wskaźnik obejmuje zgłoszenia, których przyjęcie zostało potwierdzone przez Urząd Patentowe.</w:t>
            </w:r>
          </w:p>
        </w:tc>
      </w:tr>
      <w:tr w:rsidR="00E838FE" w:rsidRPr="004534FE" w14:paraId="18C80600" w14:textId="77777777" w:rsidTr="00905B49">
        <w:trPr>
          <w:trHeight w:val="483"/>
        </w:trPr>
        <w:tc>
          <w:tcPr>
            <w:tcW w:w="552" w:type="dxa"/>
            <w:vAlign w:val="center"/>
          </w:tcPr>
          <w:p w14:paraId="481E8B17" w14:textId="5066E35B" w:rsidR="00E838FE" w:rsidRDefault="007F2586" w:rsidP="00E838FE">
            <w:pPr>
              <w:spacing w:before="60" w:after="60"/>
              <w:jc w:val="center"/>
              <w:rPr>
                <w:rFonts w:cstheme="minorHAnsi"/>
                <w:sz w:val="20"/>
                <w:szCs w:val="20"/>
              </w:rPr>
            </w:pPr>
            <w:r>
              <w:rPr>
                <w:rFonts w:cstheme="minorHAnsi"/>
                <w:sz w:val="20"/>
                <w:szCs w:val="20"/>
              </w:rPr>
              <w:lastRenderedPageBreak/>
              <w:t>15</w:t>
            </w:r>
            <w:r w:rsidR="00E838FE">
              <w:rPr>
                <w:rFonts w:cstheme="minorHAnsi"/>
                <w:sz w:val="20"/>
                <w:szCs w:val="20"/>
              </w:rPr>
              <w:t>.</w:t>
            </w:r>
          </w:p>
        </w:tc>
        <w:tc>
          <w:tcPr>
            <w:tcW w:w="2977" w:type="dxa"/>
            <w:vAlign w:val="center"/>
          </w:tcPr>
          <w:p w14:paraId="56CACE0A" w14:textId="2738C6F6" w:rsidR="00E838FE" w:rsidRPr="00905B49" w:rsidRDefault="00E838FE" w:rsidP="00E838FE">
            <w:pPr>
              <w:spacing w:before="60" w:after="60"/>
              <w:rPr>
                <w:rFonts w:cstheme="minorHAnsi"/>
                <w:i/>
                <w:sz w:val="20"/>
                <w:szCs w:val="20"/>
              </w:rPr>
            </w:pPr>
            <w:r w:rsidRPr="00E838FE">
              <w:rPr>
                <w:rFonts w:cstheme="minorHAnsi"/>
                <w:i/>
                <w:sz w:val="20"/>
                <w:szCs w:val="20"/>
              </w:rPr>
              <w:t>Liczba zgłoszeń wzorów użytkowych do Urzędu Patentowego RP</w:t>
            </w:r>
          </w:p>
        </w:tc>
        <w:tc>
          <w:tcPr>
            <w:tcW w:w="1134" w:type="dxa"/>
            <w:vAlign w:val="center"/>
          </w:tcPr>
          <w:p w14:paraId="3D4F49EC" w14:textId="5A1EDFF3"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25D3B8FB" w14:textId="6D825F8A"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466C2B48" w14:textId="3D983169"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3EC5488A" w14:textId="12AC61CA"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317CB8BD" w14:textId="11CF075B" w:rsidR="00E838FE" w:rsidRPr="00E838FE" w:rsidRDefault="00E838FE" w:rsidP="00E838FE">
            <w:pPr>
              <w:spacing w:before="60" w:after="60"/>
              <w:jc w:val="both"/>
              <w:rPr>
                <w:rFonts w:cstheme="minorHAnsi"/>
                <w:sz w:val="20"/>
                <w:szCs w:val="20"/>
              </w:rPr>
            </w:pPr>
            <w:r w:rsidRPr="00E838FE">
              <w:rPr>
                <w:rFonts w:cstheme="minorHAnsi"/>
                <w:sz w:val="20"/>
                <w:szCs w:val="20"/>
              </w:rPr>
              <w:t>Liczba zgłoszeń wzorów użytkowych, dokonanych w wyniku realizowanego projektu w celu uzyskania praw ochronnych, zapewniających prawo do wyłącznego korzystania ze wzoru użytkowego na terenie RP, tj. liczba zgłoszeń dokonanych w ramach procedury krajowej inicjowanej wnioskiem (podaniem) skierowanym do Urzędu Patentowego RP. Wskaźnik obejmuje zgłoszenia, które zostały przyjęte przez Urząd Patentowy (tj. takie, którym Urząd Patentowy nadał datę).</w:t>
            </w:r>
          </w:p>
        </w:tc>
      </w:tr>
      <w:tr w:rsidR="00E838FE" w:rsidRPr="004534FE" w14:paraId="7341E207" w14:textId="77777777" w:rsidTr="00905B49">
        <w:trPr>
          <w:trHeight w:val="483"/>
        </w:trPr>
        <w:tc>
          <w:tcPr>
            <w:tcW w:w="552" w:type="dxa"/>
            <w:vAlign w:val="center"/>
          </w:tcPr>
          <w:p w14:paraId="4A8B953B" w14:textId="46E5B9E8" w:rsidR="00E838FE" w:rsidRDefault="007F2586" w:rsidP="00E838FE">
            <w:pPr>
              <w:spacing w:before="60" w:after="60"/>
              <w:jc w:val="center"/>
              <w:rPr>
                <w:rFonts w:cstheme="minorHAnsi"/>
                <w:sz w:val="20"/>
                <w:szCs w:val="20"/>
              </w:rPr>
            </w:pPr>
            <w:r>
              <w:rPr>
                <w:rFonts w:cstheme="minorHAnsi"/>
                <w:sz w:val="20"/>
                <w:szCs w:val="20"/>
              </w:rPr>
              <w:t>16</w:t>
            </w:r>
            <w:r w:rsidR="00E838FE">
              <w:rPr>
                <w:rFonts w:cstheme="minorHAnsi"/>
                <w:sz w:val="20"/>
                <w:szCs w:val="20"/>
              </w:rPr>
              <w:t>.</w:t>
            </w:r>
          </w:p>
        </w:tc>
        <w:tc>
          <w:tcPr>
            <w:tcW w:w="2977" w:type="dxa"/>
            <w:vAlign w:val="center"/>
          </w:tcPr>
          <w:p w14:paraId="67E8E228" w14:textId="11D8D2A6" w:rsidR="00E838FE" w:rsidRPr="00E838FE" w:rsidRDefault="00E838FE" w:rsidP="00E838FE">
            <w:pPr>
              <w:spacing w:before="60" w:after="60"/>
              <w:rPr>
                <w:rFonts w:cstheme="minorHAnsi"/>
                <w:i/>
                <w:sz w:val="20"/>
                <w:szCs w:val="20"/>
              </w:rPr>
            </w:pPr>
            <w:r w:rsidRPr="00E838FE">
              <w:rPr>
                <w:rFonts w:cstheme="minorHAnsi"/>
                <w:i/>
                <w:sz w:val="20"/>
                <w:szCs w:val="20"/>
              </w:rPr>
              <w:t>Liczba wdrożonych wyników prac B+R</w:t>
            </w:r>
          </w:p>
        </w:tc>
        <w:tc>
          <w:tcPr>
            <w:tcW w:w="1134" w:type="dxa"/>
            <w:vAlign w:val="center"/>
          </w:tcPr>
          <w:p w14:paraId="6C38FDAF" w14:textId="0A2F07A6" w:rsidR="00E838FE" w:rsidRPr="007F14ED" w:rsidRDefault="00E838FE" w:rsidP="00E838FE">
            <w:pPr>
              <w:spacing w:before="60" w:after="60"/>
              <w:jc w:val="center"/>
              <w:rPr>
                <w:rFonts w:cstheme="minorHAnsi"/>
                <w:sz w:val="20"/>
                <w:szCs w:val="20"/>
              </w:rPr>
            </w:pPr>
            <w:r w:rsidRPr="007F14ED">
              <w:rPr>
                <w:rFonts w:cstheme="minorHAnsi"/>
                <w:sz w:val="20"/>
                <w:szCs w:val="20"/>
              </w:rPr>
              <w:t>szt.</w:t>
            </w:r>
          </w:p>
        </w:tc>
        <w:tc>
          <w:tcPr>
            <w:tcW w:w="1418" w:type="dxa"/>
            <w:vAlign w:val="center"/>
          </w:tcPr>
          <w:p w14:paraId="616904A7" w14:textId="49452779" w:rsidR="00E838FE" w:rsidRDefault="00E838FE" w:rsidP="00E838FE">
            <w:pPr>
              <w:spacing w:before="60" w:after="60"/>
              <w:jc w:val="center"/>
              <w:rPr>
                <w:rFonts w:cstheme="minorHAnsi"/>
                <w:sz w:val="20"/>
                <w:szCs w:val="20"/>
              </w:rPr>
            </w:pPr>
            <w:r>
              <w:rPr>
                <w:rFonts w:cstheme="minorHAnsi"/>
                <w:sz w:val="20"/>
                <w:szCs w:val="20"/>
              </w:rPr>
              <w:t>rezultat</w:t>
            </w:r>
          </w:p>
        </w:tc>
        <w:tc>
          <w:tcPr>
            <w:tcW w:w="1417" w:type="dxa"/>
            <w:vAlign w:val="center"/>
          </w:tcPr>
          <w:p w14:paraId="14E47208" w14:textId="7D082153" w:rsidR="00E838FE" w:rsidRPr="007F14ED" w:rsidRDefault="00E838FE" w:rsidP="00E838FE">
            <w:pPr>
              <w:spacing w:before="60" w:after="60"/>
              <w:jc w:val="center"/>
              <w:rPr>
                <w:rFonts w:cstheme="minorHAnsi"/>
                <w:sz w:val="20"/>
                <w:szCs w:val="20"/>
              </w:rPr>
            </w:pPr>
            <w:r w:rsidRPr="007F14ED">
              <w:rPr>
                <w:rFonts w:cstheme="minorHAnsi"/>
                <w:sz w:val="20"/>
                <w:szCs w:val="20"/>
              </w:rPr>
              <w:t>kluczowy</w:t>
            </w:r>
          </w:p>
        </w:tc>
        <w:tc>
          <w:tcPr>
            <w:tcW w:w="1276" w:type="dxa"/>
            <w:vAlign w:val="center"/>
          </w:tcPr>
          <w:p w14:paraId="1AF75DF2" w14:textId="3BF35B39" w:rsidR="00E838FE" w:rsidRDefault="00E838FE" w:rsidP="00E838FE">
            <w:pPr>
              <w:spacing w:before="60" w:after="60"/>
              <w:jc w:val="center"/>
              <w:rPr>
                <w:rFonts w:cstheme="minorHAnsi"/>
                <w:sz w:val="20"/>
                <w:szCs w:val="20"/>
              </w:rPr>
            </w:pPr>
            <w:r>
              <w:rPr>
                <w:rFonts w:cstheme="minorHAnsi"/>
                <w:sz w:val="20"/>
                <w:szCs w:val="20"/>
              </w:rPr>
              <w:t>-</w:t>
            </w:r>
          </w:p>
        </w:tc>
        <w:tc>
          <w:tcPr>
            <w:tcW w:w="5670" w:type="dxa"/>
          </w:tcPr>
          <w:p w14:paraId="1EDBD9DE" w14:textId="14A8B37A" w:rsidR="00E838FE" w:rsidRPr="00E838FE" w:rsidRDefault="00E838FE" w:rsidP="00E838FE">
            <w:pPr>
              <w:spacing w:before="60" w:after="60"/>
              <w:jc w:val="both"/>
              <w:rPr>
                <w:rFonts w:cstheme="minorHAnsi"/>
                <w:sz w:val="20"/>
                <w:szCs w:val="20"/>
              </w:rPr>
            </w:pPr>
            <w:r w:rsidRPr="00E838FE">
              <w:rPr>
                <w:rFonts w:cstheme="minorHAnsi"/>
                <w:sz w:val="20"/>
                <w:szCs w:val="20"/>
              </w:rPr>
              <w:t>Liczba zakończonych pozytywnym rezultatem prac wdrożeniowych, mających na celu zastosowanie wyników prac badawczo-rozwojowych (prowadzonych przez przedsiębiorstwo w ramach projektu) poprzez uruchomienie produkcji nowych wyrobów lub modernizację wyrobów produkowanych i wprowadzenie nowych metod wytwarzania, które poprzedzają rozpoczęcie produkcji na skalę przemysłową, jak również rozpoczęcie świadczenia nowych lub znacząco ulepszonych usług.</w:t>
            </w:r>
          </w:p>
        </w:tc>
      </w:tr>
      <w:tr w:rsidR="00E838FE" w:rsidRPr="004534FE" w14:paraId="6BDB114D" w14:textId="77777777" w:rsidTr="00F161B6">
        <w:trPr>
          <w:trHeight w:val="63"/>
        </w:trPr>
        <w:tc>
          <w:tcPr>
            <w:tcW w:w="552" w:type="dxa"/>
            <w:tcBorders>
              <w:top w:val="single" w:sz="8" w:space="0" w:color="33CC33"/>
              <w:bottom w:val="single" w:sz="8" w:space="0" w:color="33CC33"/>
            </w:tcBorders>
            <w:vAlign w:val="center"/>
          </w:tcPr>
          <w:p w14:paraId="740B80E5" w14:textId="6499CBB5" w:rsidR="00E838FE" w:rsidRPr="007F14ED" w:rsidRDefault="007F2586" w:rsidP="00E838FE">
            <w:pPr>
              <w:spacing w:before="60" w:after="60"/>
              <w:jc w:val="center"/>
              <w:rPr>
                <w:rFonts w:cstheme="minorHAnsi"/>
                <w:sz w:val="20"/>
                <w:szCs w:val="20"/>
              </w:rPr>
            </w:pPr>
            <w:r>
              <w:rPr>
                <w:rFonts w:cstheme="minorHAnsi"/>
                <w:sz w:val="20"/>
                <w:szCs w:val="20"/>
              </w:rPr>
              <w:t>17</w:t>
            </w:r>
            <w:r w:rsidR="00E838FE" w:rsidRPr="007F14ED">
              <w:rPr>
                <w:rFonts w:cstheme="minorHAnsi"/>
                <w:sz w:val="20"/>
                <w:szCs w:val="20"/>
              </w:rPr>
              <w:t>.</w:t>
            </w:r>
          </w:p>
        </w:tc>
        <w:tc>
          <w:tcPr>
            <w:tcW w:w="2977" w:type="dxa"/>
            <w:tcBorders>
              <w:top w:val="single" w:sz="8" w:space="0" w:color="33CC33"/>
              <w:bottom w:val="single" w:sz="8" w:space="0" w:color="33CC33"/>
            </w:tcBorders>
            <w:vAlign w:val="center"/>
          </w:tcPr>
          <w:p w14:paraId="785CD73C" w14:textId="77013EAC" w:rsidR="00E838FE" w:rsidRPr="004A24AD" w:rsidRDefault="00E838FE" w:rsidP="00E838FE">
            <w:pPr>
              <w:autoSpaceDE w:val="0"/>
              <w:autoSpaceDN w:val="0"/>
              <w:adjustRightInd w:val="0"/>
            </w:pPr>
            <w:r w:rsidRPr="004A24AD">
              <w:rPr>
                <w:rFonts w:cstheme="minorHAnsi"/>
                <w:i/>
                <w:color w:val="000000"/>
                <w:sz w:val="20"/>
                <w:szCs w:val="20"/>
              </w:rPr>
              <w:t>Przychody ze sprzedaży nowych lub udoskonalonych produktów/usług</w:t>
            </w:r>
          </w:p>
        </w:tc>
        <w:tc>
          <w:tcPr>
            <w:tcW w:w="1134" w:type="dxa"/>
            <w:tcBorders>
              <w:top w:val="single" w:sz="8" w:space="0" w:color="33CC33"/>
              <w:bottom w:val="single" w:sz="8" w:space="0" w:color="33CC33"/>
            </w:tcBorders>
            <w:vAlign w:val="center"/>
          </w:tcPr>
          <w:p w14:paraId="1CBA175A" w14:textId="0FD999EC" w:rsidR="00E838FE" w:rsidRPr="007F14ED" w:rsidRDefault="00E838FE" w:rsidP="00E838FE">
            <w:pPr>
              <w:spacing w:before="60" w:after="60"/>
              <w:jc w:val="center"/>
              <w:rPr>
                <w:rFonts w:cstheme="minorHAnsi"/>
                <w:sz w:val="20"/>
                <w:szCs w:val="20"/>
              </w:rPr>
            </w:pPr>
            <w:r w:rsidRPr="007F14ED">
              <w:rPr>
                <w:rFonts w:cstheme="minorHAnsi"/>
                <w:sz w:val="20"/>
                <w:szCs w:val="20"/>
              </w:rPr>
              <w:t>PLN</w:t>
            </w:r>
          </w:p>
        </w:tc>
        <w:tc>
          <w:tcPr>
            <w:tcW w:w="1418" w:type="dxa"/>
            <w:tcBorders>
              <w:top w:val="single" w:sz="8" w:space="0" w:color="33CC33"/>
              <w:bottom w:val="single" w:sz="8" w:space="0" w:color="33CC33"/>
            </w:tcBorders>
            <w:vAlign w:val="center"/>
          </w:tcPr>
          <w:p w14:paraId="2A1EA998" w14:textId="29F29CB2" w:rsidR="00E838FE" w:rsidRPr="007F14ED" w:rsidRDefault="00E838FE" w:rsidP="00E838FE">
            <w:pPr>
              <w:spacing w:before="80" w:after="80"/>
              <w:jc w:val="center"/>
              <w:rPr>
                <w:rFonts w:cstheme="minorHAnsi"/>
                <w:sz w:val="20"/>
                <w:szCs w:val="20"/>
              </w:rPr>
            </w:pPr>
            <w:r w:rsidRPr="007F14ED">
              <w:rPr>
                <w:rFonts w:cstheme="minorHAnsi"/>
                <w:sz w:val="20"/>
                <w:szCs w:val="20"/>
              </w:rPr>
              <w:t>rezultat</w:t>
            </w:r>
          </w:p>
        </w:tc>
        <w:tc>
          <w:tcPr>
            <w:tcW w:w="1417" w:type="dxa"/>
            <w:tcBorders>
              <w:top w:val="single" w:sz="8" w:space="0" w:color="33CC33"/>
              <w:bottom w:val="single" w:sz="8" w:space="0" w:color="33CC33"/>
            </w:tcBorders>
            <w:vAlign w:val="center"/>
          </w:tcPr>
          <w:p w14:paraId="755CF426" w14:textId="75ABBD29" w:rsidR="00E838FE" w:rsidRPr="007F14ED" w:rsidRDefault="00E838FE" w:rsidP="00E838FE">
            <w:pPr>
              <w:spacing w:before="80" w:after="80"/>
              <w:jc w:val="center"/>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0A0F3E09" w14:textId="1D6AE0E8" w:rsidR="00E838FE" w:rsidRPr="007F14ED" w:rsidRDefault="00E838FE" w:rsidP="00E838FE">
            <w:pPr>
              <w:spacing w:before="80" w:after="80"/>
              <w:jc w:val="center"/>
              <w:rPr>
                <w:rFonts w:cstheme="minorHAnsi"/>
                <w:sz w:val="20"/>
                <w:szCs w:val="20"/>
              </w:rPr>
            </w:pPr>
            <w:r w:rsidRPr="007F14ED">
              <w:rPr>
                <w:rFonts w:cstheme="minorHAnsi"/>
                <w:sz w:val="20"/>
                <w:szCs w:val="20"/>
              </w:rPr>
              <w:t>-</w:t>
            </w:r>
          </w:p>
        </w:tc>
        <w:tc>
          <w:tcPr>
            <w:tcW w:w="5670" w:type="dxa"/>
            <w:tcBorders>
              <w:top w:val="single" w:sz="8" w:space="0" w:color="33CC33"/>
              <w:bottom w:val="single" w:sz="8" w:space="0" w:color="33CC33"/>
            </w:tcBorders>
          </w:tcPr>
          <w:p w14:paraId="5B7227B6" w14:textId="77777777" w:rsidR="00E838FE" w:rsidRPr="007F14ED" w:rsidRDefault="00E838FE" w:rsidP="00E838FE">
            <w:pPr>
              <w:jc w:val="both"/>
              <w:rPr>
                <w:rFonts w:cstheme="minorHAnsi"/>
                <w:color w:val="000000"/>
                <w:sz w:val="20"/>
                <w:szCs w:val="20"/>
              </w:rPr>
            </w:pPr>
            <w:r w:rsidRPr="007F14ED">
              <w:rPr>
                <w:rFonts w:cstheme="minorHAnsi"/>
                <w:color w:val="000000"/>
                <w:sz w:val="20"/>
                <w:szCs w:val="20"/>
              </w:rPr>
              <w:t>Przychody ze sprzedaży nowych lub znacząco ulepszonych produktów lub usług w wyniku realizowanego projektu.</w:t>
            </w:r>
          </w:p>
          <w:p w14:paraId="05CB85DD" w14:textId="77777777" w:rsidR="00E838FE" w:rsidRPr="007F14ED" w:rsidRDefault="00E838FE" w:rsidP="00E838FE">
            <w:pPr>
              <w:autoSpaceDE w:val="0"/>
              <w:autoSpaceDN w:val="0"/>
              <w:adjustRightInd w:val="0"/>
              <w:spacing w:before="80" w:after="40"/>
              <w:jc w:val="both"/>
              <w:rPr>
                <w:rFonts w:cstheme="minorHAnsi"/>
                <w:color w:val="000000"/>
                <w:sz w:val="20"/>
                <w:szCs w:val="20"/>
              </w:rPr>
            </w:pPr>
          </w:p>
        </w:tc>
      </w:tr>
    </w:tbl>
    <w:p w14:paraId="2CB61CC5" w14:textId="1CE3384B" w:rsidR="00102FB7" w:rsidRPr="004534FE" w:rsidRDefault="00102FB7" w:rsidP="00B41E97">
      <w:pPr>
        <w:tabs>
          <w:tab w:val="left" w:pos="3402"/>
          <w:tab w:val="left" w:pos="5103"/>
        </w:tabs>
        <w:jc w:val="both"/>
        <w:rPr>
          <w:rFonts w:ascii="Arial" w:hAnsi="Arial" w:cs="Arial"/>
          <w:sz w:val="20"/>
          <w:szCs w:val="20"/>
        </w:rPr>
      </w:pPr>
    </w:p>
    <w:sectPr w:rsidR="00102FB7" w:rsidRPr="004534FE" w:rsidSect="002271F7">
      <w:headerReference w:type="even" r:id="rId9"/>
      <w:headerReference w:type="default" r:id="rId10"/>
      <w:footerReference w:type="even" r:id="rId11"/>
      <w:footerReference w:type="default" r:id="rId12"/>
      <w:headerReference w:type="first" r:id="rId13"/>
      <w:footerReference w:type="first" r:id="rId14"/>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39273C" w:rsidRDefault="0039273C" w:rsidP="00A11280">
      <w:pPr>
        <w:spacing w:after="0" w:line="240" w:lineRule="auto"/>
      </w:pPr>
      <w:r>
        <w:separator/>
      </w:r>
    </w:p>
  </w:endnote>
  <w:endnote w:type="continuationSeparator" w:id="0">
    <w:p w14:paraId="2FB0BA83" w14:textId="77777777" w:rsidR="0039273C" w:rsidRDefault="0039273C"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C4E5" w14:textId="77777777" w:rsidR="00CC1BF1" w:rsidRDefault="00CC1B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39273C" w:rsidRDefault="0039273C">
        <w:pPr>
          <w:pStyle w:val="Stopka"/>
          <w:jc w:val="center"/>
        </w:pPr>
        <w:r>
          <w:fldChar w:fldCharType="begin"/>
        </w:r>
        <w:r>
          <w:instrText>PAGE   \* MERGEFORMAT</w:instrText>
        </w:r>
        <w:r>
          <w:fldChar w:fldCharType="separate"/>
        </w:r>
        <w:r w:rsidR="00CC1BF1">
          <w:rPr>
            <w:noProof/>
          </w:rPr>
          <w:t>13</w:t>
        </w:r>
        <w:r>
          <w:rPr>
            <w:noProof/>
          </w:rPr>
          <w:fldChar w:fldCharType="end"/>
        </w:r>
      </w:p>
    </w:sdtContent>
  </w:sdt>
  <w:p w14:paraId="1CE2B7A3" w14:textId="77777777" w:rsidR="0039273C" w:rsidRDefault="0039273C" w:rsidP="00442FE8">
    <w:pPr>
      <w:pStyle w:val="Stopka"/>
      <w:tabs>
        <w:tab w:val="clear" w:pos="4536"/>
        <w:tab w:val="clear" w:pos="9072"/>
        <w:tab w:val="left" w:pos="790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6FC9" w14:textId="77777777" w:rsidR="00CC1BF1" w:rsidRDefault="00CC1B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39273C" w:rsidRDefault="0039273C" w:rsidP="00A11280">
      <w:pPr>
        <w:spacing w:after="0" w:line="240" w:lineRule="auto"/>
      </w:pPr>
      <w:r>
        <w:separator/>
      </w:r>
    </w:p>
  </w:footnote>
  <w:footnote w:type="continuationSeparator" w:id="0">
    <w:p w14:paraId="70E686FE" w14:textId="77777777" w:rsidR="0039273C" w:rsidRDefault="0039273C"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69EF" w14:textId="77777777" w:rsidR="00CC1BF1" w:rsidRDefault="00CC1B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7FD8" w14:textId="6BA24971" w:rsidR="004E0EC9" w:rsidRDefault="00FA0AA4" w:rsidP="008C5488">
    <w:pPr>
      <w:pStyle w:val="Nagwek"/>
      <w:jc w:val="right"/>
      <w:rPr>
        <w:rFonts w:eastAsia="Arial" w:cs="Arial"/>
        <w:iCs/>
      </w:rPr>
    </w:pPr>
    <w:r>
      <w:rPr>
        <w:rFonts w:eastAsia="Arial" w:cs="Arial"/>
        <w:b/>
        <w:iCs/>
      </w:rPr>
      <w:t>Załącznik nr 9</w:t>
    </w:r>
    <w:r w:rsidR="004E0EC9">
      <w:rPr>
        <w:rFonts w:eastAsia="Arial" w:cs="Arial"/>
        <w:b/>
        <w:iCs/>
      </w:rPr>
      <w:t xml:space="preserve"> </w:t>
    </w:r>
    <w:r w:rsidR="004E0EC9">
      <w:rPr>
        <w:rFonts w:eastAsia="Arial" w:cs="Arial"/>
        <w:iCs/>
      </w:rPr>
      <w:t xml:space="preserve">do Regulaminu wyboru projektów </w:t>
    </w:r>
  </w:p>
  <w:p w14:paraId="64583A1D" w14:textId="69D3B6AE" w:rsidR="004E0EC9" w:rsidRDefault="004E0EC9" w:rsidP="008C5488">
    <w:pPr>
      <w:pStyle w:val="Nagwek"/>
      <w:jc w:val="right"/>
      <w:rPr>
        <w:rFonts w:eastAsia="Arial" w:cs="Arial"/>
        <w:iCs/>
      </w:rPr>
    </w:pPr>
    <w:r>
      <w:rPr>
        <w:rFonts w:eastAsia="Arial" w:cs="Arial"/>
        <w:iCs/>
      </w:rPr>
      <w:t xml:space="preserve">Działanie 1.9 Wdrożenie B+R </w:t>
    </w:r>
    <w:r w:rsidR="0079112F">
      <w:rPr>
        <w:rFonts w:eastAsia="Arial" w:cs="Arial"/>
        <w:iCs/>
      </w:rPr>
      <w:t>przez</w:t>
    </w:r>
    <w:r>
      <w:rPr>
        <w:rFonts w:eastAsia="Arial" w:cs="Arial"/>
        <w:iCs/>
      </w:rPr>
      <w:t xml:space="preserve"> MŚP</w:t>
    </w:r>
    <w:r>
      <w:rPr>
        <w:rFonts w:cs="Calibri"/>
        <w:iCs/>
      </w:rPr>
      <w:t xml:space="preserve"> </w:t>
    </w:r>
    <w:r>
      <w:rPr>
        <w:rFonts w:eastAsia="Arial" w:cs="Arial"/>
        <w:iCs/>
      </w:rPr>
      <w:t>FEO 2021-2027,</w:t>
    </w:r>
  </w:p>
  <w:p w14:paraId="33BBA3AF" w14:textId="3059AC33" w:rsidR="0039273C" w:rsidRPr="004E0EC9" w:rsidRDefault="00582908" w:rsidP="008C5488">
    <w:pPr>
      <w:pStyle w:val="Nagwek"/>
      <w:jc w:val="right"/>
      <w:rPr>
        <w:rFonts w:eastAsia="Arial" w:cs="Arial"/>
        <w:iCs/>
      </w:rPr>
    </w:pPr>
    <w:r>
      <w:rPr>
        <w:rFonts w:eastAsia="Arial" w:cs="Arial"/>
        <w:iCs/>
      </w:rPr>
      <w:t>październik</w:t>
    </w:r>
    <w:r w:rsidR="004E0EC9">
      <w:rPr>
        <w:rFonts w:eastAsia="Arial" w:cs="Arial"/>
        <w:iCs/>
      </w:rPr>
      <w:t xml:space="preserve"> 2024 r.</w:t>
    </w:r>
  </w:p>
  <w:p w14:paraId="357B97C4" w14:textId="77777777" w:rsidR="0039273C" w:rsidRPr="00FC4C51" w:rsidRDefault="0039273C" w:rsidP="00FC4C5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0424" w14:textId="179AEC73" w:rsidR="004E0EC9" w:rsidRDefault="00CC1BF1" w:rsidP="008C5488">
    <w:pPr>
      <w:pStyle w:val="Nagwek"/>
      <w:jc w:val="right"/>
      <w:rPr>
        <w:rFonts w:eastAsia="Arial" w:cs="Arial"/>
        <w:iCs/>
      </w:rPr>
    </w:pPr>
    <w:r>
      <w:rPr>
        <w:rFonts w:eastAsia="Arial" w:cs="Arial"/>
        <w:b/>
        <w:iCs/>
      </w:rPr>
      <w:t xml:space="preserve">Załącznik nr </w:t>
    </w:r>
    <w:r>
      <w:rPr>
        <w:rFonts w:eastAsia="Arial" w:cs="Arial"/>
        <w:b/>
        <w:iCs/>
      </w:rPr>
      <w:t>9</w:t>
    </w:r>
    <w:bookmarkStart w:id="1" w:name="_GoBack"/>
    <w:bookmarkEnd w:id="1"/>
    <w:r w:rsidR="004E0EC9">
      <w:rPr>
        <w:rFonts w:eastAsia="Arial" w:cs="Arial"/>
        <w:b/>
        <w:iCs/>
      </w:rPr>
      <w:t xml:space="preserve"> </w:t>
    </w:r>
    <w:r w:rsidR="004E0EC9">
      <w:rPr>
        <w:rFonts w:eastAsia="Arial" w:cs="Arial"/>
        <w:iCs/>
      </w:rPr>
      <w:t xml:space="preserve">do Regulaminu wyboru projektów </w:t>
    </w:r>
  </w:p>
  <w:p w14:paraId="7612D2AF" w14:textId="2774A587" w:rsidR="004E0EC9" w:rsidRDefault="004E0EC9" w:rsidP="008C5488">
    <w:pPr>
      <w:pStyle w:val="Nagwek"/>
      <w:jc w:val="right"/>
      <w:rPr>
        <w:rFonts w:eastAsia="Arial" w:cs="Arial"/>
        <w:iCs/>
      </w:rPr>
    </w:pPr>
    <w:r>
      <w:rPr>
        <w:rFonts w:eastAsia="Arial" w:cs="Arial"/>
        <w:iCs/>
      </w:rPr>
      <w:t xml:space="preserve">Działanie 1.9 Wdrożenie B+R </w:t>
    </w:r>
    <w:r w:rsidR="0079112F">
      <w:rPr>
        <w:rFonts w:eastAsia="Arial" w:cs="Arial"/>
        <w:iCs/>
      </w:rPr>
      <w:t>przez</w:t>
    </w:r>
    <w:r>
      <w:rPr>
        <w:rFonts w:eastAsia="Arial" w:cs="Arial"/>
        <w:iCs/>
      </w:rPr>
      <w:t xml:space="preserve"> MŚP</w:t>
    </w:r>
    <w:r>
      <w:rPr>
        <w:rFonts w:cs="Calibri"/>
        <w:iCs/>
      </w:rPr>
      <w:t xml:space="preserve"> </w:t>
    </w:r>
    <w:r>
      <w:rPr>
        <w:rFonts w:eastAsia="Arial" w:cs="Arial"/>
        <w:iCs/>
      </w:rPr>
      <w:t>FEO 2021-2027,</w:t>
    </w:r>
  </w:p>
  <w:p w14:paraId="4B297C49" w14:textId="1F3C9C5C" w:rsidR="004E0EC9" w:rsidRDefault="00582908" w:rsidP="008C5488">
    <w:pPr>
      <w:pStyle w:val="Nagwek"/>
      <w:jc w:val="right"/>
      <w:rPr>
        <w:rFonts w:eastAsia="Arial" w:cs="Arial"/>
        <w:iCs/>
      </w:rPr>
    </w:pPr>
    <w:r>
      <w:rPr>
        <w:rFonts w:eastAsia="Arial" w:cs="Arial"/>
        <w:iCs/>
      </w:rPr>
      <w:t>październik</w:t>
    </w:r>
    <w:r w:rsidR="004E0EC9">
      <w:rPr>
        <w:rFonts w:eastAsia="Arial" w:cs="Arial"/>
        <w:iCs/>
      </w:rPr>
      <w:t xml:space="preserve"> 2024 r.</w:t>
    </w:r>
  </w:p>
  <w:p w14:paraId="6F35BB29" w14:textId="11EA9641" w:rsidR="0039273C" w:rsidRPr="004E0EC9" w:rsidRDefault="0039273C" w:rsidP="004E0E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0"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abstractNumId w:val="22"/>
  </w:num>
  <w:num w:numId="2">
    <w:abstractNumId w:val="40"/>
  </w:num>
  <w:num w:numId="3">
    <w:abstractNumId w:val="19"/>
  </w:num>
  <w:num w:numId="4">
    <w:abstractNumId w:val="36"/>
  </w:num>
  <w:num w:numId="5">
    <w:abstractNumId w:val="16"/>
  </w:num>
  <w:num w:numId="6">
    <w:abstractNumId w:val="35"/>
  </w:num>
  <w:num w:numId="7">
    <w:abstractNumId w:val="23"/>
  </w:num>
  <w:num w:numId="8">
    <w:abstractNumId w:val="29"/>
  </w:num>
  <w:num w:numId="9">
    <w:abstractNumId w:val="17"/>
  </w:num>
  <w:num w:numId="10">
    <w:abstractNumId w:val="15"/>
  </w:num>
  <w:num w:numId="11">
    <w:abstractNumId w:val="3"/>
  </w:num>
  <w:num w:numId="12">
    <w:abstractNumId w:val="8"/>
  </w:num>
  <w:num w:numId="13">
    <w:abstractNumId w:val="12"/>
  </w:num>
  <w:num w:numId="14">
    <w:abstractNumId w:val="11"/>
  </w:num>
  <w:num w:numId="15">
    <w:abstractNumId w:val="38"/>
  </w:num>
  <w:num w:numId="16">
    <w:abstractNumId w:val="31"/>
  </w:num>
  <w:num w:numId="17">
    <w:abstractNumId w:val="2"/>
  </w:num>
  <w:num w:numId="18">
    <w:abstractNumId w:val="7"/>
  </w:num>
  <w:num w:numId="19">
    <w:abstractNumId w:val="33"/>
  </w:num>
  <w:num w:numId="20">
    <w:abstractNumId w:val="14"/>
  </w:num>
  <w:num w:numId="21">
    <w:abstractNumId w:val="24"/>
  </w:num>
  <w:num w:numId="22">
    <w:abstractNumId w:val="20"/>
  </w:num>
  <w:num w:numId="23">
    <w:abstractNumId w:val="41"/>
  </w:num>
  <w:num w:numId="24">
    <w:abstractNumId w:val="4"/>
  </w:num>
  <w:num w:numId="25">
    <w:abstractNumId w:val="21"/>
  </w:num>
  <w:num w:numId="26">
    <w:abstractNumId w:val="18"/>
  </w:num>
  <w:num w:numId="27">
    <w:abstractNumId w:val="34"/>
  </w:num>
  <w:num w:numId="28">
    <w:abstractNumId w:val="28"/>
  </w:num>
  <w:num w:numId="29">
    <w:abstractNumId w:val="10"/>
  </w:num>
  <w:num w:numId="30">
    <w:abstractNumId w:val="1"/>
  </w:num>
  <w:num w:numId="31">
    <w:abstractNumId w:val="27"/>
  </w:num>
  <w:num w:numId="32">
    <w:abstractNumId w:val="13"/>
  </w:num>
  <w:num w:numId="33">
    <w:abstractNumId w:val="26"/>
  </w:num>
  <w:num w:numId="34">
    <w:abstractNumId w:val="39"/>
  </w:num>
  <w:num w:numId="35">
    <w:abstractNumId w:val="6"/>
  </w:num>
  <w:num w:numId="36">
    <w:abstractNumId w:val="5"/>
  </w:num>
  <w:num w:numId="37">
    <w:abstractNumId w:val="0"/>
  </w:num>
  <w:num w:numId="38">
    <w:abstractNumId w:val="42"/>
  </w:num>
  <w:num w:numId="39">
    <w:abstractNumId w:val="9"/>
  </w:num>
  <w:num w:numId="40">
    <w:abstractNumId w:val="32"/>
  </w:num>
  <w:num w:numId="41">
    <w:abstractNumId w:val="37"/>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576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55279"/>
    <w:rsid w:val="00055EE7"/>
    <w:rsid w:val="00056886"/>
    <w:rsid w:val="00060E54"/>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D16AD"/>
    <w:rsid w:val="000D305D"/>
    <w:rsid w:val="000E1172"/>
    <w:rsid w:val="000E1828"/>
    <w:rsid w:val="000E436C"/>
    <w:rsid w:val="000E5525"/>
    <w:rsid w:val="000E7FBF"/>
    <w:rsid w:val="000F287B"/>
    <w:rsid w:val="000F36FA"/>
    <w:rsid w:val="000F4CA9"/>
    <w:rsid w:val="000F5C3F"/>
    <w:rsid w:val="001028AA"/>
    <w:rsid w:val="00102FB7"/>
    <w:rsid w:val="00103921"/>
    <w:rsid w:val="00103B1B"/>
    <w:rsid w:val="00110626"/>
    <w:rsid w:val="00111287"/>
    <w:rsid w:val="001133C2"/>
    <w:rsid w:val="00115072"/>
    <w:rsid w:val="0011616D"/>
    <w:rsid w:val="001217A7"/>
    <w:rsid w:val="00125111"/>
    <w:rsid w:val="00130708"/>
    <w:rsid w:val="00131B88"/>
    <w:rsid w:val="00136D60"/>
    <w:rsid w:val="0014329F"/>
    <w:rsid w:val="001460B1"/>
    <w:rsid w:val="00152EEA"/>
    <w:rsid w:val="00160878"/>
    <w:rsid w:val="00161C3A"/>
    <w:rsid w:val="00163090"/>
    <w:rsid w:val="00163314"/>
    <w:rsid w:val="0016581B"/>
    <w:rsid w:val="00171309"/>
    <w:rsid w:val="00176A29"/>
    <w:rsid w:val="00177222"/>
    <w:rsid w:val="0018083F"/>
    <w:rsid w:val="00180987"/>
    <w:rsid w:val="00180A81"/>
    <w:rsid w:val="001811AE"/>
    <w:rsid w:val="001844B3"/>
    <w:rsid w:val="00186FCC"/>
    <w:rsid w:val="001901EB"/>
    <w:rsid w:val="00191A19"/>
    <w:rsid w:val="001930AE"/>
    <w:rsid w:val="001957B3"/>
    <w:rsid w:val="00196A28"/>
    <w:rsid w:val="00196F2C"/>
    <w:rsid w:val="001A32D2"/>
    <w:rsid w:val="001A3780"/>
    <w:rsid w:val="001A72B1"/>
    <w:rsid w:val="001B2650"/>
    <w:rsid w:val="001B2C86"/>
    <w:rsid w:val="001C196A"/>
    <w:rsid w:val="001C4092"/>
    <w:rsid w:val="001C4E95"/>
    <w:rsid w:val="001C55A8"/>
    <w:rsid w:val="001C5E23"/>
    <w:rsid w:val="001D103E"/>
    <w:rsid w:val="001D2DFD"/>
    <w:rsid w:val="001D330B"/>
    <w:rsid w:val="001D353F"/>
    <w:rsid w:val="001D3621"/>
    <w:rsid w:val="001D7CC3"/>
    <w:rsid w:val="001E01C8"/>
    <w:rsid w:val="001E0F8E"/>
    <w:rsid w:val="001E3836"/>
    <w:rsid w:val="001E5516"/>
    <w:rsid w:val="001F1D54"/>
    <w:rsid w:val="00210D3C"/>
    <w:rsid w:val="00220524"/>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821A1"/>
    <w:rsid w:val="00283239"/>
    <w:rsid w:val="00292CCE"/>
    <w:rsid w:val="002948C3"/>
    <w:rsid w:val="00296E8A"/>
    <w:rsid w:val="002979FE"/>
    <w:rsid w:val="002A099C"/>
    <w:rsid w:val="002A3184"/>
    <w:rsid w:val="002A3A9C"/>
    <w:rsid w:val="002A3FC9"/>
    <w:rsid w:val="002A4384"/>
    <w:rsid w:val="002B08C1"/>
    <w:rsid w:val="002B17E2"/>
    <w:rsid w:val="002B294F"/>
    <w:rsid w:val="002B4B5A"/>
    <w:rsid w:val="002B5BE2"/>
    <w:rsid w:val="002B5D3A"/>
    <w:rsid w:val="002C1ECA"/>
    <w:rsid w:val="002C63EB"/>
    <w:rsid w:val="002C69A3"/>
    <w:rsid w:val="002C78D8"/>
    <w:rsid w:val="002D1F1A"/>
    <w:rsid w:val="002D1FFD"/>
    <w:rsid w:val="002D4B7F"/>
    <w:rsid w:val="002D4E55"/>
    <w:rsid w:val="002D6BC5"/>
    <w:rsid w:val="002E0DA8"/>
    <w:rsid w:val="002E2679"/>
    <w:rsid w:val="002E5263"/>
    <w:rsid w:val="002E5267"/>
    <w:rsid w:val="002F26D3"/>
    <w:rsid w:val="00306C54"/>
    <w:rsid w:val="00314703"/>
    <w:rsid w:val="003159B0"/>
    <w:rsid w:val="00316A82"/>
    <w:rsid w:val="003178FB"/>
    <w:rsid w:val="00317964"/>
    <w:rsid w:val="0032277D"/>
    <w:rsid w:val="00326841"/>
    <w:rsid w:val="00327856"/>
    <w:rsid w:val="003332CD"/>
    <w:rsid w:val="003350A1"/>
    <w:rsid w:val="0033677D"/>
    <w:rsid w:val="00340398"/>
    <w:rsid w:val="0034374D"/>
    <w:rsid w:val="00343FA6"/>
    <w:rsid w:val="00345E0B"/>
    <w:rsid w:val="0034744E"/>
    <w:rsid w:val="00352B56"/>
    <w:rsid w:val="00356D8C"/>
    <w:rsid w:val="003660CD"/>
    <w:rsid w:val="0036612F"/>
    <w:rsid w:val="00370627"/>
    <w:rsid w:val="00372AC0"/>
    <w:rsid w:val="003744E5"/>
    <w:rsid w:val="0037457E"/>
    <w:rsid w:val="00375E59"/>
    <w:rsid w:val="00382AEC"/>
    <w:rsid w:val="00383C55"/>
    <w:rsid w:val="003841BA"/>
    <w:rsid w:val="00385D73"/>
    <w:rsid w:val="0039273C"/>
    <w:rsid w:val="00393132"/>
    <w:rsid w:val="00395F5D"/>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3E7DD6"/>
    <w:rsid w:val="00403459"/>
    <w:rsid w:val="00403ADF"/>
    <w:rsid w:val="004100BB"/>
    <w:rsid w:val="00411A37"/>
    <w:rsid w:val="00413B51"/>
    <w:rsid w:val="0042026D"/>
    <w:rsid w:val="00422357"/>
    <w:rsid w:val="004224E7"/>
    <w:rsid w:val="00422A9B"/>
    <w:rsid w:val="00423D89"/>
    <w:rsid w:val="0042514A"/>
    <w:rsid w:val="00425283"/>
    <w:rsid w:val="004253A5"/>
    <w:rsid w:val="00427357"/>
    <w:rsid w:val="00430732"/>
    <w:rsid w:val="00434BAA"/>
    <w:rsid w:val="00442FE8"/>
    <w:rsid w:val="00443BDF"/>
    <w:rsid w:val="00444D52"/>
    <w:rsid w:val="004458CD"/>
    <w:rsid w:val="004528CF"/>
    <w:rsid w:val="00453084"/>
    <w:rsid w:val="004534FE"/>
    <w:rsid w:val="00453F91"/>
    <w:rsid w:val="00454139"/>
    <w:rsid w:val="004569A1"/>
    <w:rsid w:val="0046280F"/>
    <w:rsid w:val="0046432F"/>
    <w:rsid w:val="00465F90"/>
    <w:rsid w:val="0046649E"/>
    <w:rsid w:val="00466966"/>
    <w:rsid w:val="004672CD"/>
    <w:rsid w:val="00470F68"/>
    <w:rsid w:val="00481B32"/>
    <w:rsid w:val="00482FB2"/>
    <w:rsid w:val="00483DA1"/>
    <w:rsid w:val="00483F5C"/>
    <w:rsid w:val="0048600E"/>
    <w:rsid w:val="00490085"/>
    <w:rsid w:val="004910A7"/>
    <w:rsid w:val="00495097"/>
    <w:rsid w:val="004A24AD"/>
    <w:rsid w:val="004A4C98"/>
    <w:rsid w:val="004A6BDC"/>
    <w:rsid w:val="004A6D13"/>
    <w:rsid w:val="004B69CE"/>
    <w:rsid w:val="004B7E7F"/>
    <w:rsid w:val="004C2768"/>
    <w:rsid w:val="004C3420"/>
    <w:rsid w:val="004C666D"/>
    <w:rsid w:val="004D39D2"/>
    <w:rsid w:val="004E0EC9"/>
    <w:rsid w:val="004E17B4"/>
    <w:rsid w:val="004E3ACC"/>
    <w:rsid w:val="004E3FB9"/>
    <w:rsid w:val="004E7A11"/>
    <w:rsid w:val="004F3C77"/>
    <w:rsid w:val="004F6BEF"/>
    <w:rsid w:val="00501A93"/>
    <w:rsid w:val="00501C83"/>
    <w:rsid w:val="005077F3"/>
    <w:rsid w:val="005102CC"/>
    <w:rsid w:val="005129C5"/>
    <w:rsid w:val="005156EF"/>
    <w:rsid w:val="00515E54"/>
    <w:rsid w:val="00521B3D"/>
    <w:rsid w:val="00525215"/>
    <w:rsid w:val="0052639C"/>
    <w:rsid w:val="00537297"/>
    <w:rsid w:val="005402FE"/>
    <w:rsid w:val="00543A97"/>
    <w:rsid w:val="00545939"/>
    <w:rsid w:val="0056602B"/>
    <w:rsid w:val="00567072"/>
    <w:rsid w:val="00570604"/>
    <w:rsid w:val="00573A93"/>
    <w:rsid w:val="00575F75"/>
    <w:rsid w:val="00582908"/>
    <w:rsid w:val="0058726C"/>
    <w:rsid w:val="00587F10"/>
    <w:rsid w:val="00596A58"/>
    <w:rsid w:val="00596D42"/>
    <w:rsid w:val="005A14AC"/>
    <w:rsid w:val="005A4085"/>
    <w:rsid w:val="005A7CB1"/>
    <w:rsid w:val="005B2FEA"/>
    <w:rsid w:val="005B504A"/>
    <w:rsid w:val="005C01D2"/>
    <w:rsid w:val="005C03F6"/>
    <w:rsid w:val="005D5F43"/>
    <w:rsid w:val="005E4353"/>
    <w:rsid w:val="005E54E5"/>
    <w:rsid w:val="005E6E72"/>
    <w:rsid w:val="005F1689"/>
    <w:rsid w:val="005F38DE"/>
    <w:rsid w:val="005F4BF4"/>
    <w:rsid w:val="005F71E8"/>
    <w:rsid w:val="005F7A29"/>
    <w:rsid w:val="005F7C33"/>
    <w:rsid w:val="00601B5A"/>
    <w:rsid w:val="006041FA"/>
    <w:rsid w:val="006053E7"/>
    <w:rsid w:val="006074ED"/>
    <w:rsid w:val="00610768"/>
    <w:rsid w:val="0061320E"/>
    <w:rsid w:val="00613B97"/>
    <w:rsid w:val="00615A30"/>
    <w:rsid w:val="00622249"/>
    <w:rsid w:val="00624C31"/>
    <w:rsid w:val="00624D16"/>
    <w:rsid w:val="006264FA"/>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8478B"/>
    <w:rsid w:val="00685C89"/>
    <w:rsid w:val="00694A28"/>
    <w:rsid w:val="006A2401"/>
    <w:rsid w:val="006A43A9"/>
    <w:rsid w:val="006A460D"/>
    <w:rsid w:val="006A579D"/>
    <w:rsid w:val="006A74EE"/>
    <w:rsid w:val="006B1E28"/>
    <w:rsid w:val="006B1ED3"/>
    <w:rsid w:val="006B6022"/>
    <w:rsid w:val="006B7DBF"/>
    <w:rsid w:val="006C41DC"/>
    <w:rsid w:val="006C44ED"/>
    <w:rsid w:val="006C77D9"/>
    <w:rsid w:val="006D2E34"/>
    <w:rsid w:val="006D356F"/>
    <w:rsid w:val="006D63E7"/>
    <w:rsid w:val="006E194D"/>
    <w:rsid w:val="006E2806"/>
    <w:rsid w:val="006E4410"/>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A77"/>
    <w:rsid w:val="00742D49"/>
    <w:rsid w:val="00747375"/>
    <w:rsid w:val="007510A4"/>
    <w:rsid w:val="0075314C"/>
    <w:rsid w:val="00757A2D"/>
    <w:rsid w:val="00760B0C"/>
    <w:rsid w:val="00761D7C"/>
    <w:rsid w:val="00762BB5"/>
    <w:rsid w:val="00774CE2"/>
    <w:rsid w:val="00774FA1"/>
    <w:rsid w:val="007754AA"/>
    <w:rsid w:val="00775B56"/>
    <w:rsid w:val="00780302"/>
    <w:rsid w:val="0078060A"/>
    <w:rsid w:val="007815E2"/>
    <w:rsid w:val="007819E8"/>
    <w:rsid w:val="007832FF"/>
    <w:rsid w:val="00783A8E"/>
    <w:rsid w:val="00790A97"/>
    <w:rsid w:val="0079112F"/>
    <w:rsid w:val="0079394C"/>
    <w:rsid w:val="007976B1"/>
    <w:rsid w:val="007A27F7"/>
    <w:rsid w:val="007A69E4"/>
    <w:rsid w:val="007B0796"/>
    <w:rsid w:val="007B3E77"/>
    <w:rsid w:val="007C41F6"/>
    <w:rsid w:val="007D00DC"/>
    <w:rsid w:val="007D3E62"/>
    <w:rsid w:val="007D46E8"/>
    <w:rsid w:val="007D4C96"/>
    <w:rsid w:val="007D7F49"/>
    <w:rsid w:val="007E034D"/>
    <w:rsid w:val="007E1DB5"/>
    <w:rsid w:val="007E2806"/>
    <w:rsid w:val="007F0A9C"/>
    <w:rsid w:val="007F14ED"/>
    <w:rsid w:val="007F2586"/>
    <w:rsid w:val="007F6DFA"/>
    <w:rsid w:val="008001AD"/>
    <w:rsid w:val="0080142A"/>
    <w:rsid w:val="00803AA7"/>
    <w:rsid w:val="00806531"/>
    <w:rsid w:val="00811CFE"/>
    <w:rsid w:val="00813ACE"/>
    <w:rsid w:val="008157E3"/>
    <w:rsid w:val="008172D4"/>
    <w:rsid w:val="00820327"/>
    <w:rsid w:val="008277E7"/>
    <w:rsid w:val="00830CD1"/>
    <w:rsid w:val="00831DA4"/>
    <w:rsid w:val="00833C84"/>
    <w:rsid w:val="0083699C"/>
    <w:rsid w:val="00840F98"/>
    <w:rsid w:val="008417F9"/>
    <w:rsid w:val="008428E9"/>
    <w:rsid w:val="0084387E"/>
    <w:rsid w:val="00852566"/>
    <w:rsid w:val="00861566"/>
    <w:rsid w:val="00861990"/>
    <w:rsid w:val="00862EA9"/>
    <w:rsid w:val="00864E42"/>
    <w:rsid w:val="00865157"/>
    <w:rsid w:val="00870BF6"/>
    <w:rsid w:val="008733AB"/>
    <w:rsid w:val="00874EED"/>
    <w:rsid w:val="00881689"/>
    <w:rsid w:val="008823AA"/>
    <w:rsid w:val="00883127"/>
    <w:rsid w:val="00884566"/>
    <w:rsid w:val="00886B5E"/>
    <w:rsid w:val="0089055E"/>
    <w:rsid w:val="008974BB"/>
    <w:rsid w:val="008A02D7"/>
    <w:rsid w:val="008A3625"/>
    <w:rsid w:val="008A7CB6"/>
    <w:rsid w:val="008C315C"/>
    <w:rsid w:val="008C4EE2"/>
    <w:rsid w:val="008C5488"/>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8F7C59"/>
    <w:rsid w:val="00902971"/>
    <w:rsid w:val="009036F8"/>
    <w:rsid w:val="00905AC7"/>
    <w:rsid w:val="00905B49"/>
    <w:rsid w:val="009119D4"/>
    <w:rsid w:val="00913370"/>
    <w:rsid w:val="00913791"/>
    <w:rsid w:val="0091642B"/>
    <w:rsid w:val="00916534"/>
    <w:rsid w:val="0091660E"/>
    <w:rsid w:val="00917D52"/>
    <w:rsid w:val="00921408"/>
    <w:rsid w:val="00923DC2"/>
    <w:rsid w:val="0092434A"/>
    <w:rsid w:val="009246BE"/>
    <w:rsid w:val="00930C72"/>
    <w:rsid w:val="00944557"/>
    <w:rsid w:val="009447D5"/>
    <w:rsid w:val="009458D9"/>
    <w:rsid w:val="0094668B"/>
    <w:rsid w:val="00953A2D"/>
    <w:rsid w:val="00957E5D"/>
    <w:rsid w:val="0096569F"/>
    <w:rsid w:val="0096700F"/>
    <w:rsid w:val="00970072"/>
    <w:rsid w:val="00974060"/>
    <w:rsid w:val="00975F71"/>
    <w:rsid w:val="0097781B"/>
    <w:rsid w:val="00977FE3"/>
    <w:rsid w:val="00986C2B"/>
    <w:rsid w:val="0098771A"/>
    <w:rsid w:val="009878A1"/>
    <w:rsid w:val="00991562"/>
    <w:rsid w:val="00992F45"/>
    <w:rsid w:val="00993E65"/>
    <w:rsid w:val="0099519F"/>
    <w:rsid w:val="00997070"/>
    <w:rsid w:val="009A0CEB"/>
    <w:rsid w:val="009A1C80"/>
    <w:rsid w:val="009B1AF2"/>
    <w:rsid w:val="009B1C1D"/>
    <w:rsid w:val="009B3E76"/>
    <w:rsid w:val="009B5198"/>
    <w:rsid w:val="009B5BB5"/>
    <w:rsid w:val="009B6505"/>
    <w:rsid w:val="009C1E3C"/>
    <w:rsid w:val="009C4F1B"/>
    <w:rsid w:val="009C6492"/>
    <w:rsid w:val="009D29FB"/>
    <w:rsid w:val="009D4EE9"/>
    <w:rsid w:val="009D760C"/>
    <w:rsid w:val="009E1752"/>
    <w:rsid w:val="009E3594"/>
    <w:rsid w:val="009E3C4A"/>
    <w:rsid w:val="009F297D"/>
    <w:rsid w:val="009F441F"/>
    <w:rsid w:val="00A024A6"/>
    <w:rsid w:val="00A0678F"/>
    <w:rsid w:val="00A11280"/>
    <w:rsid w:val="00A12330"/>
    <w:rsid w:val="00A12854"/>
    <w:rsid w:val="00A13FD0"/>
    <w:rsid w:val="00A17925"/>
    <w:rsid w:val="00A21B4F"/>
    <w:rsid w:val="00A229B6"/>
    <w:rsid w:val="00A23168"/>
    <w:rsid w:val="00A23361"/>
    <w:rsid w:val="00A258D8"/>
    <w:rsid w:val="00A26F6A"/>
    <w:rsid w:val="00A37E09"/>
    <w:rsid w:val="00A406FE"/>
    <w:rsid w:val="00A4517A"/>
    <w:rsid w:val="00A55E0F"/>
    <w:rsid w:val="00A56DCC"/>
    <w:rsid w:val="00A61D10"/>
    <w:rsid w:val="00A64913"/>
    <w:rsid w:val="00A74993"/>
    <w:rsid w:val="00A7590E"/>
    <w:rsid w:val="00A75D3B"/>
    <w:rsid w:val="00A76BDD"/>
    <w:rsid w:val="00A81A9E"/>
    <w:rsid w:val="00A83DBA"/>
    <w:rsid w:val="00A85AB9"/>
    <w:rsid w:val="00A86243"/>
    <w:rsid w:val="00A91CD6"/>
    <w:rsid w:val="00A93672"/>
    <w:rsid w:val="00A967AC"/>
    <w:rsid w:val="00A96B60"/>
    <w:rsid w:val="00A9780F"/>
    <w:rsid w:val="00AA43DC"/>
    <w:rsid w:val="00AB176A"/>
    <w:rsid w:val="00AB186A"/>
    <w:rsid w:val="00AB6726"/>
    <w:rsid w:val="00AC12E7"/>
    <w:rsid w:val="00AC22E3"/>
    <w:rsid w:val="00AC4C19"/>
    <w:rsid w:val="00AD244B"/>
    <w:rsid w:val="00AD497B"/>
    <w:rsid w:val="00AD69B8"/>
    <w:rsid w:val="00AD6A25"/>
    <w:rsid w:val="00AD7C6B"/>
    <w:rsid w:val="00AE1F0B"/>
    <w:rsid w:val="00AF2D17"/>
    <w:rsid w:val="00AF42AA"/>
    <w:rsid w:val="00AF7E93"/>
    <w:rsid w:val="00B118EC"/>
    <w:rsid w:val="00B12AE2"/>
    <w:rsid w:val="00B25DDC"/>
    <w:rsid w:val="00B26A50"/>
    <w:rsid w:val="00B33396"/>
    <w:rsid w:val="00B34318"/>
    <w:rsid w:val="00B4195E"/>
    <w:rsid w:val="00B41E97"/>
    <w:rsid w:val="00B43839"/>
    <w:rsid w:val="00B4493F"/>
    <w:rsid w:val="00B503CF"/>
    <w:rsid w:val="00B52A4E"/>
    <w:rsid w:val="00B53551"/>
    <w:rsid w:val="00B60267"/>
    <w:rsid w:val="00B64A26"/>
    <w:rsid w:val="00B6688C"/>
    <w:rsid w:val="00B6775E"/>
    <w:rsid w:val="00B71412"/>
    <w:rsid w:val="00B71581"/>
    <w:rsid w:val="00B73E4B"/>
    <w:rsid w:val="00B7446F"/>
    <w:rsid w:val="00B74748"/>
    <w:rsid w:val="00B91714"/>
    <w:rsid w:val="00B921A1"/>
    <w:rsid w:val="00B974D2"/>
    <w:rsid w:val="00B97C67"/>
    <w:rsid w:val="00BA534A"/>
    <w:rsid w:val="00BA60AC"/>
    <w:rsid w:val="00BA6726"/>
    <w:rsid w:val="00BB0333"/>
    <w:rsid w:val="00BB0608"/>
    <w:rsid w:val="00BC1E69"/>
    <w:rsid w:val="00BC440C"/>
    <w:rsid w:val="00BC44F5"/>
    <w:rsid w:val="00BC7065"/>
    <w:rsid w:val="00BC7E9A"/>
    <w:rsid w:val="00BD1880"/>
    <w:rsid w:val="00BD1A41"/>
    <w:rsid w:val="00BD38E2"/>
    <w:rsid w:val="00BD4C56"/>
    <w:rsid w:val="00BD54E4"/>
    <w:rsid w:val="00BD5C87"/>
    <w:rsid w:val="00BD6CBC"/>
    <w:rsid w:val="00BD721D"/>
    <w:rsid w:val="00BE377C"/>
    <w:rsid w:val="00BE3D3B"/>
    <w:rsid w:val="00BE71DE"/>
    <w:rsid w:val="00BF2B8A"/>
    <w:rsid w:val="00BF36C7"/>
    <w:rsid w:val="00BF6876"/>
    <w:rsid w:val="00C05389"/>
    <w:rsid w:val="00C06450"/>
    <w:rsid w:val="00C114E9"/>
    <w:rsid w:val="00C149FA"/>
    <w:rsid w:val="00C16418"/>
    <w:rsid w:val="00C17C93"/>
    <w:rsid w:val="00C25BD5"/>
    <w:rsid w:val="00C3471A"/>
    <w:rsid w:val="00C36E39"/>
    <w:rsid w:val="00C374C2"/>
    <w:rsid w:val="00C37A8F"/>
    <w:rsid w:val="00C37E25"/>
    <w:rsid w:val="00C43ACD"/>
    <w:rsid w:val="00C44C0C"/>
    <w:rsid w:val="00C51F9B"/>
    <w:rsid w:val="00C5569D"/>
    <w:rsid w:val="00C55929"/>
    <w:rsid w:val="00C56394"/>
    <w:rsid w:val="00C56BC1"/>
    <w:rsid w:val="00C73BC9"/>
    <w:rsid w:val="00C762FB"/>
    <w:rsid w:val="00C83B73"/>
    <w:rsid w:val="00C845B1"/>
    <w:rsid w:val="00C91E02"/>
    <w:rsid w:val="00C93A1D"/>
    <w:rsid w:val="00C9500E"/>
    <w:rsid w:val="00C953C5"/>
    <w:rsid w:val="00C95762"/>
    <w:rsid w:val="00C965FE"/>
    <w:rsid w:val="00C97197"/>
    <w:rsid w:val="00C976A3"/>
    <w:rsid w:val="00CA1A8B"/>
    <w:rsid w:val="00CA3565"/>
    <w:rsid w:val="00CA4446"/>
    <w:rsid w:val="00CA6966"/>
    <w:rsid w:val="00CB2D0B"/>
    <w:rsid w:val="00CB60EC"/>
    <w:rsid w:val="00CB7564"/>
    <w:rsid w:val="00CC1BF1"/>
    <w:rsid w:val="00CC7854"/>
    <w:rsid w:val="00CD10E5"/>
    <w:rsid w:val="00CD1A35"/>
    <w:rsid w:val="00CD70FA"/>
    <w:rsid w:val="00CE040A"/>
    <w:rsid w:val="00CF0720"/>
    <w:rsid w:val="00CF1602"/>
    <w:rsid w:val="00CF558C"/>
    <w:rsid w:val="00CF7C96"/>
    <w:rsid w:val="00D01141"/>
    <w:rsid w:val="00D028C2"/>
    <w:rsid w:val="00D02C92"/>
    <w:rsid w:val="00D03DF0"/>
    <w:rsid w:val="00D07438"/>
    <w:rsid w:val="00D101B5"/>
    <w:rsid w:val="00D11990"/>
    <w:rsid w:val="00D12DE8"/>
    <w:rsid w:val="00D43689"/>
    <w:rsid w:val="00D44D7D"/>
    <w:rsid w:val="00D509E2"/>
    <w:rsid w:val="00D5495E"/>
    <w:rsid w:val="00D5721C"/>
    <w:rsid w:val="00D67B61"/>
    <w:rsid w:val="00D708B3"/>
    <w:rsid w:val="00D73DC2"/>
    <w:rsid w:val="00D80AAE"/>
    <w:rsid w:val="00D822A7"/>
    <w:rsid w:val="00D8458B"/>
    <w:rsid w:val="00D84AF7"/>
    <w:rsid w:val="00D92CB0"/>
    <w:rsid w:val="00D957C4"/>
    <w:rsid w:val="00D95C70"/>
    <w:rsid w:val="00DA1AA6"/>
    <w:rsid w:val="00DA3986"/>
    <w:rsid w:val="00DA4D8E"/>
    <w:rsid w:val="00DC07D6"/>
    <w:rsid w:val="00DC1F31"/>
    <w:rsid w:val="00DC5A06"/>
    <w:rsid w:val="00DC76DB"/>
    <w:rsid w:val="00DD5135"/>
    <w:rsid w:val="00DD52AA"/>
    <w:rsid w:val="00DD5A07"/>
    <w:rsid w:val="00DD5DAB"/>
    <w:rsid w:val="00DE16A7"/>
    <w:rsid w:val="00DE2EBA"/>
    <w:rsid w:val="00DE4C96"/>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99E"/>
    <w:rsid w:val="00E57E0B"/>
    <w:rsid w:val="00E640C6"/>
    <w:rsid w:val="00E64D78"/>
    <w:rsid w:val="00E65FED"/>
    <w:rsid w:val="00E71757"/>
    <w:rsid w:val="00E73D82"/>
    <w:rsid w:val="00E76A86"/>
    <w:rsid w:val="00E82132"/>
    <w:rsid w:val="00E838FE"/>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14DAD"/>
    <w:rsid w:val="00F161B6"/>
    <w:rsid w:val="00F20335"/>
    <w:rsid w:val="00F208EB"/>
    <w:rsid w:val="00F21C17"/>
    <w:rsid w:val="00F24558"/>
    <w:rsid w:val="00F30232"/>
    <w:rsid w:val="00F316E9"/>
    <w:rsid w:val="00F32317"/>
    <w:rsid w:val="00F33839"/>
    <w:rsid w:val="00F3485A"/>
    <w:rsid w:val="00F34A8F"/>
    <w:rsid w:val="00F4137B"/>
    <w:rsid w:val="00F4536B"/>
    <w:rsid w:val="00F46F9E"/>
    <w:rsid w:val="00F4759C"/>
    <w:rsid w:val="00F47813"/>
    <w:rsid w:val="00F50AA2"/>
    <w:rsid w:val="00F53B6A"/>
    <w:rsid w:val="00F54C3D"/>
    <w:rsid w:val="00F6180E"/>
    <w:rsid w:val="00F74401"/>
    <w:rsid w:val="00F74BA2"/>
    <w:rsid w:val="00F74EE0"/>
    <w:rsid w:val="00F75B93"/>
    <w:rsid w:val="00F85A76"/>
    <w:rsid w:val="00F8660F"/>
    <w:rsid w:val="00F91A40"/>
    <w:rsid w:val="00F95885"/>
    <w:rsid w:val="00FA05CA"/>
    <w:rsid w:val="00FA0AA4"/>
    <w:rsid w:val="00FA1FFA"/>
    <w:rsid w:val="00FA2FFB"/>
    <w:rsid w:val="00FA6B10"/>
    <w:rsid w:val="00FB0ABD"/>
    <w:rsid w:val="00FB2D95"/>
    <w:rsid w:val="00FB5883"/>
    <w:rsid w:val="00FC01D2"/>
    <w:rsid w:val="00FC4736"/>
    <w:rsid w:val="00FC4B31"/>
    <w:rsid w:val="00FC4C51"/>
    <w:rsid w:val="00FC63DC"/>
    <w:rsid w:val="00FD0483"/>
    <w:rsid w:val="00FD1A2C"/>
    <w:rsid w:val="00FD3BF5"/>
    <w:rsid w:val="00FD464C"/>
    <w:rsid w:val="00FD69C6"/>
    <w:rsid w:val="00FE2349"/>
    <w:rsid w:val="00FF4003"/>
    <w:rsid w:val="00FF53E7"/>
    <w:rsid w:val="00FF7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paragraph" w:styleId="Nagwek1">
    <w:name w:val="heading 1"/>
    <w:basedOn w:val="Normalny"/>
    <w:next w:val="Normalny"/>
    <w:link w:val="Nagwek1Znak"/>
    <w:uiPriority w:val="9"/>
    <w:qFormat/>
    <w:rsid w:val="00694A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iPriority w:val="99"/>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694A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666">
      <w:bodyDiv w:val="1"/>
      <w:marLeft w:val="0"/>
      <w:marRight w:val="0"/>
      <w:marTop w:val="0"/>
      <w:marBottom w:val="0"/>
      <w:divBdr>
        <w:top w:val="none" w:sz="0" w:space="0" w:color="auto"/>
        <w:left w:val="none" w:sz="0" w:space="0" w:color="auto"/>
        <w:bottom w:val="none" w:sz="0" w:space="0" w:color="auto"/>
        <w:right w:val="none" w:sz="0" w:space="0" w:color="auto"/>
      </w:divBdr>
    </w:div>
    <w:div w:id="75127388">
      <w:bodyDiv w:val="1"/>
      <w:marLeft w:val="0"/>
      <w:marRight w:val="0"/>
      <w:marTop w:val="0"/>
      <w:marBottom w:val="0"/>
      <w:divBdr>
        <w:top w:val="none" w:sz="0" w:space="0" w:color="auto"/>
        <w:left w:val="none" w:sz="0" w:space="0" w:color="auto"/>
        <w:bottom w:val="none" w:sz="0" w:space="0" w:color="auto"/>
        <w:right w:val="none" w:sz="0" w:space="0" w:color="auto"/>
      </w:divBdr>
    </w:div>
    <w:div w:id="85152873">
      <w:bodyDiv w:val="1"/>
      <w:marLeft w:val="0"/>
      <w:marRight w:val="0"/>
      <w:marTop w:val="0"/>
      <w:marBottom w:val="0"/>
      <w:divBdr>
        <w:top w:val="none" w:sz="0" w:space="0" w:color="auto"/>
        <w:left w:val="none" w:sz="0" w:space="0" w:color="auto"/>
        <w:bottom w:val="none" w:sz="0" w:space="0" w:color="auto"/>
        <w:right w:val="none" w:sz="0" w:space="0" w:color="auto"/>
      </w:divBdr>
    </w:div>
    <w:div w:id="97916815">
      <w:bodyDiv w:val="1"/>
      <w:marLeft w:val="0"/>
      <w:marRight w:val="0"/>
      <w:marTop w:val="0"/>
      <w:marBottom w:val="0"/>
      <w:divBdr>
        <w:top w:val="none" w:sz="0" w:space="0" w:color="auto"/>
        <w:left w:val="none" w:sz="0" w:space="0" w:color="auto"/>
        <w:bottom w:val="none" w:sz="0" w:space="0" w:color="auto"/>
        <w:right w:val="none" w:sz="0" w:space="0" w:color="auto"/>
      </w:divBdr>
    </w:div>
    <w:div w:id="111674754">
      <w:bodyDiv w:val="1"/>
      <w:marLeft w:val="0"/>
      <w:marRight w:val="0"/>
      <w:marTop w:val="0"/>
      <w:marBottom w:val="0"/>
      <w:divBdr>
        <w:top w:val="none" w:sz="0" w:space="0" w:color="auto"/>
        <w:left w:val="none" w:sz="0" w:space="0" w:color="auto"/>
        <w:bottom w:val="none" w:sz="0" w:space="0" w:color="auto"/>
        <w:right w:val="none" w:sz="0" w:space="0" w:color="auto"/>
      </w:divBdr>
    </w:div>
    <w:div w:id="113450022">
      <w:bodyDiv w:val="1"/>
      <w:marLeft w:val="0"/>
      <w:marRight w:val="0"/>
      <w:marTop w:val="0"/>
      <w:marBottom w:val="0"/>
      <w:divBdr>
        <w:top w:val="none" w:sz="0" w:space="0" w:color="auto"/>
        <w:left w:val="none" w:sz="0" w:space="0" w:color="auto"/>
        <w:bottom w:val="none" w:sz="0" w:space="0" w:color="auto"/>
        <w:right w:val="none" w:sz="0" w:space="0" w:color="auto"/>
      </w:divBdr>
    </w:div>
    <w:div w:id="136608831">
      <w:bodyDiv w:val="1"/>
      <w:marLeft w:val="0"/>
      <w:marRight w:val="0"/>
      <w:marTop w:val="0"/>
      <w:marBottom w:val="0"/>
      <w:divBdr>
        <w:top w:val="none" w:sz="0" w:space="0" w:color="auto"/>
        <w:left w:val="none" w:sz="0" w:space="0" w:color="auto"/>
        <w:bottom w:val="none" w:sz="0" w:space="0" w:color="auto"/>
        <w:right w:val="none" w:sz="0" w:space="0" w:color="auto"/>
      </w:divBdr>
    </w:div>
    <w:div w:id="144589201">
      <w:bodyDiv w:val="1"/>
      <w:marLeft w:val="0"/>
      <w:marRight w:val="0"/>
      <w:marTop w:val="0"/>
      <w:marBottom w:val="0"/>
      <w:divBdr>
        <w:top w:val="none" w:sz="0" w:space="0" w:color="auto"/>
        <w:left w:val="none" w:sz="0" w:space="0" w:color="auto"/>
        <w:bottom w:val="none" w:sz="0" w:space="0" w:color="auto"/>
        <w:right w:val="none" w:sz="0" w:space="0" w:color="auto"/>
      </w:divBdr>
    </w:div>
    <w:div w:id="195192080">
      <w:bodyDiv w:val="1"/>
      <w:marLeft w:val="0"/>
      <w:marRight w:val="0"/>
      <w:marTop w:val="0"/>
      <w:marBottom w:val="0"/>
      <w:divBdr>
        <w:top w:val="none" w:sz="0" w:space="0" w:color="auto"/>
        <w:left w:val="none" w:sz="0" w:space="0" w:color="auto"/>
        <w:bottom w:val="none" w:sz="0" w:space="0" w:color="auto"/>
        <w:right w:val="none" w:sz="0" w:space="0" w:color="auto"/>
      </w:divBdr>
    </w:div>
    <w:div w:id="197395986">
      <w:bodyDiv w:val="1"/>
      <w:marLeft w:val="0"/>
      <w:marRight w:val="0"/>
      <w:marTop w:val="0"/>
      <w:marBottom w:val="0"/>
      <w:divBdr>
        <w:top w:val="none" w:sz="0" w:space="0" w:color="auto"/>
        <w:left w:val="none" w:sz="0" w:space="0" w:color="auto"/>
        <w:bottom w:val="none" w:sz="0" w:space="0" w:color="auto"/>
        <w:right w:val="none" w:sz="0" w:space="0" w:color="auto"/>
      </w:divBdr>
    </w:div>
    <w:div w:id="202178695">
      <w:bodyDiv w:val="1"/>
      <w:marLeft w:val="0"/>
      <w:marRight w:val="0"/>
      <w:marTop w:val="0"/>
      <w:marBottom w:val="0"/>
      <w:divBdr>
        <w:top w:val="none" w:sz="0" w:space="0" w:color="auto"/>
        <w:left w:val="none" w:sz="0" w:space="0" w:color="auto"/>
        <w:bottom w:val="none" w:sz="0" w:space="0" w:color="auto"/>
        <w:right w:val="none" w:sz="0" w:space="0" w:color="auto"/>
      </w:divBdr>
    </w:div>
    <w:div w:id="224460971">
      <w:bodyDiv w:val="1"/>
      <w:marLeft w:val="0"/>
      <w:marRight w:val="0"/>
      <w:marTop w:val="0"/>
      <w:marBottom w:val="0"/>
      <w:divBdr>
        <w:top w:val="none" w:sz="0" w:space="0" w:color="auto"/>
        <w:left w:val="none" w:sz="0" w:space="0" w:color="auto"/>
        <w:bottom w:val="none" w:sz="0" w:space="0" w:color="auto"/>
        <w:right w:val="none" w:sz="0" w:space="0" w:color="auto"/>
      </w:divBdr>
    </w:div>
    <w:div w:id="258569433">
      <w:bodyDiv w:val="1"/>
      <w:marLeft w:val="0"/>
      <w:marRight w:val="0"/>
      <w:marTop w:val="0"/>
      <w:marBottom w:val="0"/>
      <w:divBdr>
        <w:top w:val="none" w:sz="0" w:space="0" w:color="auto"/>
        <w:left w:val="none" w:sz="0" w:space="0" w:color="auto"/>
        <w:bottom w:val="none" w:sz="0" w:space="0" w:color="auto"/>
        <w:right w:val="none" w:sz="0" w:space="0" w:color="auto"/>
      </w:divBdr>
    </w:div>
    <w:div w:id="291206553">
      <w:bodyDiv w:val="1"/>
      <w:marLeft w:val="0"/>
      <w:marRight w:val="0"/>
      <w:marTop w:val="0"/>
      <w:marBottom w:val="0"/>
      <w:divBdr>
        <w:top w:val="none" w:sz="0" w:space="0" w:color="auto"/>
        <w:left w:val="none" w:sz="0" w:space="0" w:color="auto"/>
        <w:bottom w:val="none" w:sz="0" w:space="0" w:color="auto"/>
        <w:right w:val="none" w:sz="0" w:space="0" w:color="auto"/>
      </w:divBdr>
    </w:div>
    <w:div w:id="327682101">
      <w:bodyDiv w:val="1"/>
      <w:marLeft w:val="0"/>
      <w:marRight w:val="0"/>
      <w:marTop w:val="0"/>
      <w:marBottom w:val="0"/>
      <w:divBdr>
        <w:top w:val="none" w:sz="0" w:space="0" w:color="auto"/>
        <w:left w:val="none" w:sz="0" w:space="0" w:color="auto"/>
        <w:bottom w:val="none" w:sz="0" w:space="0" w:color="auto"/>
        <w:right w:val="none" w:sz="0" w:space="0" w:color="auto"/>
      </w:divBdr>
    </w:div>
    <w:div w:id="331417591">
      <w:bodyDiv w:val="1"/>
      <w:marLeft w:val="0"/>
      <w:marRight w:val="0"/>
      <w:marTop w:val="0"/>
      <w:marBottom w:val="0"/>
      <w:divBdr>
        <w:top w:val="none" w:sz="0" w:space="0" w:color="auto"/>
        <w:left w:val="none" w:sz="0" w:space="0" w:color="auto"/>
        <w:bottom w:val="none" w:sz="0" w:space="0" w:color="auto"/>
        <w:right w:val="none" w:sz="0" w:space="0" w:color="auto"/>
      </w:divBdr>
    </w:div>
    <w:div w:id="333537231">
      <w:bodyDiv w:val="1"/>
      <w:marLeft w:val="0"/>
      <w:marRight w:val="0"/>
      <w:marTop w:val="0"/>
      <w:marBottom w:val="0"/>
      <w:divBdr>
        <w:top w:val="none" w:sz="0" w:space="0" w:color="auto"/>
        <w:left w:val="none" w:sz="0" w:space="0" w:color="auto"/>
        <w:bottom w:val="none" w:sz="0" w:space="0" w:color="auto"/>
        <w:right w:val="none" w:sz="0" w:space="0" w:color="auto"/>
      </w:divBdr>
    </w:div>
    <w:div w:id="345984735">
      <w:bodyDiv w:val="1"/>
      <w:marLeft w:val="0"/>
      <w:marRight w:val="0"/>
      <w:marTop w:val="0"/>
      <w:marBottom w:val="0"/>
      <w:divBdr>
        <w:top w:val="none" w:sz="0" w:space="0" w:color="auto"/>
        <w:left w:val="none" w:sz="0" w:space="0" w:color="auto"/>
        <w:bottom w:val="none" w:sz="0" w:space="0" w:color="auto"/>
        <w:right w:val="none" w:sz="0" w:space="0" w:color="auto"/>
      </w:divBdr>
    </w:div>
    <w:div w:id="383910475">
      <w:bodyDiv w:val="1"/>
      <w:marLeft w:val="0"/>
      <w:marRight w:val="0"/>
      <w:marTop w:val="0"/>
      <w:marBottom w:val="0"/>
      <w:divBdr>
        <w:top w:val="none" w:sz="0" w:space="0" w:color="auto"/>
        <w:left w:val="none" w:sz="0" w:space="0" w:color="auto"/>
        <w:bottom w:val="none" w:sz="0" w:space="0" w:color="auto"/>
        <w:right w:val="none" w:sz="0" w:space="0" w:color="auto"/>
      </w:divBdr>
    </w:div>
    <w:div w:id="398794010">
      <w:bodyDiv w:val="1"/>
      <w:marLeft w:val="0"/>
      <w:marRight w:val="0"/>
      <w:marTop w:val="0"/>
      <w:marBottom w:val="0"/>
      <w:divBdr>
        <w:top w:val="none" w:sz="0" w:space="0" w:color="auto"/>
        <w:left w:val="none" w:sz="0" w:space="0" w:color="auto"/>
        <w:bottom w:val="none" w:sz="0" w:space="0" w:color="auto"/>
        <w:right w:val="none" w:sz="0" w:space="0" w:color="auto"/>
      </w:divBdr>
    </w:div>
    <w:div w:id="408036811">
      <w:bodyDiv w:val="1"/>
      <w:marLeft w:val="0"/>
      <w:marRight w:val="0"/>
      <w:marTop w:val="0"/>
      <w:marBottom w:val="0"/>
      <w:divBdr>
        <w:top w:val="none" w:sz="0" w:space="0" w:color="auto"/>
        <w:left w:val="none" w:sz="0" w:space="0" w:color="auto"/>
        <w:bottom w:val="none" w:sz="0" w:space="0" w:color="auto"/>
        <w:right w:val="none" w:sz="0" w:space="0" w:color="auto"/>
      </w:divBdr>
    </w:div>
    <w:div w:id="421604663">
      <w:bodyDiv w:val="1"/>
      <w:marLeft w:val="0"/>
      <w:marRight w:val="0"/>
      <w:marTop w:val="0"/>
      <w:marBottom w:val="0"/>
      <w:divBdr>
        <w:top w:val="none" w:sz="0" w:space="0" w:color="auto"/>
        <w:left w:val="none" w:sz="0" w:space="0" w:color="auto"/>
        <w:bottom w:val="none" w:sz="0" w:space="0" w:color="auto"/>
        <w:right w:val="none" w:sz="0" w:space="0" w:color="auto"/>
      </w:divBdr>
    </w:div>
    <w:div w:id="437214984">
      <w:bodyDiv w:val="1"/>
      <w:marLeft w:val="0"/>
      <w:marRight w:val="0"/>
      <w:marTop w:val="0"/>
      <w:marBottom w:val="0"/>
      <w:divBdr>
        <w:top w:val="none" w:sz="0" w:space="0" w:color="auto"/>
        <w:left w:val="none" w:sz="0" w:space="0" w:color="auto"/>
        <w:bottom w:val="none" w:sz="0" w:space="0" w:color="auto"/>
        <w:right w:val="none" w:sz="0" w:space="0" w:color="auto"/>
      </w:divBdr>
    </w:div>
    <w:div w:id="446774473">
      <w:bodyDiv w:val="1"/>
      <w:marLeft w:val="0"/>
      <w:marRight w:val="0"/>
      <w:marTop w:val="0"/>
      <w:marBottom w:val="0"/>
      <w:divBdr>
        <w:top w:val="none" w:sz="0" w:space="0" w:color="auto"/>
        <w:left w:val="none" w:sz="0" w:space="0" w:color="auto"/>
        <w:bottom w:val="none" w:sz="0" w:space="0" w:color="auto"/>
        <w:right w:val="none" w:sz="0" w:space="0" w:color="auto"/>
      </w:divBdr>
    </w:div>
    <w:div w:id="448742196">
      <w:bodyDiv w:val="1"/>
      <w:marLeft w:val="0"/>
      <w:marRight w:val="0"/>
      <w:marTop w:val="0"/>
      <w:marBottom w:val="0"/>
      <w:divBdr>
        <w:top w:val="none" w:sz="0" w:space="0" w:color="auto"/>
        <w:left w:val="none" w:sz="0" w:space="0" w:color="auto"/>
        <w:bottom w:val="none" w:sz="0" w:space="0" w:color="auto"/>
        <w:right w:val="none" w:sz="0" w:space="0" w:color="auto"/>
      </w:divBdr>
    </w:div>
    <w:div w:id="455638035">
      <w:bodyDiv w:val="1"/>
      <w:marLeft w:val="0"/>
      <w:marRight w:val="0"/>
      <w:marTop w:val="0"/>
      <w:marBottom w:val="0"/>
      <w:divBdr>
        <w:top w:val="none" w:sz="0" w:space="0" w:color="auto"/>
        <w:left w:val="none" w:sz="0" w:space="0" w:color="auto"/>
        <w:bottom w:val="none" w:sz="0" w:space="0" w:color="auto"/>
        <w:right w:val="none" w:sz="0" w:space="0" w:color="auto"/>
      </w:divBdr>
    </w:div>
    <w:div w:id="490026802">
      <w:bodyDiv w:val="1"/>
      <w:marLeft w:val="0"/>
      <w:marRight w:val="0"/>
      <w:marTop w:val="0"/>
      <w:marBottom w:val="0"/>
      <w:divBdr>
        <w:top w:val="none" w:sz="0" w:space="0" w:color="auto"/>
        <w:left w:val="none" w:sz="0" w:space="0" w:color="auto"/>
        <w:bottom w:val="none" w:sz="0" w:space="0" w:color="auto"/>
        <w:right w:val="none" w:sz="0" w:space="0" w:color="auto"/>
      </w:divBdr>
    </w:div>
    <w:div w:id="501238617">
      <w:bodyDiv w:val="1"/>
      <w:marLeft w:val="0"/>
      <w:marRight w:val="0"/>
      <w:marTop w:val="0"/>
      <w:marBottom w:val="0"/>
      <w:divBdr>
        <w:top w:val="none" w:sz="0" w:space="0" w:color="auto"/>
        <w:left w:val="none" w:sz="0" w:space="0" w:color="auto"/>
        <w:bottom w:val="none" w:sz="0" w:space="0" w:color="auto"/>
        <w:right w:val="none" w:sz="0" w:space="0" w:color="auto"/>
      </w:divBdr>
    </w:div>
    <w:div w:id="501700006">
      <w:bodyDiv w:val="1"/>
      <w:marLeft w:val="0"/>
      <w:marRight w:val="0"/>
      <w:marTop w:val="0"/>
      <w:marBottom w:val="0"/>
      <w:divBdr>
        <w:top w:val="none" w:sz="0" w:space="0" w:color="auto"/>
        <w:left w:val="none" w:sz="0" w:space="0" w:color="auto"/>
        <w:bottom w:val="none" w:sz="0" w:space="0" w:color="auto"/>
        <w:right w:val="none" w:sz="0" w:space="0" w:color="auto"/>
      </w:divBdr>
    </w:div>
    <w:div w:id="505554487">
      <w:bodyDiv w:val="1"/>
      <w:marLeft w:val="0"/>
      <w:marRight w:val="0"/>
      <w:marTop w:val="0"/>
      <w:marBottom w:val="0"/>
      <w:divBdr>
        <w:top w:val="none" w:sz="0" w:space="0" w:color="auto"/>
        <w:left w:val="none" w:sz="0" w:space="0" w:color="auto"/>
        <w:bottom w:val="none" w:sz="0" w:space="0" w:color="auto"/>
        <w:right w:val="none" w:sz="0" w:space="0" w:color="auto"/>
      </w:divBdr>
    </w:div>
    <w:div w:id="516385763">
      <w:bodyDiv w:val="1"/>
      <w:marLeft w:val="0"/>
      <w:marRight w:val="0"/>
      <w:marTop w:val="0"/>
      <w:marBottom w:val="0"/>
      <w:divBdr>
        <w:top w:val="none" w:sz="0" w:space="0" w:color="auto"/>
        <w:left w:val="none" w:sz="0" w:space="0" w:color="auto"/>
        <w:bottom w:val="none" w:sz="0" w:space="0" w:color="auto"/>
        <w:right w:val="none" w:sz="0" w:space="0" w:color="auto"/>
      </w:divBdr>
    </w:div>
    <w:div w:id="529269874">
      <w:bodyDiv w:val="1"/>
      <w:marLeft w:val="0"/>
      <w:marRight w:val="0"/>
      <w:marTop w:val="0"/>
      <w:marBottom w:val="0"/>
      <w:divBdr>
        <w:top w:val="none" w:sz="0" w:space="0" w:color="auto"/>
        <w:left w:val="none" w:sz="0" w:space="0" w:color="auto"/>
        <w:bottom w:val="none" w:sz="0" w:space="0" w:color="auto"/>
        <w:right w:val="none" w:sz="0" w:space="0" w:color="auto"/>
      </w:divBdr>
    </w:div>
    <w:div w:id="530580935">
      <w:bodyDiv w:val="1"/>
      <w:marLeft w:val="0"/>
      <w:marRight w:val="0"/>
      <w:marTop w:val="0"/>
      <w:marBottom w:val="0"/>
      <w:divBdr>
        <w:top w:val="none" w:sz="0" w:space="0" w:color="auto"/>
        <w:left w:val="none" w:sz="0" w:space="0" w:color="auto"/>
        <w:bottom w:val="none" w:sz="0" w:space="0" w:color="auto"/>
        <w:right w:val="none" w:sz="0" w:space="0" w:color="auto"/>
      </w:divBdr>
    </w:div>
    <w:div w:id="533856761">
      <w:bodyDiv w:val="1"/>
      <w:marLeft w:val="0"/>
      <w:marRight w:val="0"/>
      <w:marTop w:val="0"/>
      <w:marBottom w:val="0"/>
      <w:divBdr>
        <w:top w:val="none" w:sz="0" w:space="0" w:color="auto"/>
        <w:left w:val="none" w:sz="0" w:space="0" w:color="auto"/>
        <w:bottom w:val="none" w:sz="0" w:space="0" w:color="auto"/>
        <w:right w:val="none" w:sz="0" w:space="0" w:color="auto"/>
      </w:divBdr>
    </w:div>
    <w:div w:id="553274366">
      <w:bodyDiv w:val="1"/>
      <w:marLeft w:val="0"/>
      <w:marRight w:val="0"/>
      <w:marTop w:val="0"/>
      <w:marBottom w:val="0"/>
      <w:divBdr>
        <w:top w:val="none" w:sz="0" w:space="0" w:color="auto"/>
        <w:left w:val="none" w:sz="0" w:space="0" w:color="auto"/>
        <w:bottom w:val="none" w:sz="0" w:space="0" w:color="auto"/>
        <w:right w:val="none" w:sz="0" w:space="0" w:color="auto"/>
      </w:divBdr>
    </w:div>
    <w:div w:id="588659560">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61159314">
      <w:bodyDiv w:val="1"/>
      <w:marLeft w:val="0"/>
      <w:marRight w:val="0"/>
      <w:marTop w:val="0"/>
      <w:marBottom w:val="0"/>
      <w:divBdr>
        <w:top w:val="none" w:sz="0" w:space="0" w:color="auto"/>
        <w:left w:val="none" w:sz="0" w:space="0" w:color="auto"/>
        <w:bottom w:val="none" w:sz="0" w:space="0" w:color="auto"/>
        <w:right w:val="none" w:sz="0" w:space="0" w:color="auto"/>
      </w:divBdr>
    </w:div>
    <w:div w:id="670570145">
      <w:bodyDiv w:val="1"/>
      <w:marLeft w:val="0"/>
      <w:marRight w:val="0"/>
      <w:marTop w:val="0"/>
      <w:marBottom w:val="0"/>
      <w:divBdr>
        <w:top w:val="none" w:sz="0" w:space="0" w:color="auto"/>
        <w:left w:val="none" w:sz="0" w:space="0" w:color="auto"/>
        <w:bottom w:val="none" w:sz="0" w:space="0" w:color="auto"/>
        <w:right w:val="none" w:sz="0" w:space="0" w:color="auto"/>
      </w:divBdr>
    </w:div>
    <w:div w:id="727922196">
      <w:bodyDiv w:val="1"/>
      <w:marLeft w:val="0"/>
      <w:marRight w:val="0"/>
      <w:marTop w:val="0"/>
      <w:marBottom w:val="0"/>
      <w:divBdr>
        <w:top w:val="none" w:sz="0" w:space="0" w:color="auto"/>
        <w:left w:val="none" w:sz="0" w:space="0" w:color="auto"/>
        <w:bottom w:val="none" w:sz="0" w:space="0" w:color="auto"/>
        <w:right w:val="none" w:sz="0" w:space="0" w:color="auto"/>
      </w:divBdr>
    </w:div>
    <w:div w:id="739061422">
      <w:bodyDiv w:val="1"/>
      <w:marLeft w:val="0"/>
      <w:marRight w:val="0"/>
      <w:marTop w:val="0"/>
      <w:marBottom w:val="0"/>
      <w:divBdr>
        <w:top w:val="none" w:sz="0" w:space="0" w:color="auto"/>
        <w:left w:val="none" w:sz="0" w:space="0" w:color="auto"/>
        <w:bottom w:val="none" w:sz="0" w:space="0" w:color="auto"/>
        <w:right w:val="none" w:sz="0" w:space="0" w:color="auto"/>
      </w:divBdr>
    </w:div>
    <w:div w:id="769818395">
      <w:bodyDiv w:val="1"/>
      <w:marLeft w:val="0"/>
      <w:marRight w:val="0"/>
      <w:marTop w:val="0"/>
      <w:marBottom w:val="0"/>
      <w:divBdr>
        <w:top w:val="none" w:sz="0" w:space="0" w:color="auto"/>
        <w:left w:val="none" w:sz="0" w:space="0" w:color="auto"/>
        <w:bottom w:val="none" w:sz="0" w:space="0" w:color="auto"/>
        <w:right w:val="none" w:sz="0" w:space="0" w:color="auto"/>
      </w:divBdr>
    </w:div>
    <w:div w:id="772018607">
      <w:bodyDiv w:val="1"/>
      <w:marLeft w:val="0"/>
      <w:marRight w:val="0"/>
      <w:marTop w:val="0"/>
      <w:marBottom w:val="0"/>
      <w:divBdr>
        <w:top w:val="none" w:sz="0" w:space="0" w:color="auto"/>
        <w:left w:val="none" w:sz="0" w:space="0" w:color="auto"/>
        <w:bottom w:val="none" w:sz="0" w:space="0" w:color="auto"/>
        <w:right w:val="none" w:sz="0" w:space="0" w:color="auto"/>
      </w:divBdr>
    </w:div>
    <w:div w:id="779301350">
      <w:bodyDiv w:val="1"/>
      <w:marLeft w:val="0"/>
      <w:marRight w:val="0"/>
      <w:marTop w:val="0"/>
      <w:marBottom w:val="0"/>
      <w:divBdr>
        <w:top w:val="none" w:sz="0" w:space="0" w:color="auto"/>
        <w:left w:val="none" w:sz="0" w:space="0" w:color="auto"/>
        <w:bottom w:val="none" w:sz="0" w:space="0" w:color="auto"/>
        <w:right w:val="none" w:sz="0" w:space="0" w:color="auto"/>
      </w:divBdr>
    </w:div>
    <w:div w:id="791435276">
      <w:bodyDiv w:val="1"/>
      <w:marLeft w:val="0"/>
      <w:marRight w:val="0"/>
      <w:marTop w:val="0"/>
      <w:marBottom w:val="0"/>
      <w:divBdr>
        <w:top w:val="none" w:sz="0" w:space="0" w:color="auto"/>
        <w:left w:val="none" w:sz="0" w:space="0" w:color="auto"/>
        <w:bottom w:val="none" w:sz="0" w:space="0" w:color="auto"/>
        <w:right w:val="none" w:sz="0" w:space="0" w:color="auto"/>
      </w:divBdr>
    </w:div>
    <w:div w:id="810294082">
      <w:bodyDiv w:val="1"/>
      <w:marLeft w:val="0"/>
      <w:marRight w:val="0"/>
      <w:marTop w:val="0"/>
      <w:marBottom w:val="0"/>
      <w:divBdr>
        <w:top w:val="none" w:sz="0" w:space="0" w:color="auto"/>
        <w:left w:val="none" w:sz="0" w:space="0" w:color="auto"/>
        <w:bottom w:val="none" w:sz="0" w:space="0" w:color="auto"/>
        <w:right w:val="none" w:sz="0" w:space="0" w:color="auto"/>
      </w:divBdr>
    </w:div>
    <w:div w:id="834538980">
      <w:bodyDiv w:val="1"/>
      <w:marLeft w:val="0"/>
      <w:marRight w:val="0"/>
      <w:marTop w:val="0"/>
      <w:marBottom w:val="0"/>
      <w:divBdr>
        <w:top w:val="none" w:sz="0" w:space="0" w:color="auto"/>
        <w:left w:val="none" w:sz="0" w:space="0" w:color="auto"/>
        <w:bottom w:val="none" w:sz="0" w:space="0" w:color="auto"/>
        <w:right w:val="none" w:sz="0" w:space="0" w:color="auto"/>
      </w:divBdr>
    </w:div>
    <w:div w:id="837691885">
      <w:bodyDiv w:val="1"/>
      <w:marLeft w:val="0"/>
      <w:marRight w:val="0"/>
      <w:marTop w:val="0"/>
      <w:marBottom w:val="0"/>
      <w:divBdr>
        <w:top w:val="none" w:sz="0" w:space="0" w:color="auto"/>
        <w:left w:val="none" w:sz="0" w:space="0" w:color="auto"/>
        <w:bottom w:val="none" w:sz="0" w:space="0" w:color="auto"/>
        <w:right w:val="none" w:sz="0" w:space="0" w:color="auto"/>
      </w:divBdr>
    </w:div>
    <w:div w:id="875194464">
      <w:bodyDiv w:val="1"/>
      <w:marLeft w:val="0"/>
      <w:marRight w:val="0"/>
      <w:marTop w:val="0"/>
      <w:marBottom w:val="0"/>
      <w:divBdr>
        <w:top w:val="none" w:sz="0" w:space="0" w:color="auto"/>
        <w:left w:val="none" w:sz="0" w:space="0" w:color="auto"/>
        <w:bottom w:val="none" w:sz="0" w:space="0" w:color="auto"/>
        <w:right w:val="none" w:sz="0" w:space="0" w:color="auto"/>
      </w:divBdr>
    </w:div>
    <w:div w:id="924338104">
      <w:bodyDiv w:val="1"/>
      <w:marLeft w:val="0"/>
      <w:marRight w:val="0"/>
      <w:marTop w:val="0"/>
      <w:marBottom w:val="0"/>
      <w:divBdr>
        <w:top w:val="none" w:sz="0" w:space="0" w:color="auto"/>
        <w:left w:val="none" w:sz="0" w:space="0" w:color="auto"/>
        <w:bottom w:val="none" w:sz="0" w:space="0" w:color="auto"/>
        <w:right w:val="none" w:sz="0" w:space="0" w:color="auto"/>
      </w:divBdr>
    </w:div>
    <w:div w:id="936444943">
      <w:bodyDiv w:val="1"/>
      <w:marLeft w:val="0"/>
      <w:marRight w:val="0"/>
      <w:marTop w:val="0"/>
      <w:marBottom w:val="0"/>
      <w:divBdr>
        <w:top w:val="none" w:sz="0" w:space="0" w:color="auto"/>
        <w:left w:val="none" w:sz="0" w:space="0" w:color="auto"/>
        <w:bottom w:val="none" w:sz="0" w:space="0" w:color="auto"/>
        <w:right w:val="none" w:sz="0" w:space="0" w:color="auto"/>
      </w:divBdr>
    </w:div>
    <w:div w:id="947547314">
      <w:bodyDiv w:val="1"/>
      <w:marLeft w:val="0"/>
      <w:marRight w:val="0"/>
      <w:marTop w:val="0"/>
      <w:marBottom w:val="0"/>
      <w:divBdr>
        <w:top w:val="none" w:sz="0" w:space="0" w:color="auto"/>
        <w:left w:val="none" w:sz="0" w:space="0" w:color="auto"/>
        <w:bottom w:val="none" w:sz="0" w:space="0" w:color="auto"/>
        <w:right w:val="none" w:sz="0" w:space="0" w:color="auto"/>
      </w:divBdr>
    </w:div>
    <w:div w:id="949355287">
      <w:bodyDiv w:val="1"/>
      <w:marLeft w:val="0"/>
      <w:marRight w:val="0"/>
      <w:marTop w:val="0"/>
      <w:marBottom w:val="0"/>
      <w:divBdr>
        <w:top w:val="none" w:sz="0" w:space="0" w:color="auto"/>
        <w:left w:val="none" w:sz="0" w:space="0" w:color="auto"/>
        <w:bottom w:val="none" w:sz="0" w:space="0" w:color="auto"/>
        <w:right w:val="none" w:sz="0" w:space="0" w:color="auto"/>
      </w:divBdr>
    </w:div>
    <w:div w:id="970356521">
      <w:bodyDiv w:val="1"/>
      <w:marLeft w:val="0"/>
      <w:marRight w:val="0"/>
      <w:marTop w:val="0"/>
      <w:marBottom w:val="0"/>
      <w:divBdr>
        <w:top w:val="none" w:sz="0" w:space="0" w:color="auto"/>
        <w:left w:val="none" w:sz="0" w:space="0" w:color="auto"/>
        <w:bottom w:val="none" w:sz="0" w:space="0" w:color="auto"/>
        <w:right w:val="none" w:sz="0" w:space="0" w:color="auto"/>
      </w:divBdr>
    </w:div>
    <w:div w:id="981230921">
      <w:bodyDiv w:val="1"/>
      <w:marLeft w:val="0"/>
      <w:marRight w:val="0"/>
      <w:marTop w:val="0"/>
      <w:marBottom w:val="0"/>
      <w:divBdr>
        <w:top w:val="none" w:sz="0" w:space="0" w:color="auto"/>
        <w:left w:val="none" w:sz="0" w:space="0" w:color="auto"/>
        <w:bottom w:val="none" w:sz="0" w:space="0" w:color="auto"/>
        <w:right w:val="none" w:sz="0" w:space="0" w:color="auto"/>
      </w:divBdr>
    </w:div>
    <w:div w:id="982124062">
      <w:bodyDiv w:val="1"/>
      <w:marLeft w:val="0"/>
      <w:marRight w:val="0"/>
      <w:marTop w:val="0"/>
      <w:marBottom w:val="0"/>
      <w:divBdr>
        <w:top w:val="none" w:sz="0" w:space="0" w:color="auto"/>
        <w:left w:val="none" w:sz="0" w:space="0" w:color="auto"/>
        <w:bottom w:val="none" w:sz="0" w:space="0" w:color="auto"/>
        <w:right w:val="none" w:sz="0" w:space="0" w:color="auto"/>
      </w:divBdr>
    </w:div>
    <w:div w:id="991248920">
      <w:bodyDiv w:val="1"/>
      <w:marLeft w:val="0"/>
      <w:marRight w:val="0"/>
      <w:marTop w:val="0"/>
      <w:marBottom w:val="0"/>
      <w:divBdr>
        <w:top w:val="none" w:sz="0" w:space="0" w:color="auto"/>
        <w:left w:val="none" w:sz="0" w:space="0" w:color="auto"/>
        <w:bottom w:val="none" w:sz="0" w:space="0" w:color="auto"/>
        <w:right w:val="none" w:sz="0" w:space="0" w:color="auto"/>
      </w:divBdr>
    </w:div>
    <w:div w:id="1014846483">
      <w:bodyDiv w:val="1"/>
      <w:marLeft w:val="0"/>
      <w:marRight w:val="0"/>
      <w:marTop w:val="0"/>
      <w:marBottom w:val="0"/>
      <w:divBdr>
        <w:top w:val="none" w:sz="0" w:space="0" w:color="auto"/>
        <w:left w:val="none" w:sz="0" w:space="0" w:color="auto"/>
        <w:bottom w:val="none" w:sz="0" w:space="0" w:color="auto"/>
        <w:right w:val="none" w:sz="0" w:space="0" w:color="auto"/>
      </w:divBdr>
    </w:div>
    <w:div w:id="1019697120">
      <w:bodyDiv w:val="1"/>
      <w:marLeft w:val="0"/>
      <w:marRight w:val="0"/>
      <w:marTop w:val="0"/>
      <w:marBottom w:val="0"/>
      <w:divBdr>
        <w:top w:val="none" w:sz="0" w:space="0" w:color="auto"/>
        <w:left w:val="none" w:sz="0" w:space="0" w:color="auto"/>
        <w:bottom w:val="none" w:sz="0" w:space="0" w:color="auto"/>
        <w:right w:val="none" w:sz="0" w:space="0" w:color="auto"/>
      </w:divBdr>
    </w:div>
    <w:div w:id="1041248880">
      <w:bodyDiv w:val="1"/>
      <w:marLeft w:val="0"/>
      <w:marRight w:val="0"/>
      <w:marTop w:val="0"/>
      <w:marBottom w:val="0"/>
      <w:divBdr>
        <w:top w:val="none" w:sz="0" w:space="0" w:color="auto"/>
        <w:left w:val="none" w:sz="0" w:space="0" w:color="auto"/>
        <w:bottom w:val="none" w:sz="0" w:space="0" w:color="auto"/>
        <w:right w:val="none" w:sz="0" w:space="0" w:color="auto"/>
      </w:divBdr>
    </w:div>
    <w:div w:id="1059749588">
      <w:bodyDiv w:val="1"/>
      <w:marLeft w:val="0"/>
      <w:marRight w:val="0"/>
      <w:marTop w:val="0"/>
      <w:marBottom w:val="0"/>
      <w:divBdr>
        <w:top w:val="none" w:sz="0" w:space="0" w:color="auto"/>
        <w:left w:val="none" w:sz="0" w:space="0" w:color="auto"/>
        <w:bottom w:val="none" w:sz="0" w:space="0" w:color="auto"/>
        <w:right w:val="none" w:sz="0" w:space="0" w:color="auto"/>
      </w:divBdr>
    </w:div>
    <w:div w:id="1067650956">
      <w:bodyDiv w:val="1"/>
      <w:marLeft w:val="0"/>
      <w:marRight w:val="0"/>
      <w:marTop w:val="0"/>
      <w:marBottom w:val="0"/>
      <w:divBdr>
        <w:top w:val="none" w:sz="0" w:space="0" w:color="auto"/>
        <w:left w:val="none" w:sz="0" w:space="0" w:color="auto"/>
        <w:bottom w:val="none" w:sz="0" w:space="0" w:color="auto"/>
        <w:right w:val="none" w:sz="0" w:space="0" w:color="auto"/>
      </w:divBdr>
    </w:div>
    <w:div w:id="1075012451">
      <w:bodyDiv w:val="1"/>
      <w:marLeft w:val="0"/>
      <w:marRight w:val="0"/>
      <w:marTop w:val="0"/>
      <w:marBottom w:val="0"/>
      <w:divBdr>
        <w:top w:val="none" w:sz="0" w:space="0" w:color="auto"/>
        <w:left w:val="none" w:sz="0" w:space="0" w:color="auto"/>
        <w:bottom w:val="none" w:sz="0" w:space="0" w:color="auto"/>
        <w:right w:val="none" w:sz="0" w:space="0" w:color="auto"/>
      </w:divBdr>
    </w:div>
    <w:div w:id="1120493375">
      <w:bodyDiv w:val="1"/>
      <w:marLeft w:val="0"/>
      <w:marRight w:val="0"/>
      <w:marTop w:val="0"/>
      <w:marBottom w:val="0"/>
      <w:divBdr>
        <w:top w:val="none" w:sz="0" w:space="0" w:color="auto"/>
        <w:left w:val="none" w:sz="0" w:space="0" w:color="auto"/>
        <w:bottom w:val="none" w:sz="0" w:space="0" w:color="auto"/>
        <w:right w:val="none" w:sz="0" w:space="0" w:color="auto"/>
      </w:divBdr>
    </w:div>
    <w:div w:id="1122649790">
      <w:bodyDiv w:val="1"/>
      <w:marLeft w:val="0"/>
      <w:marRight w:val="0"/>
      <w:marTop w:val="0"/>
      <w:marBottom w:val="0"/>
      <w:divBdr>
        <w:top w:val="none" w:sz="0" w:space="0" w:color="auto"/>
        <w:left w:val="none" w:sz="0" w:space="0" w:color="auto"/>
        <w:bottom w:val="none" w:sz="0" w:space="0" w:color="auto"/>
        <w:right w:val="none" w:sz="0" w:space="0" w:color="auto"/>
      </w:divBdr>
    </w:div>
    <w:div w:id="1129278796">
      <w:bodyDiv w:val="1"/>
      <w:marLeft w:val="0"/>
      <w:marRight w:val="0"/>
      <w:marTop w:val="0"/>
      <w:marBottom w:val="0"/>
      <w:divBdr>
        <w:top w:val="none" w:sz="0" w:space="0" w:color="auto"/>
        <w:left w:val="none" w:sz="0" w:space="0" w:color="auto"/>
        <w:bottom w:val="none" w:sz="0" w:space="0" w:color="auto"/>
        <w:right w:val="none" w:sz="0" w:space="0" w:color="auto"/>
      </w:divBdr>
    </w:div>
    <w:div w:id="1164199024">
      <w:bodyDiv w:val="1"/>
      <w:marLeft w:val="0"/>
      <w:marRight w:val="0"/>
      <w:marTop w:val="0"/>
      <w:marBottom w:val="0"/>
      <w:divBdr>
        <w:top w:val="none" w:sz="0" w:space="0" w:color="auto"/>
        <w:left w:val="none" w:sz="0" w:space="0" w:color="auto"/>
        <w:bottom w:val="none" w:sz="0" w:space="0" w:color="auto"/>
        <w:right w:val="none" w:sz="0" w:space="0" w:color="auto"/>
      </w:divBdr>
    </w:div>
    <w:div w:id="1200625328">
      <w:bodyDiv w:val="1"/>
      <w:marLeft w:val="0"/>
      <w:marRight w:val="0"/>
      <w:marTop w:val="0"/>
      <w:marBottom w:val="0"/>
      <w:divBdr>
        <w:top w:val="none" w:sz="0" w:space="0" w:color="auto"/>
        <w:left w:val="none" w:sz="0" w:space="0" w:color="auto"/>
        <w:bottom w:val="none" w:sz="0" w:space="0" w:color="auto"/>
        <w:right w:val="none" w:sz="0" w:space="0" w:color="auto"/>
      </w:divBdr>
    </w:div>
    <w:div w:id="1237669982">
      <w:bodyDiv w:val="1"/>
      <w:marLeft w:val="0"/>
      <w:marRight w:val="0"/>
      <w:marTop w:val="0"/>
      <w:marBottom w:val="0"/>
      <w:divBdr>
        <w:top w:val="none" w:sz="0" w:space="0" w:color="auto"/>
        <w:left w:val="none" w:sz="0" w:space="0" w:color="auto"/>
        <w:bottom w:val="none" w:sz="0" w:space="0" w:color="auto"/>
        <w:right w:val="none" w:sz="0" w:space="0" w:color="auto"/>
      </w:divBdr>
    </w:div>
    <w:div w:id="1247034319">
      <w:bodyDiv w:val="1"/>
      <w:marLeft w:val="0"/>
      <w:marRight w:val="0"/>
      <w:marTop w:val="0"/>
      <w:marBottom w:val="0"/>
      <w:divBdr>
        <w:top w:val="none" w:sz="0" w:space="0" w:color="auto"/>
        <w:left w:val="none" w:sz="0" w:space="0" w:color="auto"/>
        <w:bottom w:val="none" w:sz="0" w:space="0" w:color="auto"/>
        <w:right w:val="none" w:sz="0" w:space="0" w:color="auto"/>
      </w:divBdr>
    </w:div>
    <w:div w:id="1272279740">
      <w:bodyDiv w:val="1"/>
      <w:marLeft w:val="0"/>
      <w:marRight w:val="0"/>
      <w:marTop w:val="0"/>
      <w:marBottom w:val="0"/>
      <w:divBdr>
        <w:top w:val="none" w:sz="0" w:space="0" w:color="auto"/>
        <w:left w:val="none" w:sz="0" w:space="0" w:color="auto"/>
        <w:bottom w:val="none" w:sz="0" w:space="0" w:color="auto"/>
        <w:right w:val="none" w:sz="0" w:space="0" w:color="auto"/>
      </w:divBdr>
    </w:div>
    <w:div w:id="1302727603">
      <w:bodyDiv w:val="1"/>
      <w:marLeft w:val="0"/>
      <w:marRight w:val="0"/>
      <w:marTop w:val="0"/>
      <w:marBottom w:val="0"/>
      <w:divBdr>
        <w:top w:val="none" w:sz="0" w:space="0" w:color="auto"/>
        <w:left w:val="none" w:sz="0" w:space="0" w:color="auto"/>
        <w:bottom w:val="none" w:sz="0" w:space="0" w:color="auto"/>
        <w:right w:val="none" w:sz="0" w:space="0" w:color="auto"/>
      </w:divBdr>
    </w:div>
    <w:div w:id="1314066695">
      <w:bodyDiv w:val="1"/>
      <w:marLeft w:val="0"/>
      <w:marRight w:val="0"/>
      <w:marTop w:val="0"/>
      <w:marBottom w:val="0"/>
      <w:divBdr>
        <w:top w:val="none" w:sz="0" w:space="0" w:color="auto"/>
        <w:left w:val="none" w:sz="0" w:space="0" w:color="auto"/>
        <w:bottom w:val="none" w:sz="0" w:space="0" w:color="auto"/>
        <w:right w:val="none" w:sz="0" w:space="0" w:color="auto"/>
      </w:divBdr>
    </w:div>
    <w:div w:id="1318604790">
      <w:bodyDiv w:val="1"/>
      <w:marLeft w:val="0"/>
      <w:marRight w:val="0"/>
      <w:marTop w:val="0"/>
      <w:marBottom w:val="0"/>
      <w:divBdr>
        <w:top w:val="none" w:sz="0" w:space="0" w:color="auto"/>
        <w:left w:val="none" w:sz="0" w:space="0" w:color="auto"/>
        <w:bottom w:val="none" w:sz="0" w:space="0" w:color="auto"/>
        <w:right w:val="none" w:sz="0" w:space="0" w:color="auto"/>
      </w:divBdr>
    </w:div>
    <w:div w:id="1340153446">
      <w:bodyDiv w:val="1"/>
      <w:marLeft w:val="0"/>
      <w:marRight w:val="0"/>
      <w:marTop w:val="0"/>
      <w:marBottom w:val="0"/>
      <w:divBdr>
        <w:top w:val="none" w:sz="0" w:space="0" w:color="auto"/>
        <w:left w:val="none" w:sz="0" w:space="0" w:color="auto"/>
        <w:bottom w:val="none" w:sz="0" w:space="0" w:color="auto"/>
        <w:right w:val="none" w:sz="0" w:space="0" w:color="auto"/>
      </w:divBdr>
    </w:div>
    <w:div w:id="1356151388">
      <w:bodyDiv w:val="1"/>
      <w:marLeft w:val="0"/>
      <w:marRight w:val="0"/>
      <w:marTop w:val="0"/>
      <w:marBottom w:val="0"/>
      <w:divBdr>
        <w:top w:val="none" w:sz="0" w:space="0" w:color="auto"/>
        <w:left w:val="none" w:sz="0" w:space="0" w:color="auto"/>
        <w:bottom w:val="none" w:sz="0" w:space="0" w:color="auto"/>
        <w:right w:val="none" w:sz="0" w:space="0" w:color="auto"/>
      </w:divBdr>
    </w:div>
    <w:div w:id="1364018808">
      <w:bodyDiv w:val="1"/>
      <w:marLeft w:val="0"/>
      <w:marRight w:val="0"/>
      <w:marTop w:val="0"/>
      <w:marBottom w:val="0"/>
      <w:divBdr>
        <w:top w:val="none" w:sz="0" w:space="0" w:color="auto"/>
        <w:left w:val="none" w:sz="0" w:space="0" w:color="auto"/>
        <w:bottom w:val="none" w:sz="0" w:space="0" w:color="auto"/>
        <w:right w:val="none" w:sz="0" w:space="0" w:color="auto"/>
      </w:divBdr>
    </w:div>
    <w:div w:id="1373647893">
      <w:bodyDiv w:val="1"/>
      <w:marLeft w:val="0"/>
      <w:marRight w:val="0"/>
      <w:marTop w:val="0"/>
      <w:marBottom w:val="0"/>
      <w:divBdr>
        <w:top w:val="none" w:sz="0" w:space="0" w:color="auto"/>
        <w:left w:val="none" w:sz="0" w:space="0" w:color="auto"/>
        <w:bottom w:val="none" w:sz="0" w:space="0" w:color="auto"/>
        <w:right w:val="none" w:sz="0" w:space="0" w:color="auto"/>
      </w:divBdr>
    </w:div>
    <w:div w:id="1402210558">
      <w:bodyDiv w:val="1"/>
      <w:marLeft w:val="0"/>
      <w:marRight w:val="0"/>
      <w:marTop w:val="0"/>
      <w:marBottom w:val="0"/>
      <w:divBdr>
        <w:top w:val="none" w:sz="0" w:space="0" w:color="auto"/>
        <w:left w:val="none" w:sz="0" w:space="0" w:color="auto"/>
        <w:bottom w:val="none" w:sz="0" w:space="0" w:color="auto"/>
        <w:right w:val="none" w:sz="0" w:space="0" w:color="auto"/>
      </w:divBdr>
    </w:div>
    <w:div w:id="1412386522">
      <w:bodyDiv w:val="1"/>
      <w:marLeft w:val="0"/>
      <w:marRight w:val="0"/>
      <w:marTop w:val="0"/>
      <w:marBottom w:val="0"/>
      <w:divBdr>
        <w:top w:val="none" w:sz="0" w:space="0" w:color="auto"/>
        <w:left w:val="none" w:sz="0" w:space="0" w:color="auto"/>
        <w:bottom w:val="none" w:sz="0" w:space="0" w:color="auto"/>
        <w:right w:val="none" w:sz="0" w:space="0" w:color="auto"/>
      </w:divBdr>
    </w:div>
    <w:div w:id="1429235724">
      <w:bodyDiv w:val="1"/>
      <w:marLeft w:val="0"/>
      <w:marRight w:val="0"/>
      <w:marTop w:val="0"/>
      <w:marBottom w:val="0"/>
      <w:divBdr>
        <w:top w:val="none" w:sz="0" w:space="0" w:color="auto"/>
        <w:left w:val="none" w:sz="0" w:space="0" w:color="auto"/>
        <w:bottom w:val="none" w:sz="0" w:space="0" w:color="auto"/>
        <w:right w:val="none" w:sz="0" w:space="0" w:color="auto"/>
      </w:divBdr>
    </w:div>
    <w:div w:id="1436243497">
      <w:bodyDiv w:val="1"/>
      <w:marLeft w:val="0"/>
      <w:marRight w:val="0"/>
      <w:marTop w:val="0"/>
      <w:marBottom w:val="0"/>
      <w:divBdr>
        <w:top w:val="none" w:sz="0" w:space="0" w:color="auto"/>
        <w:left w:val="none" w:sz="0" w:space="0" w:color="auto"/>
        <w:bottom w:val="none" w:sz="0" w:space="0" w:color="auto"/>
        <w:right w:val="none" w:sz="0" w:space="0" w:color="auto"/>
      </w:divBdr>
    </w:div>
    <w:div w:id="1438481261">
      <w:bodyDiv w:val="1"/>
      <w:marLeft w:val="0"/>
      <w:marRight w:val="0"/>
      <w:marTop w:val="0"/>
      <w:marBottom w:val="0"/>
      <w:divBdr>
        <w:top w:val="none" w:sz="0" w:space="0" w:color="auto"/>
        <w:left w:val="none" w:sz="0" w:space="0" w:color="auto"/>
        <w:bottom w:val="none" w:sz="0" w:space="0" w:color="auto"/>
        <w:right w:val="none" w:sz="0" w:space="0" w:color="auto"/>
      </w:divBdr>
    </w:div>
    <w:div w:id="1465849491">
      <w:bodyDiv w:val="1"/>
      <w:marLeft w:val="0"/>
      <w:marRight w:val="0"/>
      <w:marTop w:val="0"/>
      <w:marBottom w:val="0"/>
      <w:divBdr>
        <w:top w:val="none" w:sz="0" w:space="0" w:color="auto"/>
        <w:left w:val="none" w:sz="0" w:space="0" w:color="auto"/>
        <w:bottom w:val="none" w:sz="0" w:space="0" w:color="auto"/>
        <w:right w:val="none" w:sz="0" w:space="0" w:color="auto"/>
      </w:divBdr>
    </w:div>
    <w:div w:id="1474635002">
      <w:bodyDiv w:val="1"/>
      <w:marLeft w:val="0"/>
      <w:marRight w:val="0"/>
      <w:marTop w:val="0"/>
      <w:marBottom w:val="0"/>
      <w:divBdr>
        <w:top w:val="none" w:sz="0" w:space="0" w:color="auto"/>
        <w:left w:val="none" w:sz="0" w:space="0" w:color="auto"/>
        <w:bottom w:val="none" w:sz="0" w:space="0" w:color="auto"/>
        <w:right w:val="none" w:sz="0" w:space="0" w:color="auto"/>
      </w:divBdr>
    </w:div>
    <w:div w:id="1477332604">
      <w:bodyDiv w:val="1"/>
      <w:marLeft w:val="0"/>
      <w:marRight w:val="0"/>
      <w:marTop w:val="0"/>
      <w:marBottom w:val="0"/>
      <w:divBdr>
        <w:top w:val="none" w:sz="0" w:space="0" w:color="auto"/>
        <w:left w:val="none" w:sz="0" w:space="0" w:color="auto"/>
        <w:bottom w:val="none" w:sz="0" w:space="0" w:color="auto"/>
        <w:right w:val="none" w:sz="0" w:space="0" w:color="auto"/>
      </w:divBdr>
    </w:div>
    <w:div w:id="1512257283">
      <w:bodyDiv w:val="1"/>
      <w:marLeft w:val="0"/>
      <w:marRight w:val="0"/>
      <w:marTop w:val="0"/>
      <w:marBottom w:val="0"/>
      <w:divBdr>
        <w:top w:val="none" w:sz="0" w:space="0" w:color="auto"/>
        <w:left w:val="none" w:sz="0" w:space="0" w:color="auto"/>
        <w:bottom w:val="none" w:sz="0" w:space="0" w:color="auto"/>
        <w:right w:val="none" w:sz="0" w:space="0" w:color="auto"/>
      </w:divBdr>
    </w:div>
    <w:div w:id="1547644731">
      <w:bodyDiv w:val="1"/>
      <w:marLeft w:val="0"/>
      <w:marRight w:val="0"/>
      <w:marTop w:val="0"/>
      <w:marBottom w:val="0"/>
      <w:divBdr>
        <w:top w:val="none" w:sz="0" w:space="0" w:color="auto"/>
        <w:left w:val="none" w:sz="0" w:space="0" w:color="auto"/>
        <w:bottom w:val="none" w:sz="0" w:space="0" w:color="auto"/>
        <w:right w:val="none" w:sz="0" w:space="0" w:color="auto"/>
      </w:divBdr>
    </w:div>
    <w:div w:id="1558206304">
      <w:bodyDiv w:val="1"/>
      <w:marLeft w:val="0"/>
      <w:marRight w:val="0"/>
      <w:marTop w:val="0"/>
      <w:marBottom w:val="0"/>
      <w:divBdr>
        <w:top w:val="none" w:sz="0" w:space="0" w:color="auto"/>
        <w:left w:val="none" w:sz="0" w:space="0" w:color="auto"/>
        <w:bottom w:val="none" w:sz="0" w:space="0" w:color="auto"/>
        <w:right w:val="none" w:sz="0" w:space="0" w:color="auto"/>
      </w:divBdr>
    </w:div>
    <w:div w:id="1566145241">
      <w:bodyDiv w:val="1"/>
      <w:marLeft w:val="0"/>
      <w:marRight w:val="0"/>
      <w:marTop w:val="0"/>
      <w:marBottom w:val="0"/>
      <w:divBdr>
        <w:top w:val="none" w:sz="0" w:space="0" w:color="auto"/>
        <w:left w:val="none" w:sz="0" w:space="0" w:color="auto"/>
        <w:bottom w:val="none" w:sz="0" w:space="0" w:color="auto"/>
        <w:right w:val="none" w:sz="0" w:space="0" w:color="auto"/>
      </w:divBdr>
    </w:div>
    <w:div w:id="1575898822">
      <w:bodyDiv w:val="1"/>
      <w:marLeft w:val="0"/>
      <w:marRight w:val="0"/>
      <w:marTop w:val="0"/>
      <w:marBottom w:val="0"/>
      <w:divBdr>
        <w:top w:val="none" w:sz="0" w:space="0" w:color="auto"/>
        <w:left w:val="none" w:sz="0" w:space="0" w:color="auto"/>
        <w:bottom w:val="none" w:sz="0" w:space="0" w:color="auto"/>
        <w:right w:val="none" w:sz="0" w:space="0" w:color="auto"/>
      </w:divBdr>
    </w:div>
    <w:div w:id="1600867344">
      <w:bodyDiv w:val="1"/>
      <w:marLeft w:val="0"/>
      <w:marRight w:val="0"/>
      <w:marTop w:val="0"/>
      <w:marBottom w:val="0"/>
      <w:divBdr>
        <w:top w:val="none" w:sz="0" w:space="0" w:color="auto"/>
        <w:left w:val="none" w:sz="0" w:space="0" w:color="auto"/>
        <w:bottom w:val="none" w:sz="0" w:space="0" w:color="auto"/>
        <w:right w:val="none" w:sz="0" w:space="0" w:color="auto"/>
      </w:divBdr>
    </w:div>
    <w:div w:id="1616518971">
      <w:bodyDiv w:val="1"/>
      <w:marLeft w:val="0"/>
      <w:marRight w:val="0"/>
      <w:marTop w:val="0"/>
      <w:marBottom w:val="0"/>
      <w:divBdr>
        <w:top w:val="none" w:sz="0" w:space="0" w:color="auto"/>
        <w:left w:val="none" w:sz="0" w:space="0" w:color="auto"/>
        <w:bottom w:val="none" w:sz="0" w:space="0" w:color="auto"/>
        <w:right w:val="none" w:sz="0" w:space="0" w:color="auto"/>
      </w:divBdr>
    </w:div>
    <w:div w:id="1636717680">
      <w:bodyDiv w:val="1"/>
      <w:marLeft w:val="0"/>
      <w:marRight w:val="0"/>
      <w:marTop w:val="0"/>
      <w:marBottom w:val="0"/>
      <w:divBdr>
        <w:top w:val="none" w:sz="0" w:space="0" w:color="auto"/>
        <w:left w:val="none" w:sz="0" w:space="0" w:color="auto"/>
        <w:bottom w:val="none" w:sz="0" w:space="0" w:color="auto"/>
        <w:right w:val="none" w:sz="0" w:space="0" w:color="auto"/>
      </w:divBdr>
    </w:div>
    <w:div w:id="1647582896">
      <w:bodyDiv w:val="1"/>
      <w:marLeft w:val="0"/>
      <w:marRight w:val="0"/>
      <w:marTop w:val="0"/>
      <w:marBottom w:val="0"/>
      <w:divBdr>
        <w:top w:val="none" w:sz="0" w:space="0" w:color="auto"/>
        <w:left w:val="none" w:sz="0" w:space="0" w:color="auto"/>
        <w:bottom w:val="none" w:sz="0" w:space="0" w:color="auto"/>
        <w:right w:val="none" w:sz="0" w:space="0" w:color="auto"/>
      </w:divBdr>
    </w:div>
    <w:div w:id="1659924197">
      <w:bodyDiv w:val="1"/>
      <w:marLeft w:val="0"/>
      <w:marRight w:val="0"/>
      <w:marTop w:val="0"/>
      <w:marBottom w:val="0"/>
      <w:divBdr>
        <w:top w:val="none" w:sz="0" w:space="0" w:color="auto"/>
        <w:left w:val="none" w:sz="0" w:space="0" w:color="auto"/>
        <w:bottom w:val="none" w:sz="0" w:space="0" w:color="auto"/>
        <w:right w:val="none" w:sz="0" w:space="0" w:color="auto"/>
      </w:divBdr>
    </w:div>
    <w:div w:id="1667780743">
      <w:bodyDiv w:val="1"/>
      <w:marLeft w:val="0"/>
      <w:marRight w:val="0"/>
      <w:marTop w:val="0"/>
      <w:marBottom w:val="0"/>
      <w:divBdr>
        <w:top w:val="none" w:sz="0" w:space="0" w:color="auto"/>
        <w:left w:val="none" w:sz="0" w:space="0" w:color="auto"/>
        <w:bottom w:val="none" w:sz="0" w:space="0" w:color="auto"/>
        <w:right w:val="none" w:sz="0" w:space="0" w:color="auto"/>
      </w:divBdr>
    </w:div>
    <w:div w:id="1690335075">
      <w:bodyDiv w:val="1"/>
      <w:marLeft w:val="0"/>
      <w:marRight w:val="0"/>
      <w:marTop w:val="0"/>
      <w:marBottom w:val="0"/>
      <w:divBdr>
        <w:top w:val="none" w:sz="0" w:space="0" w:color="auto"/>
        <w:left w:val="none" w:sz="0" w:space="0" w:color="auto"/>
        <w:bottom w:val="none" w:sz="0" w:space="0" w:color="auto"/>
        <w:right w:val="none" w:sz="0" w:space="0" w:color="auto"/>
      </w:divBdr>
    </w:div>
    <w:div w:id="1708749936">
      <w:bodyDiv w:val="1"/>
      <w:marLeft w:val="0"/>
      <w:marRight w:val="0"/>
      <w:marTop w:val="0"/>
      <w:marBottom w:val="0"/>
      <w:divBdr>
        <w:top w:val="none" w:sz="0" w:space="0" w:color="auto"/>
        <w:left w:val="none" w:sz="0" w:space="0" w:color="auto"/>
        <w:bottom w:val="none" w:sz="0" w:space="0" w:color="auto"/>
        <w:right w:val="none" w:sz="0" w:space="0" w:color="auto"/>
      </w:divBdr>
    </w:div>
    <w:div w:id="1753157286">
      <w:bodyDiv w:val="1"/>
      <w:marLeft w:val="0"/>
      <w:marRight w:val="0"/>
      <w:marTop w:val="0"/>
      <w:marBottom w:val="0"/>
      <w:divBdr>
        <w:top w:val="none" w:sz="0" w:space="0" w:color="auto"/>
        <w:left w:val="none" w:sz="0" w:space="0" w:color="auto"/>
        <w:bottom w:val="none" w:sz="0" w:space="0" w:color="auto"/>
        <w:right w:val="none" w:sz="0" w:space="0" w:color="auto"/>
      </w:divBdr>
    </w:div>
    <w:div w:id="1765615332">
      <w:bodyDiv w:val="1"/>
      <w:marLeft w:val="0"/>
      <w:marRight w:val="0"/>
      <w:marTop w:val="0"/>
      <w:marBottom w:val="0"/>
      <w:divBdr>
        <w:top w:val="none" w:sz="0" w:space="0" w:color="auto"/>
        <w:left w:val="none" w:sz="0" w:space="0" w:color="auto"/>
        <w:bottom w:val="none" w:sz="0" w:space="0" w:color="auto"/>
        <w:right w:val="none" w:sz="0" w:space="0" w:color="auto"/>
      </w:divBdr>
    </w:div>
    <w:div w:id="1783376919">
      <w:bodyDiv w:val="1"/>
      <w:marLeft w:val="0"/>
      <w:marRight w:val="0"/>
      <w:marTop w:val="0"/>
      <w:marBottom w:val="0"/>
      <w:divBdr>
        <w:top w:val="none" w:sz="0" w:space="0" w:color="auto"/>
        <w:left w:val="none" w:sz="0" w:space="0" w:color="auto"/>
        <w:bottom w:val="none" w:sz="0" w:space="0" w:color="auto"/>
        <w:right w:val="none" w:sz="0" w:space="0" w:color="auto"/>
      </w:divBdr>
    </w:div>
    <w:div w:id="1829516612">
      <w:bodyDiv w:val="1"/>
      <w:marLeft w:val="0"/>
      <w:marRight w:val="0"/>
      <w:marTop w:val="0"/>
      <w:marBottom w:val="0"/>
      <w:divBdr>
        <w:top w:val="none" w:sz="0" w:space="0" w:color="auto"/>
        <w:left w:val="none" w:sz="0" w:space="0" w:color="auto"/>
        <w:bottom w:val="none" w:sz="0" w:space="0" w:color="auto"/>
        <w:right w:val="none" w:sz="0" w:space="0" w:color="auto"/>
      </w:divBdr>
    </w:div>
    <w:div w:id="1854950419">
      <w:bodyDiv w:val="1"/>
      <w:marLeft w:val="0"/>
      <w:marRight w:val="0"/>
      <w:marTop w:val="0"/>
      <w:marBottom w:val="0"/>
      <w:divBdr>
        <w:top w:val="none" w:sz="0" w:space="0" w:color="auto"/>
        <w:left w:val="none" w:sz="0" w:space="0" w:color="auto"/>
        <w:bottom w:val="none" w:sz="0" w:space="0" w:color="auto"/>
        <w:right w:val="none" w:sz="0" w:space="0" w:color="auto"/>
      </w:divBdr>
    </w:div>
    <w:div w:id="1857303094">
      <w:bodyDiv w:val="1"/>
      <w:marLeft w:val="0"/>
      <w:marRight w:val="0"/>
      <w:marTop w:val="0"/>
      <w:marBottom w:val="0"/>
      <w:divBdr>
        <w:top w:val="none" w:sz="0" w:space="0" w:color="auto"/>
        <w:left w:val="none" w:sz="0" w:space="0" w:color="auto"/>
        <w:bottom w:val="none" w:sz="0" w:space="0" w:color="auto"/>
        <w:right w:val="none" w:sz="0" w:space="0" w:color="auto"/>
      </w:divBdr>
    </w:div>
    <w:div w:id="1876111725">
      <w:bodyDiv w:val="1"/>
      <w:marLeft w:val="0"/>
      <w:marRight w:val="0"/>
      <w:marTop w:val="0"/>
      <w:marBottom w:val="0"/>
      <w:divBdr>
        <w:top w:val="none" w:sz="0" w:space="0" w:color="auto"/>
        <w:left w:val="none" w:sz="0" w:space="0" w:color="auto"/>
        <w:bottom w:val="none" w:sz="0" w:space="0" w:color="auto"/>
        <w:right w:val="none" w:sz="0" w:space="0" w:color="auto"/>
      </w:divBdr>
    </w:div>
    <w:div w:id="1913274451">
      <w:bodyDiv w:val="1"/>
      <w:marLeft w:val="0"/>
      <w:marRight w:val="0"/>
      <w:marTop w:val="0"/>
      <w:marBottom w:val="0"/>
      <w:divBdr>
        <w:top w:val="none" w:sz="0" w:space="0" w:color="auto"/>
        <w:left w:val="none" w:sz="0" w:space="0" w:color="auto"/>
        <w:bottom w:val="none" w:sz="0" w:space="0" w:color="auto"/>
        <w:right w:val="none" w:sz="0" w:space="0" w:color="auto"/>
      </w:divBdr>
    </w:div>
    <w:div w:id="1928423695">
      <w:bodyDiv w:val="1"/>
      <w:marLeft w:val="0"/>
      <w:marRight w:val="0"/>
      <w:marTop w:val="0"/>
      <w:marBottom w:val="0"/>
      <w:divBdr>
        <w:top w:val="none" w:sz="0" w:space="0" w:color="auto"/>
        <w:left w:val="none" w:sz="0" w:space="0" w:color="auto"/>
        <w:bottom w:val="none" w:sz="0" w:space="0" w:color="auto"/>
        <w:right w:val="none" w:sz="0" w:space="0" w:color="auto"/>
      </w:divBdr>
    </w:div>
    <w:div w:id="1950771264">
      <w:bodyDiv w:val="1"/>
      <w:marLeft w:val="0"/>
      <w:marRight w:val="0"/>
      <w:marTop w:val="0"/>
      <w:marBottom w:val="0"/>
      <w:divBdr>
        <w:top w:val="none" w:sz="0" w:space="0" w:color="auto"/>
        <w:left w:val="none" w:sz="0" w:space="0" w:color="auto"/>
        <w:bottom w:val="none" w:sz="0" w:space="0" w:color="auto"/>
        <w:right w:val="none" w:sz="0" w:space="0" w:color="auto"/>
      </w:divBdr>
    </w:div>
    <w:div w:id="1994335390">
      <w:bodyDiv w:val="1"/>
      <w:marLeft w:val="0"/>
      <w:marRight w:val="0"/>
      <w:marTop w:val="0"/>
      <w:marBottom w:val="0"/>
      <w:divBdr>
        <w:top w:val="none" w:sz="0" w:space="0" w:color="auto"/>
        <w:left w:val="none" w:sz="0" w:space="0" w:color="auto"/>
        <w:bottom w:val="none" w:sz="0" w:space="0" w:color="auto"/>
        <w:right w:val="none" w:sz="0" w:space="0" w:color="auto"/>
      </w:divBdr>
    </w:div>
    <w:div w:id="1997881731">
      <w:bodyDiv w:val="1"/>
      <w:marLeft w:val="0"/>
      <w:marRight w:val="0"/>
      <w:marTop w:val="0"/>
      <w:marBottom w:val="0"/>
      <w:divBdr>
        <w:top w:val="none" w:sz="0" w:space="0" w:color="auto"/>
        <w:left w:val="none" w:sz="0" w:space="0" w:color="auto"/>
        <w:bottom w:val="none" w:sz="0" w:space="0" w:color="auto"/>
        <w:right w:val="none" w:sz="0" w:space="0" w:color="auto"/>
      </w:divBdr>
    </w:div>
    <w:div w:id="2000839818">
      <w:bodyDiv w:val="1"/>
      <w:marLeft w:val="0"/>
      <w:marRight w:val="0"/>
      <w:marTop w:val="0"/>
      <w:marBottom w:val="0"/>
      <w:divBdr>
        <w:top w:val="none" w:sz="0" w:space="0" w:color="auto"/>
        <w:left w:val="none" w:sz="0" w:space="0" w:color="auto"/>
        <w:bottom w:val="none" w:sz="0" w:space="0" w:color="auto"/>
        <w:right w:val="none" w:sz="0" w:space="0" w:color="auto"/>
      </w:divBdr>
    </w:div>
    <w:div w:id="2010597650">
      <w:bodyDiv w:val="1"/>
      <w:marLeft w:val="0"/>
      <w:marRight w:val="0"/>
      <w:marTop w:val="0"/>
      <w:marBottom w:val="0"/>
      <w:divBdr>
        <w:top w:val="none" w:sz="0" w:space="0" w:color="auto"/>
        <w:left w:val="none" w:sz="0" w:space="0" w:color="auto"/>
        <w:bottom w:val="none" w:sz="0" w:space="0" w:color="auto"/>
        <w:right w:val="none" w:sz="0" w:space="0" w:color="auto"/>
      </w:divBdr>
    </w:div>
    <w:div w:id="2080135374">
      <w:bodyDiv w:val="1"/>
      <w:marLeft w:val="0"/>
      <w:marRight w:val="0"/>
      <w:marTop w:val="0"/>
      <w:marBottom w:val="0"/>
      <w:divBdr>
        <w:top w:val="none" w:sz="0" w:space="0" w:color="auto"/>
        <w:left w:val="none" w:sz="0" w:space="0" w:color="auto"/>
        <w:bottom w:val="none" w:sz="0" w:space="0" w:color="auto"/>
        <w:right w:val="none" w:sz="0" w:space="0" w:color="auto"/>
      </w:divBdr>
    </w:div>
    <w:div w:id="2105372951">
      <w:bodyDiv w:val="1"/>
      <w:marLeft w:val="0"/>
      <w:marRight w:val="0"/>
      <w:marTop w:val="0"/>
      <w:marBottom w:val="0"/>
      <w:divBdr>
        <w:top w:val="none" w:sz="0" w:space="0" w:color="auto"/>
        <w:left w:val="none" w:sz="0" w:space="0" w:color="auto"/>
        <w:bottom w:val="none" w:sz="0" w:space="0" w:color="auto"/>
        <w:right w:val="none" w:sz="0" w:space="0" w:color="auto"/>
      </w:divBdr>
    </w:div>
    <w:div w:id="21134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17C6-7CCC-43CB-B609-B88A5CB6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3242</Words>
  <Characters>19457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Marta Kaliciak-Gebauer</cp:lastModifiedBy>
  <cp:revision>10</cp:revision>
  <cp:lastPrinted>2015-08-13T07:51:00Z</cp:lastPrinted>
  <dcterms:created xsi:type="dcterms:W3CDTF">2024-09-11T09:09:00Z</dcterms:created>
  <dcterms:modified xsi:type="dcterms:W3CDTF">2024-10-09T07:41:00Z</dcterms:modified>
</cp:coreProperties>
</file>