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3CDEA02C" w:rsidR="00AC6165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506161">
        <w:rPr>
          <w:rFonts w:ascii="Calibri" w:hAnsi="Calibri" w:cs="Calibri"/>
        </w:rPr>
        <w:t>15</w:t>
      </w:r>
      <w:r w:rsidR="000F5F8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</w:p>
    <w:p w14:paraId="6509C411" w14:textId="77777777" w:rsidR="009B687F" w:rsidRDefault="009B687F" w:rsidP="00EE0C90">
      <w:pPr>
        <w:pStyle w:val="Tekstpodstawowy"/>
        <w:jc w:val="left"/>
        <w:rPr>
          <w:rFonts w:ascii="Calibri" w:hAnsi="Calibri" w:cs="Calibri"/>
        </w:rPr>
      </w:pPr>
    </w:p>
    <w:p w14:paraId="3F3E98F4" w14:textId="77777777" w:rsidR="009B687F" w:rsidRDefault="009B687F" w:rsidP="00EE0C90">
      <w:pPr>
        <w:pStyle w:val="Tekstpodstawowy"/>
        <w:jc w:val="left"/>
        <w:rPr>
          <w:rFonts w:ascii="Calibri" w:hAnsi="Calibri" w:cs="Calibri"/>
        </w:rPr>
      </w:pPr>
    </w:p>
    <w:p w14:paraId="00562F8D" w14:textId="6F3E63B7" w:rsidR="009B687F" w:rsidRPr="009B687F" w:rsidRDefault="009B687F" w:rsidP="00EE0C90">
      <w:pPr>
        <w:pStyle w:val="Tekstpodstawowy"/>
        <w:jc w:val="left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9B687F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Metodyka udzielania dotacji warunkowej 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5F7EA4CD" w14:textId="77777777" w:rsidR="009B687F" w:rsidRDefault="009B687F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3008E68D" w14:textId="77777777" w:rsidR="009B687F" w:rsidRPr="009B687F" w:rsidRDefault="009B687F" w:rsidP="009B687F">
      <w:pPr>
        <w:keepNext/>
        <w:numPr>
          <w:ilvl w:val="0"/>
          <w:numId w:val="6"/>
        </w:numPr>
        <w:spacing w:after="0" w:line="240" w:lineRule="auto"/>
        <w:ind w:left="567" w:hanging="578"/>
        <w:outlineLvl w:val="0"/>
        <w:rPr>
          <w:rFonts w:eastAsia="Times New Roman"/>
          <w:b/>
          <w:bCs/>
          <w:kern w:val="32"/>
          <w:sz w:val="28"/>
          <w:lang w:val="x-none" w:eastAsia="x-none"/>
        </w:rPr>
      </w:pPr>
      <w:bookmarkStart w:id="0" w:name="_Toc164421621"/>
      <w:r w:rsidRPr="009B687F">
        <w:rPr>
          <w:rFonts w:eastAsia="Times New Roman"/>
          <w:b/>
          <w:bCs/>
          <w:kern w:val="32"/>
          <w:sz w:val="28"/>
          <w:lang w:val="x-none" w:eastAsia="x-none"/>
        </w:rPr>
        <w:t>Ogólne warunki wsparcia i zwrotu w formie dotacji warunkowej</w:t>
      </w:r>
      <w:bookmarkEnd w:id="0"/>
    </w:p>
    <w:p w14:paraId="6081871D" w14:textId="77777777" w:rsidR="009B687F" w:rsidRPr="009B687F" w:rsidRDefault="009B687F" w:rsidP="009B68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64293FD8" w14:textId="77777777" w:rsidR="009B687F" w:rsidRPr="009B687F" w:rsidRDefault="009B687F" w:rsidP="009B68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833948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Dotacja warunkowa jest formą wsparcia finansowego łączącą finansowanie dotacyjne </w:t>
      </w:r>
      <w:r w:rsidRPr="009B687F">
        <w:rPr>
          <w:rFonts w:eastAsia="Times New Roman" w:cs="Calibri"/>
          <w:sz w:val="24"/>
          <w:szCs w:val="24"/>
          <w:lang w:eastAsia="pl-PL"/>
        </w:rPr>
        <w:br/>
        <w:t>z obligatoryjnym finansowaniem zwrotnym.</w:t>
      </w:r>
    </w:p>
    <w:p w14:paraId="4E3943A4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Dofinansowanie w ramach dotacji warunkowej udzielane jest w formie bezzwrotnej i zwrotnej:</w:t>
      </w:r>
    </w:p>
    <w:p w14:paraId="05E4C52C" w14:textId="77777777" w:rsidR="009B687F" w:rsidRPr="009B687F" w:rsidRDefault="009B687F" w:rsidP="009B687F">
      <w:pPr>
        <w:numPr>
          <w:ilvl w:val="1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część bezzwrotna obejmuje udział kwoty dofinansowania niepodlegający zwrotowi;</w:t>
      </w:r>
    </w:p>
    <w:p w14:paraId="346CCD40" w14:textId="77777777" w:rsidR="009B687F" w:rsidRPr="009B687F" w:rsidRDefault="009B687F" w:rsidP="009B687F">
      <w:pPr>
        <w:numPr>
          <w:ilvl w:val="1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część zwrotna obejmuje udział kwoty dofinansowania podlegający całkowitemu lub częściowemu zwrotowi, zgodnie z zasadami wskazanymi w niniejszym dokumencie.</w:t>
      </w:r>
    </w:p>
    <w:p w14:paraId="4D0AE6CB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>Koszty ponoszone na realizację elementów uzupełniających inwestycję w postaci następujących modułów (do wyboru dowolna ich ilość):</w:t>
      </w:r>
    </w:p>
    <w:p w14:paraId="3644CBB8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>Zazielenienie</w:t>
      </w:r>
    </w:p>
    <w:p w14:paraId="084820BF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>Cyfryzacja</w:t>
      </w:r>
    </w:p>
    <w:p w14:paraId="521CFD20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>Internacjonalizacja</w:t>
      </w:r>
    </w:p>
    <w:p w14:paraId="3D27A83D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>Kompetencje</w:t>
      </w:r>
    </w:p>
    <w:p w14:paraId="356E106A" w14:textId="77777777" w:rsidR="009B687F" w:rsidRDefault="009B687F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Wspierane będą w formie dotacji, a wartość ich dofinansowania nie będzie brana pod uwagę przy wyliczeniu części bezzwrotnej i zwrotnej kwoty dofinansowania.</w:t>
      </w:r>
    </w:p>
    <w:p w14:paraId="79634C59" w14:textId="77777777" w:rsidR="009B687F" w:rsidRDefault="009B687F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7040B5B2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7D875AAE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4CAED081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6981B21D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2F9AE6CA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6494AE92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36F9F30D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2DEE15A9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21C1C95E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2256CDE1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7724E316" w14:textId="77777777" w:rsidR="00E82EB4" w:rsidRDefault="00E82EB4" w:rsidP="009B687F">
      <w:pPr>
        <w:spacing w:after="0" w:line="240" w:lineRule="auto"/>
        <w:ind w:left="709"/>
        <w:rPr>
          <w:rFonts w:eastAsia="Times New Roman" w:cs="Calibri"/>
          <w:sz w:val="24"/>
          <w:szCs w:val="24"/>
          <w:lang w:eastAsia="pl-PL"/>
        </w:rPr>
      </w:pPr>
    </w:p>
    <w:p w14:paraId="5DE0C1AD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lastRenderedPageBreak/>
        <w:t>Wysokość kwoty dofinansowania podlegającej zwrotowi uzależniona jest od:</w:t>
      </w:r>
    </w:p>
    <w:p w14:paraId="1272E5CA" w14:textId="77777777" w:rsidR="009B687F" w:rsidRPr="009B687F" w:rsidRDefault="009B687F" w:rsidP="009B687F">
      <w:pPr>
        <w:numPr>
          <w:ilvl w:val="0"/>
          <w:numId w:val="5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statusu przedsiębiorstwa Wnioskodawcy</w:t>
      </w:r>
      <w:r w:rsidRPr="009B687F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1"/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(zgodnie z poniższą tabelą)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2"/>
        <w:gridCol w:w="1985"/>
        <w:gridCol w:w="1984"/>
      </w:tblGrid>
      <w:tr w:rsidR="009B687F" w:rsidRPr="009B687F" w14:paraId="71538FB7" w14:textId="77777777" w:rsidTr="003B0426">
        <w:trPr>
          <w:jc w:val="center"/>
        </w:trPr>
        <w:tc>
          <w:tcPr>
            <w:tcW w:w="4932" w:type="dxa"/>
            <w:shd w:val="clear" w:color="auto" w:fill="auto"/>
          </w:tcPr>
          <w:p w14:paraId="5CE624FD" w14:textId="77777777" w:rsidR="009B687F" w:rsidRPr="009B687F" w:rsidRDefault="009B687F" w:rsidP="009B687F">
            <w:pPr>
              <w:spacing w:after="12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>Wielkość przedsiębiorstwa</w:t>
            </w:r>
            <w:r w:rsidRPr="009B687F">
              <w:rPr>
                <w:rFonts w:eastAsia="Times New Roman" w:cs="Calibri"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985" w:type="dxa"/>
            <w:shd w:val="clear" w:color="auto" w:fill="auto"/>
          </w:tcPr>
          <w:p w14:paraId="0425D701" w14:textId="77777777" w:rsidR="009B687F" w:rsidRPr="009B687F" w:rsidRDefault="009B687F" w:rsidP="009B687F">
            <w:pPr>
              <w:spacing w:after="120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b/>
                <w:sz w:val="24"/>
                <w:szCs w:val="24"/>
                <w:lang w:eastAsia="pl-PL"/>
              </w:rPr>
              <w:t>Mikro- i małe przedsiębiorstwo</w:t>
            </w:r>
          </w:p>
        </w:tc>
        <w:tc>
          <w:tcPr>
            <w:tcW w:w="1984" w:type="dxa"/>
            <w:shd w:val="clear" w:color="auto" w:fill="auto"/>
          </w:tcPr>
          <w:p w14:paraId="3AB5F3B7" w14:textId="77777777" w:rsidR="009B687F" w:rsidRPr="009B687F" w:rsidRDefault="009B687F" w:rsidP="009B687F">
            <w:pPr>
              <w:spacing w:after="120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b/>
                <w:sz w:val="24"/>
                <w:szCs w:val="24"/>
                <w:lang w:eastAsia="pl-PL"/>
              </w:rPr>
              <w:t>Średnie przedsiębiorstwo</w:t>
            </w:r>
          </w:p>
        </w:tc>
      </w:tr>
      <w:tr w:rsidR="009B687F" w:rsidRPr="009B687F" w14:paraId="774E6C3B" w14:textId="77777777" w:rsidTr="003B0426">
        <w:trPr>
          <w:jc w:val="center"/>
        </w:trPr>
        <w:tc>
          <w:tcPr>
            <w:tcW w:w="4932" w:type="dxa"/>
            <w:shd w:val="clear" w:color="auto" w:fill="auto"/>
          </w:tcPr>
          <w:p w14:paraId="2DBD5053" w14:textId="77777777" w:rsidR="009B687F" w:rsidRPr="009B687F" w:rsidRDefault="009B687F" w:rsidP="009B687F">
            <w:pPr>
              <w:spacing w:after="12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 xml:space="preserve">Udział </w:t>
            </w:r>
            <w:r w:rsidRPr="009B687F">
              <w:rPr>
                <w:rFonts w:eastAsia="Times New Roman" w:cs="Calibri"/>
                <w:b/>
                <w:sz w:val="24"/>
                <w:szCs w:val="24"/>
                <w:lang w:eastAsia="pl-PL"/>
              </w:rPr>
              <w:t>bezzwrotne</w:t>
            </w: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>j formy dofinansowania w dotacji warunkowej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BF48E8" w14:textId="77777777" w:rsidR="009B687F" w:rsidRPr="009B687F" w:rsidRDefault="009B687F" w:rsidP="009B687F">
            <w:pPr>
              <w:spacing w:after="120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>60%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5CD46F" w14:textId="77777777" w:rsidR="009B687F" w:rsidRPr="009B687F" w:rsidRDefault="009B687F" w:rsidP="009B687F">
            <w:pPr>
              <w:spacing w:after="120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>50%</w:t>
            </w:r>
          </w:p>
        </w:tc>
      </w:tr>
      <w:tr w:rsidR="009B687F" w:rsidRPr="009B687F" w14:paraId="441C0ED6" w14:textId="77777777" w:rsidTr="003B0426">
        <w:trPr>
          <w:jc w:val="center"/>
        </w:trPr>
        <w:tc>
          <w:tcPr>
            <w:tcW w:w="4932" w:type="dxa"/>
            <w:shd w:val="clear" w:color="auto" w:fill="auto"/>
          </w:tcPr>
          <w:p w14:paraId="169AFF55" w14:textId="77777777" w:rsidR="009B687F" w:rsidRPr="009B687F" w:rsidRDefault="009B687F" w:rsidP="009B687F">
            <w:pPr>
              <w:spacing w:after="12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 xml:space="preserve">Udział </w:t>
            </w:r>
            <w:r w:rsidRPr="009B687F">
              <w:rPr>
                <w:rFonts w:eastAsia="Times New Roman" w:cs="Calibri"/>
                <w:b/>
                <w:sz w:val="24"/>
                <w:szCs w:val="24"/>
                <w:lang w:eastAsia="pl-PL"/>
              </w:rPr>
              <w:t>zwrotnej</w:t>
            </w: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 xml:space="preserve"> formy dofinansowania w dotacji warunkowej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4228EF" w14:textId="77777777" w:rsidR="009B687F" w:rsidRPr="009B687F" w:rsidRDefault="009B687F" w:rsidP="009B687F">
            <w:pPr>
              <w:spacing w:after="120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>40%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29367C" w14:textId="77777777" w:rsidR="009B687F" w:rsidRPr="009B687F" w:rsidRDefault="009B687F" w:rsidP="009B687F">
            <w:pPr>
              <w:spacing w:after="120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B687F">
              <w:rPr>
                <w:rFonts w:eastAsia="Times New Roman" w:cs="Calibri"/>
                <w:sz w:val="24"/>
                <w:szCs w:val="24"/>
                <w:lang w:eastAsia="pl-PL"/>
              </w:rPr>
              <w:t>50%</w:t>
            </w:r>
          </w:p>
        </w:tc>
      </w:tr>
    </w:tbl>
    <w:p w14:paraId="0371EEC7" w14:textId="77777777" w:rsidR="009B687F" w:rsidRPr="009B687F" w:rsidRDefault="009B687F" w:rsidP="009B687F">
      <w:pPr>
        <w:spacing w:after="120"/>
        <w:ind w:left="1140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oraz </w:t>
      </w:r>
    </w:p>
    <w:p w14:paraId="44E20343" w14:textId="273710AD" w:rsidR="009B687F" w:rsidRPr="009B687F" w:rsidRDefault="009B687F" w:rsidP="009B687F">
      <w:pPr>
        <w:numPr>
          <w:ilvl w:val="0"/>
          <w:numId w:val="5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spełnienia dodatkowych warunków, określonych w Rozdziale II dokumentu.</w:t>
      </w:r>
    </w:p>
    <w:p w14:paraId="2DA3F94F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Wysokość części zwrotnej dotacji warunkowej obliczana będzie od wartości końcowej udzielonej części zwrotnej dotacji (tj. pomniejszonej o ewentualne zwroty na etapie realizacji projektu), przy uwzględnieniu wielkości przedsiębiorstwa oraz spełnienia dodatkowych warunków pomniejszenia zwrotu, określonych w dalszej części dokumentu.</w:t>
      </w:r>
    </w:p>
    <w:p w14:paraId="06A0089F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Beneficjent składa wniosek o rozliczenie dotacji warunkowej najpóźniej w terminie 30 dni roboczych po upływie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>2 lat od zakończenia realizacji projektu</w:t>
      </w:r>
      <w:r w:rsidRPr="009B687F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3"/>
      </w:r>
      <w:r w:rsidRPr="009B687F">
        <w:rPr>
          <w:rFonts w:eastAsia="Times New Roman" w:cs="Calibri"/>
          <w:sz w:val="24"/>
          <w:szCs w:val="24"/>
          <w:lang w:eastAsia="pl-PL"/>
        </w:rPr>
        <w:t>.</w:t>
      </w:r>
    </w:p>
    <w:p w14:paraId="447762B9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Na wniosek Beneficjenta rozliczenie dotacji warunkowej może nastąpić wcześniej, np. już po upływie pierwszego pełnego roku od zakończenia realizacji projektu.</w:t>
      </w:r>
    </w:p>
    <w:p w14:paraId="33133E6E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IP sprawdza spełnienie warunku zwrotu dotacji w terminie 45 dni roboczych od dnia złożenia przez Beneficjenta kompletnych dokumentów niezbędnych do weryfikacji spełnienia warunku zwrotu dotacji, po czym wzywa Beneficjenta do zwrotu zwrotnej części dotacji.</w:t>
      </w:r>
    </w:p>
    <w:p w14:paraId="044ED908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Zwrot środków przez Beneficjenta następuje w terminie 30 dni kalendarzowych od dnia wezwania przez IP. Na wniosek Beneficjenta, zwrot może zostać rozłożony na raty, płatne nie częściej niż raz na kwartał, w terminach określonych przez IP. Okres spłaty ratalnej nie może być dłuższy niż 12 miesięcy od dnia wezwania. Za spłatę w ratach nie będą naliczane odsetki.</w:t>
      </w:r>
    </w:p>
    <w:p w14:paraId="5FE8BDEE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W przypadku braku spłaty zwrotnej części dotacji w terminie, Beneficjent zostanie wezwany przez IP do zwrotu pozostającej do spłaty części zwrotnej dotacji wraz z odsetkami jak dla zaległości podatkowych za okres od dnia przekazania środków niezwróconych w terminie do dnia zapłaty. Jeśli Beneficjent nie zwróci kwoty określonej w wezwaniu we wskazanym terminie, IP wszczyna postępowanie </w:t>
      </w:r>
      <w:r w:rsidRPr="009B687F">
        <w:rPr>
          <w:rFonts w:eastAsia="Times New Roman" w:cs="Calibri"/>
          <w:sz w:val="24"/>
          <w:szCs w:val="24"/>
          <w:lang w:eastAsia="pl-PL"/>
        </w:rPr>
        <w:lastRenderedPageBreak/>
        <w:t>administracyjne dotyczące całości części zwrotnej dofinansowania pozostałej do spłaty w trybie i na zasadach określonych w art. 207 Ustawy o finansach publicznych.</w:t>
      </w:r>
    </w:p>
    <w:p w14:paraId="7ECB2BDF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W przypadku braku spłaty w terminie raty, o której mowa w pkt 8, IP wzywa Beneficjenta do zwrotu tej raty wraz z odsetkami jak dla zaległości podatkowych liczonymi od jej wartości od dnia przekazania części zwrotnej dotacji do dnia zapłaty. Jeśli Beneficjent nie zwróci kwoty określonej w wezwaniu we wskazanym terminie, IP wszczyna postępowanie administracyjne dotyczące całości części zwrotnej dofinansowania pozostałej do spłaty w trybie i na zasadach określonych w art. 207 Ustawy o finansach publicznych.</w:t>
      </w:r>
    </w:p>
    <w:p w14:paraId="535F171A" w14:textId="77777777" w:rsidR="009B687F" w:rsidRPr="009B687F" w:rsidRDefault="009B687F" w:rsidP="009B687F">
      <w:pPr>
        <w:numPr>
          <w:ilvl w:val="0"/>
          <w:numId w:val="1"/>
        </w:numPr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Zwroty części zwrotnej dotacji warunkowej będą dokonywane na odpowiedni rachunek bankowy, którego dysponentem jest Zarząd Województwa Opolskiego, wskazany w wezwaniu IP. Zwrot ewentualnych odsetek za opóźnienie następuje na dedykowany odrębny rachunek bankowy wskazany w wezwaniu IP. </w:t>
      </w:r>
    </w:p>
    <w:p w14:paraId="02061B7D" w14:textId="77777777" w:rsidR="009B687F" w:rsidRPr="009B687F" w:rsidRDefault="009B687F" w:rsidP="009B68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F59321F" w14:textId="77777777" w:rsidR="009B687F" w:rsidRPr="009B687F" w:rsidRDefault="009B687F" w:rsidP="009B687F">
      <w:pPr>
        <w:keepNext/>
        <w:numPr>
          <w:ilvl w:val="0"/>
          <w:numId w:val="6"/>
        </w:numPr>
        <w:spacing w:after="0" w:line="240" w:lineRule="auto"/>
        <w:ind w:left="567" w:hanging="578"/>
        <w:outlineLvl w:val="0"/>
        <w:rPr>
          <w:rFonts w:eastAsia="Times New Roman"/>
          <w:b/>
          <w:bCs/>
          <w:kern w:val="32"/>
          <w:sz w:val="28"/>
          <w:lang w:val="x-none" w:eastAsia="x-none"/>
        </w:rPr>
      </w:pPr>
      <w:bookmarkStart w:id="1" w:name="_Toc164421622"/>
      <w:r w:rsidRPr="009B687F">
        <w:rPr>
          <w:rFonts w:eastAsia="Times New Roman"/>
          <w:b/>
          <w:bCs/>
          <w:kern w:val="32"/>
          <w:sz w:val="28"/>
          <w:lang w:val="x-none" w:eastAsia="x-none"/>
        </w:rPr>
        <w:t>Warunki pomniejszenia zwrotu dotacji warunkowej</w:t>
      </w:r>
      <w:bookmarkEnd w:id="1"/>
    </w:p>
    <w:p w14:paraId="5BE4B371" w14:textId="77777777" w:rsidR="009B687F" w:rsidRPr="009B687F" w:rsidRDefault="009B687F" w:rsidP="009B68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4E145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426"/>
        <w:rPr>
          <w:rFonts w:eastAsia="Times New Roman" w:cs="Calibri"/>
          <w:sz w:val="24"/>
          <w:szCs w:val="24"/>
          <w:lang w:eastAsia="x-none"/>
        </w:rPr>
      </w:pPr>
      <w:r w:rsidRPr="009B687F">
        <w:rPr>
          <w:rFonts w:eastAsia="Times New Roman" w:cs="Calibri"/>
          <w:sz w:val="24"/>
          <w:szCs w:val="24"/>
          <w:lang w:eastAsia="x-none"/>
        </w:rPr>
        <w:t>Kwota zwrotu części zwrotnej dotacji warunkowej uzależniona jest od:</w:t>
      </w:r>
    </w:p>
    <w:p w14:paraId="6F03117E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val="x-none"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 xml:space="preserve">poziomu osiągnięcia wskaźnika „R”; </w:t>
      </w:r>
    </w:p>
    <w:p w14:paraId="63C311AC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1440" w:hanging="360"/>
        <w:rPr>
          <w:rFonts w:eastAsia="Times New Roman"/>
          <w:sz w:val="24"/>
          <w:szCs w:val="24"/>
          <w:lang w:val="x-none" w:eastAsia="pl-PL"/>
        </w:rPr>
      </w:pPr>
      <w:r w:rsidRPr="009B687F">
        <w:rPr>
          <w:rFonts w:eastAsia="Times New Roman"/>
          <w:sz w:val="24"/>
          <w:szCs w:val="24"/>
          <w:lang w:eastAsia="pl-PL"/>
        </w:rPr>
        <w:t>wybranego terminu spłaty.</w:t>
      </w:r>
    </w:p>
    <w:p w14:paraId="4D89D9E9" w14:textId="77777777" w:rsidR="009B687F" w:rsidRPr="009B687F" w:rsidRDefault="009B687F" w:rsidP="009B687F">
      <w:pPr>
        <w:autoSpaceDE w:val="0"/>
        <w:autoSpaceDN w:val="0"/>
        <w:adjustRightInd w:val="0"/>
        <w:spacing w:after="120"/>
        <w:rPr>
          <w:rFonts w:eastAsia="Times New Roman" w:cs="Calibri"/>
          <w:sz w:val="24"/>
          <w:szCs w:val="24"/>
          <w:lang w:eastAsia="pl-PL"/>
        </w:rPr>
      </w:pPr>
    </w:p>
    <w:p w14:paraId="3C79A519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Wskaźnik „R” obliczany jest na podstawie wzoru: </w:t>
      </w:r>
    </w:p>
    <w:p w14:paraId="21BF87AD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9B687F">
        <w:rPr>
          <w:rFonts w:eastAsia="Times New Roman" w:cs="Calibri"/>
          <w:b/>
          <w:sz w:val="24"/>
          <w:szCs w:val="24"/>
          <w:lang w:eastAsia="pl-PL"/>
        </w:rPr>
        <w:t>R = (P/DZ x 100%) – 100%</w:t>
      </w:r>
    </w:p>
    <w:p w14:paraId="4BC4B849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b/>
          <w:sz w:val="24"/>
          <w:szCs w:val="24"/>
          <w:lang w:eastAsia="pl-PL"/>
        </w:rPr>
        <w:t>R –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wskaźnik służący do określenia poziomu zwrotu dotacji warunkowej, </w:t>
      </w:r>
    </w:p>
    <w:p w14:paraId="54DEAA73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b/>
          <w:sz w:val="24"/>
          <w:szCs w:val="24"/>
          <w:lang w:eastAsia="pl-PL"/>
        </w:rPr>
        <w:t>P –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suma przychodów wygenerowanych w wyniku wdrożenia prac B+R obejmująca całkowity okres referencyjny (między zakończeniem okresu realizacji projektu określonym w umowie o dofinansowanie, a upływem 2 lat od dnia tego zakończenia),</w:t>
      </w:r>
    </w:p>
    <w:p w14:paraId="7D3DE720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b/>
          <w:sz w:val="24"/>
          <w:szCs w:val="24"/>
          <w:lang w:eastAsia="pl-PL"/>
        </w:rPr>
        <w:t>DZ –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wartość zwrotnej części dotacji warunkowej.</w:t>
      </w:r>
    </w:p>
    <w:p w14:paraId="4AD89F4D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eastAsia="pl-PL"/>
        </w:rPr>
      </w:pPr>
    </w:p>
    <w:p w14:paraId="73641D5E" w14:textId="77777777" w:rsidR="009B687F" w:rsidRP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Podstawą określenia wartości pomocy podlegającej zwrotowi będzie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 xml:space="preserve">suma przychodów netto ze sprzedaży 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produktów/usług wprowadzonych na rynek w wyniku realizacji projektu lub produktów/usług wytworzonych w procesie powstałym w wyniku realizacji projektu, wygenerowanych w wyniku realizacji komponentu wdrożeniowego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 xml:space="preserve">w okresie 2 lat od zakończenia realizacji projektu. </w:t>
      </w:r>
    </w:p>
    <w:p w14:paraId="62C79B87" w14:textId="77777777" w:rsidR="009B687F" w:rsidRP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Pod uwagę będzie brana ww. suma przychodów ze sprzedaży wynikająca z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>wdrożenia wyników prac B+R do działalności własnej przedsiębiorstwa</w:t>
      </w:r>
      <w:r w:rsidRPr="009B687F">
        <w:rPr>
          <w:rFonts w:eastAsia="Times New Roman" w:cs="Calibri"/>
          <w:sz w:val="24"/>
          <w:szCs w:val="24"/>
          <w:lang w:eastAsia="pl-PL"/>
        </w:rPr>
        <w:t>, poprzez rozpoczęcie produkcji lub świadczenia usług na bazie innowacyjnego rozwiązania/ rozwiązań opracowanych w komponencie B+R. Przychody uzyskane</w:t>
      </w:r>
      <w:r w:rsidRPr="009B687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w dodatkowej formie np. poprzez udzielenie licencji (na zasadach rynkowych) na korzystanie z przysługujących Wnioskodawcy praw do utworu będącego rezultatem komponentu B+R projektu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>nie będą wliczane do podstawy określenia wartości pomocy podlegającej zwrotowi.</w:t>
      </w:r>
    </w:p>
    <w:p w14:paraId="1EA677F7" w14:textId="77777777" w:rsidR="009B687F" w:rsidRP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lastRenderedPageBreak/>
        <w:t xml:space="preserve">Na potrzeby określenia wysokości kwoty zwrotnej części dotacji podlegającej zwrotowi Beneficjent zobligowany jest do prowadzenia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>wyodrębnionej ewidencji przychodów</w:t>
      </w:r>
      <w:r w:rsidRPr="009B687F">
        <w:rPr>
          <w:rFonts w:eastAsia="Times New Roman" w:cs="Calibri"/>
          <w:sz w:val="24"/>
          <w:szCs w:val="24"/>
          <w:lang w:eastAsia="pl-PL"/>
        </w:rPr>
        <w:t>, w ramach stosowanych przez daną jednostkę ksiąg rachunkowych, pozwalających na identyfikację operacji (przychodów netto) związanych z danym projektem. Wpisana na fakturze sprzedaży nazwa towaru lub usługi powinna pozwalać na identyfikację z realizowanym projektem.</w:t>
      </w:r>
    </w:p>
    <w:p w14:paraId="7355041C" w14:textId="77777777" w:rsidR="009B687F" w:rsidRP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 xml:space="preserve">Beneficjent zobowiązany jest 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 xml:space="preserve">przedstawić sprawozdanie z osiągnięcia przychodów netto </w:t>
      </w:r>
      <w:r w:rsidRPr="009B687F">
        <w:rPr>
          <w:rFonts w:eastAsia="Times New Roman" w:cs="Calibri"/>
          <w:sz w:val="24"/>
          <w:szCs w:val="24"/>
          <w:lang w:eastAsia="pl-PL"/>
        </w:rPr>
        <w:t>ze sprzedaży produktów wprowadzonych na rynek w wyniku realizacji projektu lub produktów wytworzonych w procesie powstałym w wyniku realizacji projektu, wygenerowanych w wyniku realizacji komponentu wdrożeniowego w terminie wskazanym w umowie o dofinansowanie</w:t>
      </w:r>
      <w:r w:rsidRPr="009B687F">
        <w:rPr>
          <w:rFonts w:eastAsia="Times New Roman" w:cs="Calibri"/>
          <w:b/>
          <w:sz w:val="24"/>
          <w:szCs w:val="24"/>
          <w:lang w:eastAsia="pl-PL"/>
        </w:rPr>
        <w:t>.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9B687F">
        <w:rPr>
          <w:rFonts w:eastAsia="Times New Roman" w:cs="Calibri"/>
          <w:sz w:val="24"/>
          <w:szCs w:val="24"/>
          <w:lang w:eastAsia="pl-PL"/>
        </w:rPr>
        <w:br/>
        <w:t xml:space="preserve">W przypadku braku przesłania sprawozdania w terminie, Beneficjent zostanie zobowiązany do zwrotu całości części zwrotnej dotacji warunkowej wraz z odsetkami na zasadach określonych </w:t>
      </w:r>
      <w:r w:rsidRPr="009B687F">
        <w:rPr>
          <w:rFonts w:eastAsia="Times New Roman" w:cs="Calibri"/>
          <w:sz w:val="24"/>
          <w:szCs w:val="24"/>
          <w:lang w:eastAsia="pl-PL"/>
        </w:rPr>
        <w:br/>
        <w:t>w art. 207 Ustawy o finansach publicznych.</w:t>
      </w:r>
      <w:r w:rsidRPr="009B687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1F8BAE05" w14:textId="77777777" w:rsidR="009B687F" w:rsidRP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Na żądanie IP Beneficjent jest zobligowany przedstawić dokumentację księgową potwierdzającą przychody wygenerowane w wyniku realizacji projektu oraz dodatkowe informacje niezbędne do potwierdzenia prawidłowości przedstawionych wyliczeń. W przypadku wątpliwości co do prawidłowości sporządzenia przedstawionych dokumentów IP może wystąpić o opinię eksperta zewnętrznego</w:t>
      </w:r>
    </w:p>
    <w:p w14:paraId="4C9FB56E" w14:textId="3E006701" w:rsid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b/>
          <w:sz w:val="24"/>
          <w:szCs w:val="24"/>
          <w:lang w:eastAsia="pl-PL"/>
        </w:rPr>
        <w:t>Poziom zwrotu dotacji warunkowej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w zależności od poziomu wskaźnika „R” </w:t>
      </w:r>
      <w:r w:rsidR="00FC6F6E">
        <w:rPr>
          <w:rFonts w:eastAsia="Times New Roman" w:cs="Calibri"/>
          <w:sz w:val="24"/>
          <w:szCs w:val="24"/>
          <w:lang w:eastAsia="pl-PL"/>
        </w:rPr>
        <w:t>tj.</w:t>
      </w:r>
    </w:p>
    <w:p w14:paraId="4A5DA8A4" w14:textId="77777777" w:rsidR="00FC6F6E" w:rsidRPr="00FC6F6E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wynosi poniżej 10% to procent zwrotu części zwrotnej dotacji warunkowej wynosi 5%;</w:t>
      </w:r>
    </w:p>
    <w:p w14:paraId="061B69F5" w14:textId="77777777" w:rsidR="00FC6F6E" w:rsidRPr="00FC6F6E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jest większa lub równa 10% i mniejsza od 30% to procent zwrotu części zwrotnej dotacji warunkowej wynosi 10%;</w:t>
      </w:r>
    </w:p>
    <w:p w14:paraId="64BC8F54" w14:textId="77777777" w:rsidR="00FC6F6E" w:rsidRPr="00FC6F6E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jest większa lub równa 30% i mniejsza od 50% to procent zwrotu części zwrotnej dotacji warunkowej wynosi 20%;</w:t>
      </w:r>
    </w:p>
    <w:p w14:paraId="30D3739E" w14:textId="77777777" w:rsidR="00FC6F6E" w:rsidRPr="00FC6F6E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jest większa lub równa 50% i mniejsza od 70% to procent zwrotu części zwrotnej dotacji warunkowej wynosi 30%;</w:t>
      </w:r>
    </w:p>
    <w:p w14:paraId="3B072FAB" w14:textId="77777777" w:rsidR="00FC6F6E" w:rsidRPr="00FC6F6E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jest większa lub równa 70% i mniejsza od 90% to procent zwrotu części zwrotnej dotacji warunkowej wynosi 40%;</w:t>
      </w:r>
    </w:p>
    <w:p w14:paraId="1DBC8099" w14:textId="77777777" w:rsidR="00FC6F6E" w:rsidRPr="00FC6F6E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jest większa lub równa 90% i mniejsza od 100% to procent zwrotu części zwrotnej dotacji warunkowej wynosi 50%;</w:t>
      </w:r>
    </w:p>
    <w:p w14:paraId="307C601D" w14:textId="639E4060" w:rsidR="00FC6F6E" w:rsidRPr="009B687F" w:rsidRDefault="00FC6F6E" w:rsidP="00FC6F6E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FC6F6E">
        <w:rPr>
          <w:rFonts w:eastAsia="Times New Roman" w:cs="Calibri"/>
          <w:sz w:val="24"/>
          <w:szCs w:val="24"/>
          <w:lang w:eastAsia="pl-PL"/>
        </w:rPr>
        <w:t>- wartość wskaźnika „R” jest większa lub równa 100% to procent zwrotu części zwrotnej dotacji warunkowej wynosi 100%;</w:t>
      </w:r>
    </w:p>
    <w:p w14:paraId="2461C349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</w:p>
    <w:p w14:paraId="558D9B97" w14:textId="77777777" w:rsid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</w:p>
    <w:p w14:paraId="5D28C597" w14:textId="77777777" w:rsidR="00E82EB4" w:rsidRDefault="00E82EB4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</w:p>
    <w:p w14:paraId="003122C7" w14:textId="77777777" w:rsidR="00E82EB4" w:rsidRDefault="00E82EB4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</w:p>
    <w:p w14:paraId="780FD580" w14:textId="77777777" w:rsidR="00E82EB4" w:rsidRDefault="00E82EB4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</w:p>
    <w:p w14:paraId="127E8BF6" w14:textId="77777777" w:rsidR="00E82EB4" w:rsidRPr="009B687F" w:rsidRDefault="00E82EB4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val="x-none" w:eastAsia="x-none"/>
        </w:rPr>
      </w:pPr>
    </w:p>
    <w:p w14:paraId="3496C20E" w14:textId="031B9E73" w:rsidR="009B687F" w:rsidRP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hanging="357"/>
        <w:contextualSpacing/>
        <w:rPr>
          <w:rFonts w:eastAsia="Times New Roman" w:cs="Calibri"/>
          <w:sz w:val="24"/>
          <w:szCs w:val="24"/>
          <w:lang w:eastAsia="x-none"/>
        </w:rPr>
      </w:pPr>
      <w:r w:rsidRPr="009B687F">
        <w:rPr>
          <w:rFonts w:eastAsia="Times New Roman" w:cs="Calibri"/>
          <w:sz w:val="24"/>
          <w:szCs w:val="24"/>
          <w:lang w:eastAsia="x-none"/>
        </w:rPr>
        <w:t>Ponadto, istnieje możliwość dodatkowego zmniejszenia części zwrotnej dotacji warunkowej ustalonej przy uwzględnieniu wielkości przedsiębiorstwa oraz spełnienia warunków dotyczących poziomu osi</w:t>
      </w:r>
      <w:r w:rsidR="00C04B2A">
        <w:rPr>
          <w:rFonts w:eastAsia="Times New Roman" w:cs="Calibri"/>
          <w:sz w:val="24"/>
          <w:szCs w:val="24"/>
          <w:lang w:eastAsia="x-none"/>
        </w:rPr>
        <w:t xml:space="preserve">ągnięcia wskaźnika „R”, a także </w:t>
      </w:r>
      <w:bookmarkStart w:id="2" w:name="_GoBack"/>
      <w:bookmarkEnd w:id="2"/>
      <w:r w:rsidRPr="009B687F">
        <w:rPr>
          <w:rFonts w:eastAsia="Times New Roman" w:cs="Calibri"/>
          <w:sz w:val="24"/>
          <w:szCs w:val="24"/>
          <w:lang w:eastAsia="x-none"/>
        </w:rPr>
        <w:t xml:space="preserve">w zależności od </w:t>
      </w:r>
      <w:r w:rsidRPr="009B687F">
        <w:rPr>
          <w:rFonts w:eastAsia="Times New Roman" w:cs="Calibri"/>
          <w:sz w:val="24"/>
          <w:szCs w:val="24"/>
          <w:u w:val="single"/>
          <w:lang w:eastAsia="x-none"/>
        </w:rPr>
        <w:t>wybranego terminu i sposobu jej spłaty</w:t>
      </w:r>
      <w:r w:rsidRPr="009B687F">
        <w:rPr>
          <w:rFonts w:eastAsia="Times New Roman" w:cs="Calibri"/>
          <w:sz w:val="24"/>
          <w:szCs w:val="24"/>
          <w:lang w:eastAsia="x-none"/>
        </w:rPr>
        <w:t>:</w:t>
      </w:r>
    </w:p>
    <w:p w14:paraId="169F5088" w14:textId="77777777" w:rsidR="009B687F" w:rsidRPr="009B687F" w:rsidRDefault="009B687F" w:rsidP="009B687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x-none"/>
        </w:rPr>
      </w:pPr>
      <w:r w:rsidRPr="009B687F">
        <w:rPr>
          <w:rFonts w:eastAsia="Times New Roman" w:cs="Calibri"/>
          <w:sz w:val="24"/>
          <w:szCs w:val="24"/>
          <w:lang w:eastAsia="x-none"/>
        </w:rPr>
        <w:t xml:space="preserve">w przypadku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jednorazowej</w:t>
      </w:r>
      <w:r w:rsidRPr="009B687F">
        <w:rPr>
          <w:rFonts w:eastAsia="Times New Roman" w:cs="Calibri"/>
          <w:sz w:val="24"/>
          <w:szCs w:val="24"/>
          <w:lang w:eastAsia="x-none"/>
        </w:rPr>
        <w:t xml:space="preserve"> spłaty w terminie do 30 dni od wezwania przez IP Beneficjent zwraca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80%</w:t>
      </w:r>
      <w:r w:rsidRPr="009B687F">
        <w:rPr>
          <w:rFonts w:eastAsia="Times New Roman" w:cs="Calibri"/>
          <w:sz w:val="24"/>
          <w:szCs w:val="24"/>
          <w:lang w:eastAsia="x-none"/>
        </w:rPr>
        <w:t xml:space="preserve"> kwoty do zwrotu;</w:t>
      </w:r>
    </w:p>
    <w:p w14:paraId="78E122C8" w14:textId="77777777" w:rsidR="009B687F" w:rsidRPr="009B687F" w:rsidRDefault="009B687F" w:rsidP="009B687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x-none"/>
        </w:rPr>
      </w:pPr>
      <w:r w:rsidRPr="009B687F">
        <w:rPr>
          <w:rFonts w:eastAsia="Times New Roman" w:cs="Calibri"/>
          <w:sz w:val="24"/>
          <w:szCs w:val="24"/>
          <w:lang w:eastAsia="x-none"/>
        </w:rPr>
        <w:t xml:space="preserve">w przypadku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spłaty ratalnej w ciągu 6 miesięcy</w:t>
      </w:r>
      <w:r w:rsidRPr="009B687F">
        <w:rPr>
          <w:rFonts w:eastAsia="Times New Roman" w:cs="Calibri"/>
          <w:sz w:val="24"/>
          <w:szCs w:val="24"/>
          <w:lang w:eastAsia="x-none"/>
        </w:rPr>
        <w:t xml:space="preserve"> od wezwania przez IP Beneficjent zwraca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90%</w:t>
      </w:r>
      <w:r w:rsidRPr="009B687F">
        <w:rPr>
          <w:rFonts w:eastAsia="Times New Roman" w:cs="Calibri"/>
          <w:sz w:val="24"/>
          <w:szCs w:val="24"/>
          <w:lang w:eastAsia="x-none"/>
        </w:rPr>
        <w:t xml:space="preserve"> kwoty do zwrotu;</w:t>
      </w:r>
    </w:p>
    <w:p w14:paraId="70004764" w14:textId="77777777" w:rsidR="009B687F" w:rsidRPr="009B687F" w:rsidRDefault="009B687F" w:rsidP="009B687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x-none"/>
        </w:rPr>
      </w:pPr>
      <w:r w:rsidRPr="009B687F">
        <w:rPr>
          <w:rFonts w:eastAsia="Times New Roman" w:cs="Calibri"/>
          <w:sz w:val="24"/>
          <w:szCs w:val="24"/>
          <w:lang w:eastAsia="x-none"/>
        </w:rPr>
        <w:t xml:space="preserve"> przypadku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spłaty w ratach w ciągu 12 miesięcy</w:t>
      </w:r>
      <w:r w:rsidRPr="009B687F">
        <w:rPr>
          <w:rFonts w:eastAsia="Times New Roman" w:cs="Calibri"/>
          <w:sz w:val="24"/>
          <w:szCs w:val="24"/>
          <w:lang w:eastAsia="x-none"/>
        </w:rPr>
        <w:t xml:space="preserve"> od wezwania przez IP Beneficjent zwraca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100%</w:t>
      </w:r>
      <w:r w:rsidRPr="009B687F">
        <w:rPr>
          <w:rFonts w:eastAsia="Times New Roman" w:cs="Calibri"/>
          <w:sz w:val="24"/>
          <w:szCs w:val="24"/>
          <w:lang w:eastAsia="x-none"/>
        </w:rPr>
        <w:t xml:space="preserve"> kwoty do zwrotu.</w:t>
      </w:r>
    </w:p>
    <w:p w14:paraId="55BFC788" w14:textId="77777777" w:rsidR="009B687F" w:rsidRDefault="009B687F" w:rsidP="009B687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x-none"/>
        </w:rPr>
      </w:pPr>
      <w:r w:rsidRPr="009B687F">
        <w:rPr>
          <w:rFonts w:eastAsia="Times New Roman" w:cs="Calibri"/>
          <w:sz w:val="24"/>
          <w:szCs w:val="24"/>
          <w:lang w:eastAsia="x-none"/>
        </w:rPr>
        <w:t xml:space="preserve">Obliczona ostatecznie wartość części zwrotnej dotacji warunkowej (po uwzględnieniu wszystkich możliwych pomniejszeń i ulg) </w:t>
      </w:r>
      <w:r w:rsidRPr="009B687F">
        <w:rPr>
          <w:rFonts w:eastAsia="Times New Roman" w:cs="Calibri"/>
          <w:b/>
          <w:bCs/>
          <w:sz w:val="24"/>
          <w:szCs w:val="24"/>
          <w:lang w:eastAsia="x-none"/>
        </w:rPr>
        <w:t>nie może być niższa niż 5%</w:t>
      </w:r>
      <w:r w:rsidRPr="009B687F">
        <w:rPr>
          <w:rFonts w:eastAsia="Times New Roman" w:cs="Calibri"/>
          <w:b/>
          <w:bCs/>
          <w:sz w:val="24"/>
          <w:szCs w:val="24"/>
          <w:lang w:eastAsia="pl-PL"/>
        </w:rPr>
        <w:t xml:space="preserve"> wartości końcowej udzielonej części zwrotnej dotacji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 (tj. pomniejszonej o ewentualne zwroty na etapie realizacji projektu).</w:t>
      </w:r>
    </w:p>
    <w:p w14:paraId="18853659" w14:textId="77777777" w:rsidR="009B687F" w:rsidRPr="009B687F" w:rsidRDefault="009B687F" w:rsidP="009B687F">
      <w:pPr>
        <w:autoSpaceDE w:val="0"/>
        <w:autoSpaceDN w:val="0"/>
        <w:adjustRightInd w:val="0"/>
        <w:spacing w:after="120" w:line="240" w:lineRule="auto"/>
        <w:ind w:left="720"/>
        <w:rPr>
          <w:rFonts w:eastAsia="Times New Roman" w:cs="Calibri"/>
          <w:sz w:val="24"/>
          <w:szCs w:val="24"/>
          <w:lang w:eastAsia="x-none"/>
        </w:rPr>
      </w:pPr>
    </w:p>
    <w:p w14:paraId="46327E87" w14:textId="77777777" w:rsidR="009B687F" w:rsidRPr="009B687F" w:rsidRDefault="009B687F" w:rsidP="009B687F">
      <w:pPr>
        <w:keepNext/>
        <w:numPr>
          <w:ilvl w:val="0"/>
          <w:numId w:val="6"/>
        </w:numPr>
        <w:spacing w:after="0" w:line="240" w:lineRule="auto"/>
        <w:ind w:left="567" w:hanging="578"/>
        <w:outlineLvl w:val="0"/>
        <w:rPr>
          <w:rFonts w:eastAsia="Times New Roman"/>
          <w:b/>
          <w:bCs/>
          <w:kern w:val="32"/>
          <w:sz w:val="28"/>
          <w:lang w:val="x-none" w:eastAsia="x-none"/>
        </w:rPr>
      </w:pPr>
      <w:bookmarkStart w:id="3" w:name="_Toc164421588"/>
      <w:bookmarkStart w:id="4" w:name="_Toc164421623"/>
      <w:bookmarkStart w:id="5" w:name="_Toc164421624"/>
      <w:bookmarkEnd w:id="3"/>
      <w:bookmarkEnd w:id="4"/>
      <w:r w:rsidRPr="009B687F">
        <w:rPr>
          <w:rFonts w:eastAsia="Times New Roman"/>
          <w:b/>
          <w:bCs/>
          <w:kern w:val="32"/>
          <w:sz w:val="28"/>
          <w:lang w:val="x-none" w:eastAsia="x-none"/>
        </w:rPr>
        <w:t>Podstawy prawne</w:t>
      </w:r>
      <w:bookmarkEnd w:id="5"/>
    </w:p>
    <w:p w14:paraId="1A2CCB26" w14:textId="77777777" w:rsidR="009B687F" w:rsidRPr="009B687F" w:rsidRDefault="009B687F" w:rsidP="009B68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7A3CEF" w14:textId="77777777" w:rsidR="009B687F" w:rsidRPr="009B687F" w:rsidRDefault="009B687F" w:rsidP="009B687F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ogólne).</w:t>
      </w:r>
    </w:p>
    <w:p w14:paraId="43806548" w14:textId="77777777" w:rsidR="009B687F" w:rsidRPr="009B687F" w:rsidRDefault="009B687F" w:rsidP="009B687F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Ustawa z dnia 28 kwietnia 2022 r. o zasadach realizacji zadań finansowanych ze środków europejskich w perspektywie finansowej 2021-2027.</w:t>
      </w:r>
    </w:p>
    <w:p w14:paraId="2FBA476F" w14:textId="77777777" w:rsidR="009B687F" w:rsidRPr="009B687F" w:rsidRDefault="009B687F" w:rsidP="009B687F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Program Fundusze Europejskie dla Opolskiego 2021-2027.</w:t>
      </w:r>
    </w:p>
    <w:p w14:paraId="185343B8" w14:textId="77777777" w:rsidR="009B687F" w:rsidRPr="009B687F" w:rsidRDefault="009B687F" w:rsidP="009B687F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Szczegółowy Opis Priorytetów Programu Fundusze Europejskie dla Opolskiego 2021-2027ZOP</w:t>
      </w:r>
    </w:p>
    <w:p w14:paraId="4D59ADE1" w14:textId="77777777" w:rsidR="009B687F" w:rsidRPr="009B687F" w:rsidRDefault="009B687F" w:rsidP="009B687F">
      <w:pPr>
        <w:numPr>
          <w:ilvl w:val="0"/>
          <w:numId w:val="4"/>
        </w:numPr>
        <w:spacing w:before="120" w:after="120" w:line="240" w:lineRule="auto"/>
        <w:rPr>
          <w:rFonts w:cs="Calibri"/>
        </w:rPr>
      </w:pPr>
      <w:r w:rsidRPr="009B687F">
        <w:rPr>
          <w:rFonts w:cs="Calibri"/>
        </w:rPr>
        <w:t>Rozporządzenie Komisji (UE) nr 651/2014 z dnia 17 czerwca 2014 r. uznające niektóre rodzaje pomocy za zgodne z rynkiem wewnętrznym w zastosowaniu art. 107 i 108 Traktatu</w:t>
      </w:r>
    </w:p>
    <w:p w14:paraId="047067E2" w14:textId="77777777" w:rsidR="009B687F" w:rsidRPr="009B687F" w:rsidRDefault="009B687F" w:rsidP="009B687F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r w:rsidRPr="009B687F">
        <w:rPr>
          <w:rFonts w:eastAsia="Times New Roman" w:cs="Calibri"/>
          <w:sz w:val="24"/>
          <w:szCs w:val="24"/>
          <w:lang w:eastAsia="pl-PL"/>
        </w:rPr>
        <w:t>Rozporządzenie Komisji (UE) 2023/2831</w:t>
      </w:r>
      <w:r w:rsidRPr="009B687F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Pr="009B687F">
        <w:rPr>
          <w:rFonts w:eastAsia="Times New Roman" w:cs="Calibri"/>
          <w:sz w:val="24"/>
          <w:szCs w:val="24"/>
          <w:lang w:eastAsia="pl-PL"/>
        </w:rPr>
        <w:t xml:space="preserve">z dnia 13 grudnia 2023 r. w sprawie stosowania art. 107 i 108 Traktatu o funkcjonowaniu Unii Europejskiej do pomocy </w:t>
      </w:r>
      <w:r w:rsidRPr="009B687F">
        <w:rPr>
          <w:rFonts w:eastAsia="Times New Roman" w:cs="Calibri"/>
          <w:i/>
          <w:iCs/>
          <w:sz w:val="24"/>
          <w:szCs w:val="24"/>
          <w:lang w:eastAsia="pl-PL"/>
        </w:rPr>
        <w:t xml:space="preserve">de </w:t>
      </w:r>
      <w:proofErr w:type="spellStart"/>
      <w:r w:rsidRPr="009B687F">
        <w:rPr>
          <w:rFonts w:eastAsia="Times New Roman" w:cs="Calibri"/>
          <w:i/>
          <w:iCs/>
          <w:sz w:val="24"/>
          <w:szCs w:val="24"/>
          <w:lang w:eastAsia="pl-PL"/>
        </w:rPr>
        <w:t>minimis</w:t>
      </w:r>
      <w:proofErr w:type="spellEnd"/>
    </w:p>
    <w:p w14:paraId="674E0617" w14:textId="77777777" w:rsidR="009B687F" w:rsidRPr="009B687F" w:rsidRDefault="009B687F" w:rsidP="009B687F">
      <w:pPr>
        <w:numPr>
          <w:ilvl w:val="0"/>
          <w:numId w:val="4"/>
        </w:numPr>
        <w:spacing w:before="120" w:after="12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t xml:space="preserve">Rozporządzenie Ministra Funduszy i Polityki Regionalnej z dnia 7 października 2022 r. w sprawie udzielania regionalnej pomocy inwestycyjnej w ramach celu polityki CP1 (iii) w zakresie wzmacniania trwałego wzrostu i konkurencyjności </w:t>
      </w:r>
      <w:proofErr w:type="spellStart"/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t>mikroprzedsiębiorców</w:t>
      </w:r>
      <w:proofErr w:type="spellEnd"/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t xml:space="preserve">, małych i średnich przedsiębiorców oraz tworzenia miejsc pracy w mikroprzedsiębiorstwach, małych i średnich przedsiębiorstwach, w tym </w:t>
      </w:r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lastRenderedPageBreak/>
        <w:t>poprzez inwestycje produkcyjne w ramach regionalnych programów na lata 2021-2027</w:t>
      </w:r>
    </w:p>
    <w:p w14:paraId="374C9B04" w14:textId="77777777" w:rsidR="009B687F" w:rsidRPr="009B687F" w:rsidRDefault="009B687F" w:rsidP="009B687F">
      <w:pPr>
        <w:numPr>
          <w:ilvl w:val="0"/>
          <w:numId w:val="4"/>
        </w:numPr>
        <w:spacing w:before="120" w:after="12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9B687F">
        <w:rPr>
          <w:rFonts w:cs="Calibri"/>
          <w:sz w:val="24"/>
          <w:szCs w:val="24"/>
        </w:rPr>
        <w:t xml:space="preserve">Rozporządzenie Ministra Funduszy i Polityki Regionalnej </w:t>
      </w:r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t xml:space="preserve">z dnia 17 kwietnia 2024 r. w sprawie udzielania pomocy de </w:t>
      </w:r>
      <w:proofErr w:type="spellStart"/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t>minimis</w:t>
      </w:r>
      <w:proofErr w:type="spellEnd"/>
      <w:r w:rsidRPr="009B687F">
        <w:rPr>
          <w:rFonts w:eastAsia="Times New Roman" w:cs="Calibri"/>
          <w:color w:val="333333"/>
          <w:sz w:val="24"/>
          <w:szCs w:val="24"/>
          <w:lang w:eastAsia="pl-PL"/>
        </w:rPr>
        <w:t> w ramach regionalnych programów na lata 2021-2027</w:t>
      </w:r>
    </w:p>
    <w:p w14:paraId="10E3A932" w14:textId="77777777" w:rsidR="009B687F" w:rsidRPr="009B687F" w:rsidRDefault="00C04B2A" w:rsidP="009B687F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eastAsia="Times New Roman" w:cs="Calibri"/>
          <w:sz w:val="24"/>
          <w:szCs w:val="24"/>
          <w:lang w:eastAsia="pl-PL"/>
        </w:rPr>
      </w:pPr>
      <w:hyperlink r:id="rId9" w:tooltip="Rozporządzenie Ministra Infrastruktury i Rozwoju z dnia 3.09.2015 r. w sprawie udzielania pomocy mikroprzedsiębiorcom, małym i średnim przedsiębiorcom na usługi doradcze oraz udział w targach w ramach regionalnych programów operacyjnych na lata 2014-2020 - prz" w:history="1">
        <w:r w:rsidR="009B687F" w:rsidRPr="009B687F">
          <w:rPr>
            <w:rFonts w:eastAsia="Times New Roman" w:cs="Calibri"/>
            <w:color w:val="000000"/>
            <w:sz w:val="24"/>
            <w:szCs w:val="24"/>
            <w:lang w:eastAsia="pl-PL"/>
          </w:rPr>
          <w:t xml:space="preserve">Rozporządzenie Ministra Funduszy i Polityki Regionalnej z dnia 12 lipca 2023 r. w sprawie udzielania </w:t>
        </w:r>
        <w:proofErr w:type="spellStart"/>
        <w:r w:rsidR="009B687F" w:rsidRPr="009B687F">
          <w:rPr>
            <w:rFonts w:eastAsia="Times New Roman" w:cs="Calibri"/>
            <w:color w:val="000000"/>
            <w:sz w:val="24"/>
            <w:szCs w:val="24"/>
            <w:lang w:eastAsia="pl-PL"/>
          </w:rPr>
          <w:t>mikroprzedsiębiorcom</w:t>
        </w:r>
        <w:proofErr w:type="spellEnd"/>
        <w:r w:rsidR="009B687F" w:rsidRPr="009B687F">
          <w:rPr>
            <w:rFonts w:eastAsia="Times New Roman" w:cs="Calibri"/>
            <w:color w:val="000000"/>
            <w:sz w:val="24"/>
            <w:szCs w:val="24"/>
            <w:lang w:eastAsia="pl-PL"/>
          </w:rPr>
          <w:t>, małym i średnim przedsiębiorcom pomocy na usługi doradcze oraz udział w targach w ramach regionalnych programów operacyjnych na lata 2021-202</w:t>
        </w:r>
      </w:hyperlink>
      <w:r w:rsidR="009B687F" w:rsidRPr="009B687F">
        <w:rPr>
          <w:rFonts w:eastAsia="Times New Roman" w:cs="Calibri"/>
          <w:color w:val="000000"/>
          <w:sz w:val="24"/>
          <w:szCs w:val="24"/>
          <w:lang w:eastAsia="pl-PL"/>
        </w:rPr>
        <w:t>7</w:t>
      </w:r>
    </w:p>
    <w:p w14:paraId="08DE943F" w14:textId="77777777" w:rsidR="009B687F" w:rsidRPr="009B687F" w:rsidRDefault="009B687F" w:rsidP="009B687F">
      <w:pPr>
        <w:autoSpaceDE w:val="0"/>
        <w:autoSpaceDN w:val="0"/>
        <w:adjustRightInd w:val="0"/>
        <w:spacing w:after="120"/>
        <w:ind w:left="720"/>
        <w:rPr>
          <w:rFonts w:eastAsia="Times New Roman" w:cs="Calibri"/>
          <w:sz w:val="24"/>
          <w:szCs w:val="24"/>
          <w:lang w:eastAsia="pl-PL"/>
        </w:rPr>
      </w:pPr>
    </w:p>
    <w:p w14:paraId="5DE9E763" w14:textId="77777777" w:rsidR="009B687F" w:rsidRPr="009B687F" w:rsidRDefault="009B687F" w:rsidP="009B687F">
      <w:pPr>
        <w:keepNext/>
        <w:spacing w:before="240" w:after="60" w:line="240" w:lineRule="auto"/>
        <w:outlineLvl w:val="2"/>
        <w:rPr>
          <w:rFonts w:eastAsia="Times New Roman"/>
          <w:b/>
          <w:bCs/>
          <w:sz w:val="24"/>
          <w:szCs w:val="24"/>
          <w:lang w:eastAsia="pl-PL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sectPr w:rsidR="00AC6165" w:rsidSect="00E710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500545"/>
      <w:docPartObj>
        <w:docPartGallery w:val="Page Numbers (Bottom of Page)"/>
        <w:docPartUnique/>
      </w:docPartObj>
    </w:sdtPr>
    <w:sdtEndPr/>
    <w:sdtContent>
      <w:p w14:paraId="40762878" w14:textId="375F1277" w:rsidR="000C6FA9" w:rsidRDefault="000C6F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B2A">
          <w:rPr>
            <w:noProof/>
          </w:rPr>
          <w:t>5</w:t>
        </w:r>
        <w:r>
          <w:fldChar w:fldCharType="end"/>
        </w:r>
      </w:p>
    </w:sdtContent>
  </w:sdt>
  <w:p w14:paraId="34FFFEA9" w14:textId="77777777" w:rsidR="000C6FA9" w:rsidRDefault="000C6F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715EAB23" w14:textId="77777777" w:rsidR="009B687F" w:rsidRPr="0093041C" w:rsidRDefault="009B687F" w:rsidP="009B687F">
      <w:pPr>
        <w:pStyle w:val="Tekstprzypisudolnego"/>
        <w:rPr>
          <w:rFonts w:ascii="Calibri" w:hAnsi="Calibri" w:cs="Calibri"/>
        </w:rPr>
      </w:pPr>
      <w:r w:rsidRPr="0093041C">
        <w:rPr>
          <w:rStyle w:val="Odwoanieprzypisudolnego"/>
          <w:rFonts w:ascii="Calibri" w:hAnsi="Calibri" w:cs="Calibri"/>
        </w:rPr>
        <w:footnoteRef/>
      </w:r>
      <w:r w:rsidRPr="0093041C">
        <w:rPr>
          <w:rFonts w:ascii="Calibri" w:hAnsi="Calibri" w:cs="Calibri"/>
        </w:rPr>
        <w:t xml:space="preserve"> Status określony na moment przyjęcia wniosku do dofinansowania</w:t>
      </w:r>
    </w:p>
  </w:footnote>
  <w:footnote w:id="2">
    <w:p w14:paraId="57D84650" w14:textId="77777777" w:rsidR="009B687F" w:rsidRDefault="009B687F" w:rsidP="009B687F">
      <w:pPr>
        <w:pStyle w:val="Tekstprzypisudolnego"/>
      </w:pPr>
      <w:r w:rsidRPr="0093041C">
        <w:rPr>
          <w:rStyle w:val="Odwoanieprzypisudolnego"/>
          <w:rFonts w:ascii="Calibri" w:hAnsi="Calibri" w:cs="Calibri"/>
        </w:rPr>
        <w:footnoteRef/>
      </w:r>
      <w:r w:rsidRPr="0093041C">
        <w:rPr>
          <w:rFonts w:ascii="Calibri" w:hAnsi="Calibri" w:cs="Calibri"/>
        </w:rPr>
        <w:t xml:space="preserve"> Wielkość przedsiębiorstwa oceniana jest zgodnie z zapisami załącznika I do Rozporządzenia Komisji (UE) nr 651/2014 z dnia 14 czerwca 2014 r. uznającego niektóre rodzaje pomocy za zgodne z rynkiem wewnętrznym w zastosowaniu art. 107 i 108 Traktatu, z uwzględnieniem powiązań kapitałowych i osobowych.</w:t>
      </w:r>
    </w:p>
  </w:footnote>
  <w:footnote w:id="3">
    <w:p w14:paraId="1F0E5AC8" w14:textId="77777777" w:rsidR="009B687F" w:rsidRPr="007E6FD7" w:rsidRDefault="009B687F" w:rsidP="009B687F">
      <w:pPr>
        <w:pStyle w:val="Tekstprzypisudolnego"/>
        <w:rPr>
          <w:rFonts w:ascii="Calibri" w:hAnsi="Calibri" w:cs="Calibri"/>
          <w:sz w:val="24"/>
        </w:rPr>
      </w:pPr>
      <w:r>
        <w:rPr>
          <w:rStyle w:val="Odwoanieprzypisudolnego"/>
        </w:rPr>
        <w:footnoteRef/>
      </w:r>
      <w:r w:rsidRPr="00A10FA7">
        <w:rPr>
          <w:rFonts w:ascii="Calibri" w:hAnsi="Calibri" w:cs="Calibri"/>
          <w:sz w:val="24"/>
          <w:szCs w:val="24"/>
        </w:rPr>
        <w:t>2 lata liczone są od daty finansowego zakończenia realizacji projektu wskazanej w ostatnim zatwierdzonym wniosku o dofinansowanie.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06C73"/>
    <w:multiLevelType w:val="hybridMultilevel"/>
    <w:tmpl w:val="CAB07034"/>
    <w:lvl w:ilvl="0" w:tplc="5EBE0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299B"/>
    <w:multiLevelType w:val="hybridMultilevel"/>
    <w:tmpl w:val="F08A6C10"/>
    <w:lvl w:ilvl="0" w:tplc="3DECE7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473CB"/>
    <w:multiLevelType w:val="hybridMultilevel"/>
    <w:tmpl w:val="F7EEEE66"/>
    <w:lvl w:ilvl="0" w:tplc="B2447EF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6D120CC6"/>
    <w:multiLevelType w:val="hybridMultilevel"/>
    <w:tmpl w:val="9B2447CC"/>
    <w:lvl w:ilvl="0" w:tplc="CECCE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1555"/>
    <w:multiLevelType w:val="hybridMultilevel"/>
    <w:tmpl w:val="9E6AC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06C25"/>
    <w:multiLevelType w:val="hybridMultilevel"/>
    <w:tmpl w:val="1F9AA5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70DC2"/>
    <w:rsid w:val="000C527B"/>
    <w:rsid w:val="000C6FA9"/>
    <w:rsid w:val="000F5F80"/>
    <w:rsid w:val="001076E4"/>
    <w:rsid w:val="001800D0"/>
    <w:rsid w:val="00195302"/>
    <w:rsid w:val="001B1018"/>
    <w:rsid w:val="002F6E65"/>
    <w:rsid w:val="00305978"/>
    <w:rsid w:val="0032542B"/>
    <w:rsid w:val="0036674D"/>
    <w:rsid w:val="003B6255"/>
    <w:rsid w:val="003D7891"/>
    <w:rsid w:val="0040785A"/>
    <w:rsid w:val="0043711E"/>
    <w:rsid w:val="00446ED0"/>
    <w:rsid w:val="004D60CC"/>
    <w:rsid w:val="00506161"/>
    <w:rsid w:val="00564943"/>
    <w:rsid w:val="00584E15"/>
    <w:rsid w:val="005C3CA4"/>
    <w:rsid w:val="005F2EE9"/>
    <w:rsid w:val="00606EEC"/>
    <w:rsid w:val="00614919"/>
    <w:rsid w:val="0065546E"/>
    <w:rsid w:val="00672D51"/>
    <w:rsid w:val="00673D70"/>
    <w:rsid w:val="00725FFD"/>
    <w:rsid w:val="007B461B"/>
    <w:rsid w:val="007E399C"/>
    <w:rsid w:val="008E4CA8"/>
    <w:rsid w:val="00984BE0"/>
    <w:rsid w:val="009B687F"/>
    <w:rsid w:val="00A261AC"/>
    <w:rsid w:val="00AC6165"/>
    <w:rsid w:val="00AD38A6"/>
    <w:rsid w:val="00B40354"/>
    <w:rsid w:val="00B44B34"/>
    <w:rsid w:val="00BE0E16"/>
    <w:rsid w:val="00C04B2A"/>
    <w:rsid w:val="00C46467"/>
    <w:rsid w:val="00C56FE8"/>
    <w:rsid w:val="00C71168"/>
    <w:rsid w:val="00C93DCB"/>
    <w:rsid w:val="00CB791D"/>
    <w:rsid w:val="00CF75D9"/>
    <w:rsid w:val="00D53493"/>
    <w:rsid w:val="00E13F21"/>
    <w:rsid w:val="00E53E7A"/>
    <w:rsid w:val="00E62D3E"/>
    <w:rsid w:val="00E710F4"/>
    <w:rsid w:val="00E82EB4"/>
    <w:rsid w:val="00EA4C4F"/>
    <w:rsid w:val="00EB2EDC"/>
    <w:rsid w:val="00EE0C90"/>
    <w:rsid w:val="00FC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C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F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F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zepisy.gofin.pl/przepisy,4,24,24,3869,,,rozporzadzenie-ministra-infrastruktury-i-rozwoju-z-dnia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25B7-2D16-4AD9-BC28-3FD89596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1611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11</cp:revision>
  <cp:lastPrinted>2024-09-18T07:40:00Z</cp:lastPrinted>
  <dcterms:created xsi:type="dcterms:W3CDTF">2024-09-13T10:59:00Z</dcterms:created>
  <dcterms:modified xsi:type="dcterms:W3CDTF">2024-10-02T12:06:00Z</dcterms:modified>
</cp:coreProperties>
</file>