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BE0D0D6" w14:textId="77777777" w:rsidR="00AC6165" w:rsidRDefault="00AC6165" w:rsidP="00AC6165">
      <w:pPr>
        <w:pStyle w:val="Tekstpodstawowy"/>
        <w:jc w:val="center"/>
        <w:rPr>
          <w:rFonts w:ascii="Calibri" w:hAnsi="Calibri" w:cs="Calibri"/>
        </w:rPr>
      </w:pPr>
      <w:r>
        <w:rPr>
          <w:rFonts w:cs="Calibri"/>
          <w:noProof/>
        </w:rPr>
        <w:drawing>
          <wp:inline distT="0" distB="0" distL="0" distR="0" wp14:anchorId="311568F6" wp14:editId="1D68685B">
            <wp:extent cx="5759450" cy="590225"/>
            <wp:effectExtent l="0" t="0" r="0" b="635"/>
            <wp:docPr id="3" name="Obraz 3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590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AB85226" w14:textId="77777777" w:rsidR="00AC6165" w:rsidRDefault="00AC6165" w:rsidP="00AC6165">
      <w:pPr>
        <w:pStyle w:val="Tekstpodstawowy"/>
        <w:jc w:val="right"/>
        <w:rPr>
          <w:rFonts w:ascii="Calibri" w:hAnsi="Calibri" w:cs="Calibri"/>
        </w:rPr>
      </w:pPr>
    </w:p>
    <w:p w14:paraId="2C343C52" w14:textId="77777777" w:rsidR="00AC6165" w:rsidRDefault="00AC6165" w:rsidP="00AC6165">
      <w:pPr>
        <w:pStyle w:val="Tekstpodstawowy"/>
        <w:jc w:val="right"/>
        <w:rPr>
          <w:sz w:val="20"/>
          <w:szCs w:val="20"/>
        </w:rPr>
      </w:pPr>
    </w:p>
    <w:p w14:paraId="6D05F81A" w14:textId="77777777" w:rsidR="00EC1A34" w:rsidRDefault="00AC6165" w:rsidP="00EE0C90">
      <w:pPr>
        <w:pStyle w:val="Tekstpodstawowy"/>
        <w:jc w:val="left"/>
        <w:rPr>
          <w:rFonts w:ascii="Calibri" w:hAnsi="Calibri" w:cs="Calibri"/>
        </w:rPr>
      </w:pPr>
      <w:r>
        <w:rPr>
          <w:rFonts w:ascii="Calibri" w:hAnsi="Calibri" w:cs="Calibri"/>
        </w:rPr>
        <w:t xml:space="preserve">Załącznik nr </w:t>
      </w:r>
      <w:r w:rsidR="0073324F">
        <w:rPr>
          <w:rFonts w:ascii="Calibri" w:hAnsi="Calibri" w:cs="Calibri"/>
        </w:rPr>
        <w:t>14</w:t>
      </w:r>
    </w:p>
    <w:p w14:paraId="7B3CC490" w14:textId="77777777" w:rsidR="00EC1A34" w:rsidRDefault="00EC1A34" w:rsidP="00EE0C90">
      <w:pPr>
        <w:pStyle w:val="Tekstpodstawowy"/>
        <w:jc w:val="left"/>
        <w:rPr>
          <w:rFonts w:ascii="Calibri" w:hAnsi="Calibri" w:cs="Calibri"/>
        </w:rPr>
      </w:pPr>
    </w:p>
    <w:p w14:paraId="6AFAD853" w14:textId="752ED4F8" w:rsidR="00AC6165" w:rsidRPr="00EC1A34" w:rsidRDefault="00EC1A34" w:rsidP="00EE0C90">
      <w:pPr>
        <w:pStyle w:val="Tekstpodstawowy"/>
        <w:jc w:val="left"/>
        <w:rPr>
          <w:rFonts w:ascii="Calibri" w:hAnsi="Calibri" w:cs="Calibri"/>
          <w:b/>
        </w:rPr>
      </w:pPr>
      <w:r w:rsidRPr="00EC1A34">
        <w:rPr>
          <w:rFonts w:ascii="Calibri" w:eastAsia="Calibri" w:hAnsi="Calibri" w:cs="Calibri"/>
          <w:b/>
          <w:iCs/>
          <w:lang w:eastAsia="en-US"/>
        </w:rPr>
        <w:t>Szczegółowe warunki realizacji modułów</w:t>
      </w:r>
      <w:r w:rsidR="000F5F80" w:rsidRPr="00EC1A34">
        <w:rPr>
          <w:rFonts w:ascii="Calibri" w:hAnsi="Calibri" w:cs="Calibri"/>
          <w:b/>
        </w:rPr>
        <w:t xml:space="preserve"> </w:t>
      </w:r>
      <w:r w:rsidR="00AC6165" w:rsidRPr="00EC1A34">
        <w:rPr>
          <w:rFonts w:ascii="Calibri" w:hAnsi="Calibri" w:cs="Calibri"/>
          <w:b/>
        </w:rPr>
        <w:t xml:space="preserve"> </w:t>
      </w:r>
    </w:p>
    <w:p w14:paraId="6509C411" w14:textId="77777777" w:rsidR="009B687F" w:rsidRDefault="009B687F" w:rsidP="00EE0C90">
      <w:pPr>
        <w:pStyle w:val="Tekstpodstawowy"/>
        <w:jc w:val="left"/>
        <w:rPr>
          <w:rFonts w:ascii="Calibri" w:hAnsi="Calibri" w:cs="Calibri"/>
        </w:rPr>
      </w:pPr>
    </w:p>
    <w:p w14:paraId="34A7F628" w14:textId="77777777" w:rsidR="0073324F" w:rsidRPr="0073324F" w:rsidRDefault="0073324F" w:rsidP="0073324F">
      <w:pPr>
        <w:spacing w:after="160" w:line="259" w:lineRule="auto"/>
      </w:pPr>
      <w:r w:rsidRPr="0073324F">
        <w:t>W ramach projektu możliwe jest poniesienie wydatków na elementy uzupełniające inwestycję w postaci następujących modułów (do wyboru dowolna ich ilość):</w:t>
      </w:r>
    </w:p>
    <w:p w14:paraId="2A9B1E65" w14:textId="77777777" w:rsidR="0073324F" w:rsidRPr="0073324F" w:rsidRDefault="0073324F" w:rsidP="0073324F">
      <w:pPr>
        <w:numPr>
          <w:ilvl w:val="0"/>
          <w:numId w:val="7"/>
        </w:numPr>
        <w:spacing w:after="160" w:line="259" w:lineRule="auto"/>
        <w:contextualSpacing/>
        <w:rPr>
          <w:b/>
        </w:rPr>
      </w:pPr>
      <w:r w:rsidRPr="0073324F">
        <w:rPr>
          <w:b/>
        </w:rPr>
        <w:t>Zazielenienie</w:t>
      </w:r>
    </w:p>
    <w:p w14:paraId="1BE9D592" w14:textId="77777777" w:rsidR="0073324F" w:rsidRPr="0073324F" w:rsidRDefault="0073324F" w:rsidP="0073324F">
      <w:pPr>
        <w:spacing w:after="160" w:line="259" w:lineRule="auto"/>
        <w:ind w:left="1080"/>
        <w:contextualSpacing/>
      </w:pPr>
      <w:r w:rsidRPr="0073324F">
        <w:t xml:space="preserve">Moduł zazielenienie ma na celu transformację przedsiębiorstwa w kierunku zrównoważonego rozwoju oraz gospodarki o obiegu zamkniętym. </w:t>
      </w:r>
    </w:p>
    <w:p w14:paraId="74B30373" w14:textId="77777777" w:rsidR="0073324F" w:rsidRPr="0073324F" w:rsidRDefault="0073324F" w:rsidP="0073324F">
      <w:pPr>
        <w:spacing w:after="160" w:line="259" w:lineRule="auto"/>
        <w:ind w:left="1080"/>
        <w:contextualSpacing/>
      </w:pPr>
      <w:r w:rsidRPr="0073324F">
        <w:t>Wydatki ujęte w ramach tego modułu powinny przyczyniać się do:</w:t>
      </w:r>
    </w:p>
    <w:p w14:paraId="12984293" w14:textId="77777777" w:rsidR="0073324F" w:rsidRPr="0073324F" w:rsidRDefault="0073324F" w:rsidP="0073324F">
      <w:pPr>
        <w:numPr>
          <w:ilvl w:val="0"/>
          <w:numId w:val="8"/>
        </w:numPr>
        <w:spacing w:after="160" w:line="259" w:lineRule="auto"/>
        <w:contextualSpacing/>
      </w:pPr>
      <w:r w:rsidRPr="0073324F">
        <w:t>zastosowania rozwiązań z zakresu gospodarki obiegu zamkniętego zmniejszających ilość odpadów i zwiększających ich segregację oraz recykling,</w:t>
      </w:r>
    </w:p>
    <w:p w14:paraId="763EB52D" w14:textId="77777777" w:rsidR="0073324F" w:rsidRPr="0073324F" w:rsidRDefault="0073324F" w:rsidP="0073324F">
      <w:pPr>
        <w:numPr>
          <w:ilvl w:val="0"/>
          <w:numId w:val="8"/>
        </w:numPr>
        <w:spacing w:after="160" w:line="259" w:lineRule="auto"/>
        <w:contextualSpacing/>
      </w:pPr>
      <w:r w:rsidRPr="0073324F">
        <w:t>zastosowania odnawialnych źródeł energii do pozyskiwania energii elektrycznej lub energii cieplnej niezbędnej do prowadzenia działalności przez Wnioskodawcę,</w:t>
      </w:r>
    </w:p>
    <w:p w14:paraId="5EB96CE4" w14:textId="77777777" w:rsidR="0073324F" w:rsidRPr="0073324F" w:rsidRDefault="0073324F" w:rsidP="0073324F">
      <w:pPr>
        <w:numPr>
          <w:ilvl w:val="0"/>
          <w:numId w:val="8"/>
        </w:numPr>
        <w:spacing w:after="160" w:line="259" w:lineRule="auto"/>
        <w:contextualSpacing/>
      </w:pPr>
      <w:r w:rsidRPr="0073324F">
        <w:t>zmniejszenia energochłonności prowadzonej działalności przez Wnioskodawcę w stosunku do stanu przed realizacją inwestycji,</w:t>
      </w:r>
    </w:p>
    <w:p w14:paraId="0A935640" w14:textId="77777777" w:rsidR="0073324F" w:rsidRPr="0073324F" w:rsidRDefault="0073324F" w:rsidP="0073324F">
      <w:pPr>
        <w:numPr>
          <w:ilvl w:val="0"/>
          <w:numId w:val="8"/>
        </w:numPr>
        <w:spacing w:after="160" w:line="259" w:lineRule="auto"/>
        <w:contextualSpacing/>
      </w:pPr>
      <w:r w:rsidRPr="0073324F">
        <w:t>zmniejszenia emisji zanieczyszczeń́ do atmosfery w wyniku prowadzonej działalności przemysłowej lub usługowej w stosunku do stanu przed realizacją inwestycji,</w:t>
      </w:r>
    </w:p>
    <w:p w14:paraId="51608C8C" w14:textId="77777777" w:rsidR="0073324F" w:rsidRPr="0073324F" w:rsidRDefault="0073324F" w:rsidP="0073324F">
      <w:pPr>
        <w:numPr>
          <w:ilvl w:val="0"/>
          <w:numId w:val="8"/>
        </w:numPr>
        <w:spacing w:after="160" w:line="259" w:lineRule="auto"/>
        <w:contextualSpacing/>
      </w:pPr>
      <w:r w:rsidRPr="0073324F">
        <w:t>poprawy efektywności energetycznej budynków / budowli niezbędnych do realizacji działalności przez Wnioskodawcę,</w:t>
      </w:r>
    </w:p>
    <w:p w14:paraId="7FFCB2A5" w14:textId="77777777" w:rsidR="0073324F" w:rsidRPr="0073324F" w:rsidRDefault="0073324F" w:rsidP="0073324F">
      <w:pPr>
        <w:numPr>
          <w:ilvl w:val="0"/>
          <w:numId w:val="8"/>
        </w:numPr>
        <w:spacing w:after="160" w:line="259" w:lineRule="auto"/>
        <w:contextualSpacing/>
      </w:pPr>
      <w:r w:rsidRPr="0073324F">
        <w:t>uzyskaniem dla produktów przedsiębiorstwa deklaracji środowiskowych produktu (EDP).</w:t>
      </w:r>
    </w:p>
    <w:p w14:paraId="1C5E5157" w14:textId="77777777" w:rsidR="0073324F" w:rsidRPr="0073324F" w:rsidRDefault="0073324F" w:rsidP="0073324F">
      <w:pPr>
        <w:spacing w:after="160" w:line="259" w:lineRule="auto"/>
        <w:ind w:left="1440"/>
      </w:pPr>
      <w:r w:rsidRPr="0073324F">
        <w:t>Koszty kwalifikowane w ramach modułu to:</w:t>
      </w:r>
    </w:p>
    <w:p w14:paraId="69633192" w14:textId="77777777" w:rsidR="0073324F" w:rsidRPr="0073324F" w:rsidRDefault="0073324F" w:rsidP="0073324F">
      <w:pPr>
        <w:numPr>
          <w:ilvl w:val="0"/>
          <w:numId w:val="11"/>
        </w:numPr>
        <w:spacing w:after="160" w:line="259" w:lineRule="auto"/>
        <w:contextualSpacing/>
      </w:pPr>
      <w:r w:rsidRPr="0073324F">
        <w:t>zakup środków trwałych, z wyłączeniem środków transportu,</w:t>
      </w:r>
    </w:p>
    <w:p w14:paraId="1D71AC5F" w14:textId="77777777" w:rsidR="0073324F" w:rsidRPr="0073324F" w:rsidRDefault="0073324F" w:rsidP="0073324F">
      <w:pPr>
        <w:numPr>
          <w:ilvl w:val="0"/>
          <w:numId w:val="11"/>
        </w:numPr>
        <w:spacing w:after="160" w:line="259" w:lineRule="auto"/>
        <w:contextualSpacing/>
      </w:pPr>
      <w:r w:rsidRPr="0073324F">
        <w:t>zakup wartości niematerialnych i prawnych,</w:t>
      </w:r>
    </w:p>
    <w:p w14:paraId="2CEE756E" w14:textId="77777777" w:rsidR="0073324F" w:rsidRPr="0073324F" w:rsidRDefault="0073324F" w:rsidP="0073324F">
      <w:pPr>
        <w:numPr>
          <w:ilvl w:val="0"/>
          <w:numId w:val="11"/>
        </w:numPr>
        <w:spacing w:after="160" w:line="259" w:lineRule="auto"/>
        <w:contextualSpacing/>
      </w:pPr>
      <w:r w:rsidRPr="0073324F">
        <w:t>prace budowalne, montażowe, instalacyjne,</w:t>
      </w:r>
    </w:p>
    <w:p w14:paraId="531BCA49" w14:textId="77777777" w:rsidR="0073324F" w:rsidRPr="0073324F" w:rsidRDefault="0073324F" w:rsidP="0073324F">
      <w:pPr>
        <w:numPr>
          <w:ilvl w:val="0"/>
          <w:numId w:val="11"/>
        </w:numPr>
        <w:spacing w:after="160" w:line="259" w:lineRule="auto"/>
        <w:contextualSpacing/>
      </w:pPr>
      <w:r w:rsidRPr="0073324F">
        <w:t xml:space="preserve">usługi doradcze, w tym audyty środowiskowe, </w:t>
      </w:r>
    </w:p>
    <w:p w14:paraId="6C2C3DBD" w14:textId="77777777" w:rsidR="0073324F" w:rsidRPr="0073324F" w:rsidRDefault="0073324F" w:rsidP="0073324F">
      <w:pPr>
        <w:numPr>
          <w:ilvl w:val="0"/>
          <w:numId w:val="11"/>
        </w:numPr>
        <w:spacing w:after="160" w:line="259" w:lineRule="auto"/>
        <w:contextualSpacing/>
      </w:pPr>
      <w:r w:rsidRPr="0073324F">
        <w:t>koszt oceny śladu środowiskowego produktu, koszt oceny cyklu życia produktu niezbędne dla uzyskania deklaracji środowiskowej produktu (EDP)</w:t>
      </w:r>
    </w:p>
    <w:p w14:paraId="78497916" w14:textId="77777777" w:rsidR="0073324F" w:rsidRPr="0073324F" w:rsidRDefault="0073324F" w:rsidP="0073324F">
      <w:pPr>
        <w:spacing w:after="160" w:line="259" w:lineRule="auto"/>
        <w:ind w:left="2160"/>
        <w:contextualSpacing/>
      </w:pPr>
    </w:p>
    <w:p w14:paraId="35B743E5" w14:textId="77777777" w:rsidR="0073324F" w:rsidRPr="0073324F" w:rsidRDefault="0073324F" w:rsidP="0073324F">
      <w:pPr>
        <w:numPr>
          <w:ilvl w:val="0"/>
          <w:numId w:val="7"/>
        </w:numPr>
        <w:spacing w:after="160" w:line="259" w:lineRule="auto"/>
        <w:contextualSpacing/>
        <w:rPr>
          <w:b/>
        </w:rPr>
      </w:pPr>
      <w:r w:rsidRPr="0073324F">
        <w:rPr>
          <w:b/>
        </w:rPr>
        <w:t>Cyfryzacja</w:t>
      </w:r>
    </w:p>
    <w:p w14:paraId="52B46841" w14:textId="77777777" w:rsidR="0073324F" w:rsidRPr="0073324F" w:rsidRDefault="0073324F" w:rsidP="0073324F">
      <w:pPr>
        <w:spacing w:after="160" w:line="259" w:lineRule="auto"/>
        <w:ind w:left="1080"/>
        <w:contextualSpacing/>
      </w:pPr>
      <w:r w:rsidRPr="0073324F">
        <w:t>Moduł cyfryzacja ma na celu wdrożenie specjalistycznych rozwiązań cyfrowych w przedsiębiorstwie, mających wpływ na optymalizację czasu pracy i kosztów, optymalizację procesów zachodzących w firmie, gromadzenie danych, odnoszących się do procesu produkcji, zarządzania zasobami i surowcami, magazynowania i obsługi klienta. Dlatego ze wsparcia wyłączone jest finansowanie w ramach tego modułu wydatków na zakup oprogramowania biurowego lub księgowego, a także zakup systemów operacyjnych komputerów osobistych wykorzystujących powszechnie znane i dostępne technologie.</w:t>
      </w:r>
    </w:p>
    <w:p w14:paraId="6E106B10" w14:textId="77777777" w:rsidR="0073324F" w:rsidRPr="0073324F" w:rsidRDefault="0073324F" w:rsidP="0073324F">
      <w:pPr>
        <w:spacing w:after="160" w:line="259" w:lineRule="auto"/>
        <w:ind w:left="1080"/>
        <w:contextualSpacing/>
      </w:pPr>
      <w:r w:rsidRPr="0073324F">
        <w:lastRenderedPageBreak/>
        <w:t>Wydatki ujęte w ramach tego modułu powinny przyczyniać się do:</w:t>
      </w:r>
    </w:p>
    <w:p w14:paraId="06E842C5" w14:textId="77777777" w:rsidR="0073324F" w:rsidRPr="0073324F" w:rsidRDefault="0073324F" w:rsidP="0073324F">
      <w:pPr>
        <w:numPr>
          <w:ilvl w:val="0"/>
          <w:numId w:val="9"/>
        </w:numPr>
        <w:spacing w:after="160" w:line="259" w:lineRule="auto"/>
        <w:contextualSpacing/>
      </w:pPr>
      <w:r w:rsidRPr="0073324F">
        <w:t>zastosowania automatyzacji lub robotyzacji procesów,</w:t>
      </w:r>
    </w:p>
    <w:p w14:paraId="17564015" w14:textId="77777777" w:rsidR="0073324F" w:rsidRPr="0073324F" w:rsidRDefault="0073324F" w:rsidP="0073324F">
      <w:pPr>
        <w:numPr>
          <w:ilvl w:val="0"/>
          <w:numId w:val="9"/>
        </w:numPr>
        <w:spacing w:after="160" w:line="259" w:lineRule="auto"/>
        <w:contextualSpacing/>
      </w:pPr>
      <w:r w:rsidRPr="0073324F">
        <w:t>modernizacji systemów ICT w przedsiębiorstwie,</w:t>
      </w:r>
    </w:p>
    <w:p w14:paraId="62E5282A" w14:textId="77777777" w:rsidR="0073324F" w:rsidRPr="0073324F" w:rsidRDefault="0073324F" w:rsidP="0073324F">
      <w:pPr>
        <w:numPr>
          <w:ilvl w:val="0"/>
          <w:numId w:val="9"/>
        </w:numPr>
        <w:spacing w:after="160" w:line="259" w:lineRule="auto"/>
        <w:contextualSpacing/>
      </w:pPr>
      <w:r w:rsidRPr="0073324F">
        <w:t>transformacji cyfrowej działalności produkcyjnej, usługowej, modelu biznesowego, procesów w przedsiębiorstwie, np. zgodnie z założeniami Przemysłu 4.0,</w:t>
      </w:r>
    </w:p>
    <w:p w14:paraId="0C42B87D" w14:textId="77777777" w:rsidR="0073324F" w:rsidRPr="0073324F" w:rsidRDefault="0073324F" w:rsidP="0073324F">
      <w:pPr>
        <w:numPr>
          <w:ilvl w:val="0"/>
          <w:numId w:val="9"/>
        </w:numPr>
        <w:spacing w:after="160" w:line="259" w:lineRule="auto"/>
        <w:contextualSpacing/>
      </w:pPr>
      <w:r w:rsidRPr="0073324F">
        <w:t xml:space="preserve">wdrożenia nowych modeli biznesowych w tym tych opartych o m.in. AI, </w:t>
      </w:r>
      <w:proofErr w:type="spellStart"/>
      <w:r w:rsidRPr="0073324F">
        <w:t>machine</w:t>
      </w:r>
      <w:proofErr w:type="spellEnd"/>
      <w:r w:rsidRPr="0073324F">
        <w:t xml:space="preserve"> learning, wirtualną rzeczywistość, konfiguratory online czy sieci </w:t>
      </w:r>
      <w:proofErr w:type="spellStart"/>
      <w:r w:rsidRPr="0073324F">
        <w:t>IoT</w:t>
      </w:r>
      <w:proofErr w:type="spellEnd"/>
      <w:r w:rsidRPr="0073324F">
        <w:t xml:space="preserve"> (Internet of </w:t>
      </w:r>
      <w:proofErr w:type="spellStart"/>
      <w:r w:rsidRPr="0073324F">
        <w:t>Things</w:t>
      </w:r>
      <w:proofErr w:type="spellEnd"/>
      <w:r w:rsidRPr="0073324F">
        <w:t>),</w:t>
      </w:r>
    </w:p>
    <w:p w14:paraId="76AC5618" w14:textId="77777777" w:rsidR="0073324F" w:rsidRPr="0073324F" w:rsidRDefault="0073324F" w:rsidP="0073324F">
      <w:pPr>
        <w:numPr>
          <w:ilvl w:val="0"/>
          <w:numId w:val="9"/>
        </w:numPr>
        <w:spacing w:after="160" w:line="259" w:lineRule="auto"/>
        <w:contextualSpacing/>
      </w:pPr>
      <w:r w:rsidRPr="0073324F">
        <w:t xml:space="preserve">zapewnienia </w:t>
      </w:r>
      <w:proofErr w:type="spellStart"/>
      <w:r w:rsidRPr="0073324F">
        <w:t>cyber</w:t>
      </w:r>
      <w:proofErr w:type="spellEnd"/>
      <w:r w:rsidRPr="0073324F">
        <w:t>-bezpieczeństwa.</w:t>
      </w:r>
    </w:p>
    <w:p w14:paraId="4C6FC9E2" w14:textId="77777777" w:rsidR="0073324F" w:rsidRPr="0073324F" w:rsidRDefault="0073324F" w:rsidP="0073324F">
      <w:pPr>
        <w:spacing w:after="160" w:line="259" w:lineRule="auto"/>
        <w:ind w:left="708" w:firstLine="708"/>
      </w:pPr>
      <w:r w:rsidRPr="0073324F">
        <w:t>Koszty kwalifikowane w ramach modułu to:</w:t>
      </w:r>
    </w:p>
    <w:p w14:paraId="77A0C3FB" w14:textId="77777777" w:rsidR="0073324F" w:rsidRPr="0073324F" w:rsidRDefault="0073324F" w:rsidP="0073324F">
      <w:pPr>
        <w:numPr>
          <w:ilvl w:val="0"/>
          <w:numId w:val="12"/>
        </w:numPr>
        <w:spacing w:after="160" w:line="259" w:lineRule="auto"/>
        <w:contextualSpacing/>
      </w:pPr>
      <w:r w:rsidRPr="0073324F">
        <w:t>zakup środków trwałych, z wyłączeniem środków transportu,</w:t>
      </w:r>
    </w:p>
    <w:p w14:paraId="6D8B6F10" w14:textId="77777777" w:rsidR="0073324F" w:rsidRPr="0073324F" w:rsidRDefault="0073324F" w:rsidP="0073324F">
      <w:pPr>
        <w:numPr>
          <w:ilvl w:val="0"/>
          <w:numId w:val="12"/>
        </w:numPr>
        <w:spacing w:after="160" w:line="259" w:lineRule="auto"/>
        <w:contextualSpacing/>
      </w:pPr>
      <w:r w:rsidRPr="0073324F">
        <w:t>zakup wartości niematerialnych i prawnych,</w:t>
      </w:r>
    </w:p>
    <w:p w14:paraId="1930B4D2" w14:textId="77777777" w:rsidR="0073324F" w:rsidRPr="0073324F" w:rsidRDefault="0073324F" w:rsidP="0073324F">
      <w:pPr>
        <w:numPr>
          <w:ilvl w:val="0"/>
          <w:numId w:val="12"/>
        </w:numPr>
        <w:spacing w:after="160" w:line="259" w:lineRule="auto"/>
        <w:contextualSpacing/>
      </w:pPr>
      <w:r w:rsidRPr="0073324F">
        <w:t>prace budowalne, montażowe, instalacyjne,</w:t>
      </w:r>
    </w:p>
    <w:p w14:paraId="7C95A770" w14:textId="77777777" w:rsidR="0073324F" w:rsidRPr="0073324F" w:rsidRDefault="0073324F" w:rsidP="0073324F">
      <w:pPr>
        <w:numPr>
          <w:ilvl w:val="0"/>
          <w:numId w:val="12"/>
        </w:numPr>
        <w:spacing w:after="160" w:line="259" w:lineRule="auto"/>
        <w:contextualSpacing/>
      </w:pPr>
      <w:r w:rsidRPr="0073324F">
        <w:t>usługi zewnętrzne związane z wdrożeniem innowacji, np. usługi w chmurze, przechowywania danych, udostępniania banków danych.</w:t>
      </w:r>
    </w:p>
    <w:p w14:paraId="14457B03" w14:textId="77777777" w:rsidR="0073324F" w:rsidRPr="0073324F" w:rsidRDefault="0073324F" w:rsidP="0073324F">
      <w:pPr>
        <w:spacing w:after="160" w:line="259" w:lineRule="auto"/>
        <w:ind w:left="1800"/>
        <w:contextualSpacing/>
      </w:pPr>
    </w:p>
    <w:p w14:paraId="488CD75D" w14:textId="77777777" w:rsidR="0073324F" w:rsidRPr="0073324F" w:rsidRDefault="0073324F" w:rsidP="0073324F">
      <w:pPr>
        <w:numPr>
          <w:ilvl w:val="0"/>
          <w:numId w:val="7"/>
        </w:numPr>
        <w:spacing w:after="160" w:line="259" w:lineRule="auto"/>
        <w:contextualSpacing/>
        <w:rPr>
          <w:b/>
        </w:rPr>
      </w:pPr>
      <w:r w:rsidRPr="0073324F">
        <w:rPr>
          <w:b/>
        </w:rPr>
        <w:t>Internacjonalizacja</w:t>
      </w:r>
      <w:bookmarkStart w:id="0" w:name="_GoBack"/>
      <w:bookmarkEnd w:id="0"/>
    </w:p>
    <w:p w14:paraId="5E2EEA3E" w14:textId="77777777" w:rsidR="0073324F" w:rsidRPr="0073324F" w:rsidRDefault="0073324F" w:rsidP="0073324F">
      <w:pPr>
        <w:spacing w:after="160" w:line="259" w:lineRule="auto"/>
        <w:ind w:left="1080"/>
        <w:contextualSpacing/>
      </w:pPr>
      <w:r w:rsidRPr="0073324F">
        <w:t xml:space="preserve">Moduł internacjonalizacja ma na celu wsparcie umiędzynarodowienia planowanych do wdrożenia produktów, czyli promowania ich na rynkach zagranicznych pod marką produktową przedsiębiorstwa oraz objęcie ich ochroną własności intelektualnej na poziomie </w:t>
      </w:r>
      <w:proofErr w:type="spellStart"/>
      <w:r w:rsidRPr="0073324F">
        <w:t>ponadkrajowym</w:t>
      </w:r>
      <w:proofErr w:type="spellEnd"/>
      <w:r w:rsidRPr="0073324F">
        <w:t>.</w:t>
      </w:r>
    </w:p>
    <w:p w14:paraId="48DD3619" w14:textId="77777777" w:rsidR="0073324F" w:rsidRPr="0073324F" w:rsidRDefault="0073324F" w:rsidP="0073324F">
      <w:pPr>
        <w:spacing w:after="160" w:line="259" w:lineRule="auto"/>
        <w:ind w:left="1080"/>
        <w:contextualSpacing/>
      </w:pPr>
      <w:r w:rsidRPr="0073324F">
        <w:t>Wydatki ujęte w ramach tego modułu powinny przyczyniać się do:</w:t>
      </w:r>
    </w:p>
    <w:p w14:paraId="6971344C" w14:textId="77777777" w:rsidR="0073324F" w:rsidRPr="0073324F" w:rsidRDefault="0073324F" w:rsidP="0073324F">
      <w:pPr>
        <w:numPr>
          <w:ilvl w:val="0"/>
          <w:numId w:val="10"/>
        </w:numPr>
        <w:spacing w:after="160" w:line="259" w:lineRule="auto"/>
        <w:contextualSpacing/>
      </w:pPr>
      <w:r w:rsidRPr="0073324F">
        <w:t>promocji zagranicznej produktów,</w:t>
      </w:r>
    </w:p>
    <w:p w14:paraId="36F031EF" w14:textId="77777777" w:rsidR="0073324F" w:rsidRPr="0073324F" w:rsidRDefault="0073324F" w:rsidP="0073324F">
      <w:pPr>
        <w:numPr>
          <w:ilvl w:val="0"/>
          <w:numId w:val="10"/>
        </w:numPr>
        <w:spacing w:after="160" w:line="259" w:lineRule="auto"/>
        <w:contextualSpacing/>
      </w:pPr>
      <w:r w:rsidRPr="0073324F">
        <w:t>uzyskania ochrony własności intelektualnej</w:t>
      </w:r>
      <w:r w:rsidRPr="0073324F">
        <w:rPr>
          <w:rFonts w:cs="Calibri"/>
          <w:color w:val="000000"/>
          <w:shd w:val="clear" w:color="auto" w:fill="FFFFFF"/>
        </w:rPr>
        <w:t xml:space="preserve"> w formie patentu lub praw ochronnych na wzór użytkowy lub praw z rejestracji wzoru przemysłowego</w:t>
      </w:r>
      <w:r w:rsidRPr="0073324F">
        <w:t xml:space="preserve"> na poziomie </w:t>
      </w:r>
      <w:proofErr w:type="spellStart"/>
      <w:r w:rsidRPr="0073324F">
        <w:t>ponadkrajowym</w:t>
      </w:r>
      <w:proofErr w:type="spellEnd"/>
      <w:r w:rsidRPr="0073324F">
        <w:t>.</w:t>
      </w:r>
    </w:p>
    <w:p w14:paraId="37B86E00" w14:textId="77777777" w:rsidR="0073324F" w:rsidRPr="0073324F" w:rsidRDefault="0073324F" w:rsidP="0073324F">
      <w:pPr>
        <w:spacing w:after="160" w:line="259" w:lineRule="auto"/>
        <w:ind w:left="1440"/>
      </w:pPr>
      <w:r w:rsidRPr="0073324F">
        <w:t>Koszty kwalifikowane w ramach modułu to:</w:t>
      </w:r>
    </w:p>
    <w:p w14:paraId="3960B71D" w14:textId="77777777" w:rsidR="0073324F" w:rsidRPr="0073324F" w:rsidRDefault="0073324F" w:rsidP="0073324F">
      <w:pPr>
        <w:numPr>
          <w:ilvl w:val="0"/>
          <w:numId w:val="11"/>
        </w:numPr>
        <w:spacing w:after="160" w:line="259" w:lineRule="auto"/>
        <w:contextualSpacing/>
      </w:pPr>
      <w:r w:rsidRPr="0073324F">
        <w:t>pokrycie kosztów udziału w targach lub imprezach targowo-konferencyjnych o znaczeniu międzynarodowym (np. koszty organizacji stoiska, transportu, podróży służbowych pracowników),</w:t>
      </w:r>
    </w:p>
    <w:p w14:paraId="79EDF7C3" w14:textId="77777777" w:rsidR="0073324F" w:rsidRPr="0073324F" w:rsidRDefault="0073324F" w:rsidP="0073324F">
      <w:pPr>
        <w:spacing w:after="160" w:line="259" w:lineRule="auto"/>
        <w:ind w:left="2160"/>
        <w:contextualSpacing/>
      </w:pPr>
    </w:p>
    <w:p w14:paraId="3946DFE3" w14:textId="77777777" w:rsidR="0073324F" w:rsidRPr="0073324F" w:rsidRDefault="0073324F" w:rsidP="0073324F">
      <w:pPr>
        <w:numPr>
          <w:ilvl w:val="0"/>
          <w:numId w:val="7"/>
        </w:numPr>
        <w:spacing w:after="160" w:line="259" w:lineRule="auto"/>
        <w:contextualSpacing/>
        <w:rPr>
          <w:b/>
        </w:rPr>
      </w:pPr>
      <w:r w:rsidRPr="0073324F">
        <w:rPr>
          <w:b/>
        </w:rPr>
        <w:t>Kompetencje</w:t>
      </w:r>
    </w:p>
    <w:p w14:paraId="6F07DE9B" w14:textId="77777777" w:rsidR="0073324F" w:rsidRPr="0073324F" w:rsidRDefault="0073324F" w:rsidP="0073324F">
      <w:pPr>
        <w:spacing w:after="160" w:line="259" w:lineRule="auto"/>
        <w:ind w:left="1080"/>
        <w:contextualSpacing/>
      </w:pPr>
      <w:r w:rsidRPr="0073324F">
        <w:t>Moduł rozwoju kompetencji ma na celu zapewnienie, że kadra zarządzająca oraz pracownicy przedsiębiorstwa posiadają odpowiednią i aktualną wiedzę i umiejętności do wdrożenia wyników B+R oraz wprowadzania innowacji w przedsiębiorstwie.</w:t>
      </w:r>
    </w:p>
    <w:p w14:paraId="1BF3C3AB" w14:textId="77777777" w:rsidR="0073324F" w:rsidRPr="0073324F" w:rsidRDefault="0073324F" w:rsidP="0073324F">
      <w:pPr>
        <w:spacing w:after="160" w:line="259" w:lineRule="auto"/>
        <w:ind w:left="1080"/>
        <w:contextualSpacing/>
      </w:pPr>
      <w:r w:rsidRPr="0073324F">
        <w:t>Wydatki ujęte w ramach tego modułu powinny przyczyniać się do:</w:t>
      </w:r>
    </w:p>
    <w:p w14:paraId="71A62533" w14:textId="77777777" w:rsidR="0073324F" w:rsidRPr="0073324F" w:rsidRDefault="0073324F" w:rsidP="0073324F">
      <w:pPr>
        <w:numPr>
          <w:ilvl w:val="0"/>
          <w:numId w:val="13"/>
        </w:numPr>
        <w:spacing w:after="160" w:line="259" w:lineRule="auto"/>
        <w:contextualSpacing/>
      </w:pPr>
      <w:r w:rsidRPr="0073324F">
        <w:t>doskonalenia kompetencji pracowników i osób zarządzających, zdobywania przez nich nowych umiejętności oraz wiedzy, a także nabywania kwalifikacji.</w:t>
      </w:r>
    </w:p>
    <w:p w14:paraId="0DEE0A92" w14:textId="77777777" w:rsidR="0073324F" w:rsidRPr="0073324F" w:rsidRDefault="0073324F" w:rsidP="0073324F">
      <w:pPr>
        <w:spacing w:after="160" w:line="259" w:lineRule="auto"/>
        <w:ind w:left="708" w:firstLine="708"/>
      </w:pPr>
      <w:r w:rsidRPr="0073324F">
        <w:t>Koszty kwalifikowane w ramach modułu to:</w:t>
      </w:r>
    </w:p>
    <w:p w14:paraId="00182C07" w14:textId="77777777" w:rsidR="0073324F" w:rsidRPr="0073324F" w:rsidRDefault="0073324F" w:rsidP="0073324F">
      <w:pPr>
        <w:numPr>
          <w:ilvl w:val="0"/>
          <w:numId w:val="13"/>
        </w:numPr>
        <w:spacing w:after="160" w:line="259" w:lineRule="auto"/>
        <w:contextualSpacing/>
      </w:pPr>
      <w:r w:rsidRPr="0073324F">
        <w:t>koszty zorganizowanego szkolenia indywidualnego lub grupowego dla pracowników i kadry zarządzającej.</w:t>
      </w:r>
    </w:p>
    <w:p w14:paraId="3A5DC9BB" w14:textId="77777777" w:rsidR="0073324F" w:rsidRPr="0073324F" w:rsidRDefault="0073324F" w:rsidP="0073324F">
      <w:pPr>
        <w:spacing w:after="160" w:line="259" w:lineRule="auto"/>
        <w:ind w:left="1800"/>
        <w:contextualSpacing/>
      </w:pPr>
      <w:r w:rsidRPr="0073324F">
        <w:t>Stawki takiego szkolenia powinny być zgodne ze stawkami wynikającymi z porównywarki cen usług w BUR.</w:t>
      </w:r>
    </w:p>
    <w:p w14:paraId="3B10E5D3" w14:textId="77777777" w:rsidR="0073324F" w:rsidRPr="0073324F" w:rsidRDefault="0073324F" w:rsidP="0073324F">
      <w:pPr>
        <w:spacing w:after="160" w:line="259" w:lineRule="auto"/>
        <w:ind w:left="1080"/>
        <w:contextualSpacing/>
      </w:pPr>
    </w:p>
    <w:p w14:paraId="124D9D6E" w14:textId="77777777" w:rsidR="0073324F" w:rsidRPr="0073324F" w:rsidRDefault="0073324F" w:rsidP="0073324F">
      <w:pPr>
        <w:spacing w:after="160" w:line="259" w:lineRule="auto"/>
      </w:pPr>
      <w:r w:rsidRPr="0073324F">
        <w:lastRenderedPageBreak/>
        <w:t xml:space="preserve">Działania ujęte w ramach modułów </w:t>
      </w:r>
      <w:r w:rsidRPr="0073324F">
        <w:rPr>
          <w:b/>
        </w:rPr>
        <w:t>powinny być powiązane z planowaną do realizacji inwestycją</w:t>
      </w:r>
      <w:r w:rsidRPr="0073324F">
        <w:t xml:space="preserve">, a także </w:t>
      </w:r>
      <w:r w:rsidRPr="0073324F">
        <w:rPr>
          <w:b/>
        </w:rPr>
        <w:t>innowacyjne co najmniej na poziomie przedsiębiorstwa</w:t>
      </w:r>
      <w:r w:rsidRPr="0073324F">
        <w:t>.</w:t>
      </w:r>
    </w:p>
    <w:p w14:paraId="469D4D44" w14:textId="77777777" w:rsidR="0073324F" w:rsidRPr="0073324F" w:rsidRDefault="0073324F" w:rsidP="0073324F">
      <w:pPr>
        <w:spacing w:after="160" w:line="259" w:lineRule="auto"/>
        <w:rPr>
          <w:b/>
        </w:rPr>
      </w:pPr>
      <w:r w:rsidRPr="0073324F">
        <w:t xml:space="preserve">Wydatki w ramach każdego modułu powinny być ujęte w ramach odrębnego zadania, a także dokładnie opisane w Biznesplanie, tak, aby nie budziło wątpliwości, że są </w:t>
      </w:r>
      <w:r w:rsidRPr="0073324F">
        <w:rPr>
          <w:b/>
        </w:rPr>
        <w:t>celowe, racjonalne i właściwie wpisują się w koncepcję każdego z modułów.</w:t>
      </w:r>
    </w:p>
    <w:p w14:paraId="1BAA0E69" w14:textId="7D3E1352" w:rsidR="0073324F" w:rsidRPr="0073324F" w:rsidRDefault="0073324F" w:rsidP="0073324F">
      <w:pPr>
        <w:spacing w:after="160" w:line="259" w:lineRule="auto"/>
        <w:rPr>
          <w:b/>
        </w:rPr>
      </w:pPr>
      <w:r w:rsidRPr="0073324F">
        <w:t xml:space="preserve">Wartość wydatków kwalifikowanych w ramach wszystkich modułów nie powinna przekraczać </w:t>
      </w:r>
      <w:r w:rsidRPr="0073324F">
        <w:rPr>
          <w:b/>
        </w:rPr>
        <w:t>20%</w:t>
      </w:r>
      <w:r w:rsidRPr="0073324F">
        <w:t xml:space="preserve"> </w:t>
      </w:r>
      <w:r w:rsidRPr="0073324F">
        <w:rPr>
          <w:b/>
        </w:rPr>
        <w:t>wartości całkowitych kosztów kwalifikowanych projektu</w:t>
      </w:r>
      <w:r w:rsidR="004A6F02">
        <w:rPr>
          <w:b/>
        </w:rPr>
        <w:t xml:space="preserve"> </w:t>
      </w:r>
      <w:r w:rsidR="004A6F02" w:rsidRPr="00217AFE">
        <w:t xml:space="preserve">przy czym </w:t>
      </w:r>
      <w:r w:rsidR="004C7530" w:rsidRPr="00217AFE">
        <w:t>moduł kompetencji wspierany będzie w ramach cross-</w:t>
      </w:r>
      <w:proofErr w:type="spellStart"/>
      <w:r w:rsidR="004C7530" w:rsidRPr="00217AFE">
        <w:t>financing</w:t>
      </w:r>
      <w:proofErr w:type="spellEnd"/>
      <w:r w:rsidR="004C7530" w:rsidRPr="00217AFE">
        <w:t xml:space="preserve"> i nie może przekroczyć</w:t>
      </w:r>
      <w:r w:rsidR="004C7530">
        <w:rPr>
          <w:b/>
        </w:rPr>
        <w:t xml:space="preserve"> 15% wartości całkowitych kosztów kwalifikowalnych projektu. </w:t>
      </w:r>
      <w:r w:rsidRPr="0073324F">
        <w:rPr>
          <w:b/>
        </w:rPr>
        <w:t>.</w:t>
      </w:r>
    </w:p>
    <w:p w14:paraId="65F78A6A" w14:textId="77777777" w:rsidR="0073324F" w:rsidRPr="0073324F" w:rsidRDefault="0073324F" w:rsidP="0073324F">
      <w:pPr>
        <w:spacing w:after="160" w:line="259" w:lineRule="auto"/>
        <w:rPr>
          <w:b/>
        </w:rPr>
      </w:pPr>
      <w:r w:rsidRPr="0073324F">
        <w:rPr>
          <w:b/>
        </w:rPr>
        <w:t>Koszty ponoszone na realizację ww. modułów wspierane będą w formie dotacji, a wartość ich dofinansowania nie będzie brana pod uwagę przy wyliczeniu części bezzwrotnej i zwrotnej kwoty dofinansowania.</w:t>
      </w:r>
    </w:p>
    <w:p w14:paraId="6485EE28" w14:textId="09A3618B" w:rsidR="0073324F" w:rsidRPr="0073324F" w:rsidRDefault="0073324F" w:rsidP="0073324F">
      <w:pPr>
        <w:spacing w:after="160" w:line="259" w:lineRule="auto"/>
      </w:pPr>
      <w:r w:rsidRPr="0073324F">
        <w:t>Powyższe opisane zostało w dokumencie Metodyka udzielania dotacji warunkowej w ramach Priorytetu I programu Fundusze Europejskie dla Opolskiego 2021-2027, stanowiącego załącznik</w:t>
      </w:r>
      <w:r w:rsidR="004A6F02">
        <w:t xml:space="preserve"> nr 15 do </w:t>
      </w:r>
      <w:r w:rsidR="0072303A">
        <w:t>U</w:t>
      </w:r>
      <w:r w:rsidR="004A6F02">
        <w:t>mowy o dofinansowanie.</w:t>
      </w:r>
      <w:r w:rsidRPr="0073324F">
        <w:t xml:space="preserve"> </w:t>
      </w:r>
    </w:p>
    <w:p w14:paraId="010E52B8" w14:textId="77777777" w:rsidR="0073324F" w:rsidRPr="0073324F" w:rsidRDefault="0073324F" w:rsidP="0073324F">
      <w:pPr>
        <w:spacing w:after="160" w:line="259" w:lineRule="auto"/>
        <w:rPr>
          <w:b/>
        </w:rPr>
      </w:pPr>
    </w:p>
    <w:p w14:paraId="1D881CAF" w14:textId="77777777" w:rsidR="0073324F" w:rsidRPr="0073324F" w:rsidRDefault="0073324F" w:rsidP="0073324F">
      <w:pPr>
        <w:spacing w:after="160" w:line="259" w:lineRule="auto"/>
      </w:pPr>
    </w:p>
    <w:p w14:paraId="3F3E98F4" w14:textId="77777777" w:rsidR="009B687F" w:rsidRDefault="009B687F" w:rsidP="00EE0C90">
      <w:pPr>
        <w:pStyle w:val="Tekstpodstawowy"/>
        <w:jc w:val="left"/>
        <w:rPr>
          <w:rFonts w:ascii="Calibri" w:hAnsi="Calibri" w:cs="Calibri"/>
        </w:rPr>
      </w:pPr>
    </w:p>
    <w:sectPr w:rsidR="009B687F" w:rsidSect="00E710F4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0627BFA" w14:textId="77777777" w:rsidR="00CF75D9" w:rsidRDefault="00CF75D9" w:rsidP="00C93DCB">
      <w:pPr>
        <w:spacing w:after="0" w:line="240" w:lineRule="auto"/>
      </w:pPr>
      <w:r>
        <w:separator/>
      </w:r>
    </w:p>
  </w:endnote>
  <w:endnote w:type="continuationSeparator" w:id="0">
    <w:p w14:paraId="4583EC39" w14:textId="77777777" w:rsidR="00CF75D9" w:rsidRDefault="00CF75D9" w:rsidP="00C93D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56500545"/>
      <w:docPartObj>
        <w:docPartGallery w:val="Page Numbers (Bottom of Page)"/>
        <w:docPartUnique/>
      </w:docPartObj>
    </w:sdtPr>
    <w:sdtEndPr/>
    <w:sdtContent>
      <w:p w14:paraId="40762878" w14:textId="375F1277" w:rsidR="000C6FA9" w:rsidRDefault="000C6FA9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17AFE">
          <w:rPr>
            <w:noProof/>
          </w:rPr>
          <w:t>2</w:t>
        </w:r>
        <w:r>
          <w:fldChar w:fldCharType="end"/>
        </w:r>
      </w:p>
    </w:sdtContent>
  </w:sdt>
  <w:p w14:paraId="34FFFEA9" w14:textId="77777777" w:rsidR="000C6FA9" w:rsidRDefault="000C6FA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C43C979" w14:textId="77777777" w:rsidR="00CF75D9" w:rsidRDefault="00CF75D9" w:rsidP="00C93DCB">
      <w:pPr>
        <w:spacing w:after="0" w:line="240" w:lineRule="auto"/>
      </w:pPr>
      <w:r>
        <w:separator/>
      </w:r>
    </w:p>
  </w:footnote>
  <w:footnote w:type="continuationSeparator" w:id="0">
    <w:p w14:paraId="70527A8A" w14:textId="77777777" w:rsidR="00CF75D9" w:rsidRDefault="00CF75D9" w:rsidP="00C93DC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506C73"/>
    <w:multiLevelType w:val="hybridMultilevel"/>
    <w:tmpl w:val="CAB07034"/>
    <w:lvl w:ilvl="0" w:tplc="5EBE0C6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7B81670"/>
    <w:multiLevelType w:val="hybridMultilevel"/>
    <w:tmpl w:val="04BC1EAE"/>
    <w:lvl w:ilvl="0" w:tplc="041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2" w15:restartNumberingAfterBreak="0">
    <w:nsid w:val="4A4452F1"/>
    <w:multiLevelType w:val="hybridMultilevel"/>
    <w:tmpl w:val="42D42526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4F0B103C"/>
    <w:multiLevelType w:val="hybridMultilevel"/>
    <w:tmpl w:val="10A622F8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 w15:restartNumberingAfterBreak="0">
    <w:nsid w:val="56967E45"/>
    <w:multiLevelType w:val="hybridMultilevel"/>
    <w:tmpl w:val="263C56B0"/>
    <w:lvl w:ilvl="0" w:tplc="0A7C732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81B52D9"/>
    <w:multiLevelType w:val="hybridMultilevel"/>
    <w:tmpl w:val="34841250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5FC24DD2"/>
    <w:multiLevelType w:val="hybridMultilevel"/>
    <w:tmpl w:val="85C8D97C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608F299B"/>
    <w:multiLevelType w:val="hybridMultilevel"/>
    <w:tmpl w:val="F08A6C10"/>
    <w:lvl w:ilvl="0" w:tplc="3DECE750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D0473CB"/>
    <w:multiLevelType w:val="hybridMultilevel"/>
    <w:tmpl w:val="F7EEEE66"/>
    <w:lvl w:ilvl="0" w:tplc="B2447EFE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9" w15:restartNumberingAfterBreak="0">
    <w:nsid w:val="6D120CC6"/>
    <w:multiLevelType w:val="hybridMultilevel"/>
    <w:tmpl w:val="9B2447CC"/>
    <w:lvl w:ilvl="0" w:tplc="CECCEE6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2D1555"/>
    <w:multiLevelType w:val="hybridMultilevel"/>
    <w:tmpl w:val="9E6AC4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FC06C25"/>
    <w:multiLevelType w:val="hybridMultilevel"/>
    <w:tmpl w:val="1F9AA57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7EEB4633"/>
    <w:multiLevelType w:val="hybridMultilevel"/>
    <w:tmpl w:val="86FE1F88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9"/>
  </w:num>
  <w:num w:numId="3">
    <w:abstractNumId w:val="11"/>
  </w:num>
  <w:num w:numId="4">
    <w:abstractNumId w:val="10"/>
  </w:num>
  <w:num w:numId="5">
    <w:abstractNumId w:val="8"/>
  </w:num>
  <w:num w:numId="6">
    <w:abstractNumId w:val="0"/>
  </w:num>
  <w:num w:numId="7">
    <w:abstractNumId w:val="4"/>
  </w:num>
  <w:num w:numId="8">
    <w:abstractNumId w:val="3"/>
  </w:num>
  <w:num w:numId="9">
    <w:abstractNumId w:val="6"/>
  </w:num>
  <w:num w:numId="10">
    <w:abstractNumId w:val="12"/>
  </w:num>
  <w:num w:numId="11">
    <w:abstractNumId w:val="2"/>
  </w:num>
  <w:num w:numId="12">
    <w:abstractNumId w:val="1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3DCB"/>
    <w:rsid w:val="00070DC2"/>
    <w:rsid w:val="000C6FA9"/>
    <w:rsid w:val="000F5F80"/>
    <w:rsid w:val="001076E4"/>
    <w:rsid w:val="001800D0"/>
    <w:rsid w:val="00195302"/>
    <w:rsid w:val="001B1018"/>
    <w:rsid w:val="00217AFE"/>
    <w:rsid w:val="002F6E65"/>
    <w:rsid w:val="00305978"/>
    <w:rsid w:val="0032542B"/>
    <w:rsid w:val="0036674D"/>
    <w:rsid w:val="003B6255"/>
    <w:rsid w:val="003D7891"/>
    <w:rsid w:val="0040785A"/>
    <w:rsid w:val="0043711E"/>
    <w:rsid w:val="00446ED0"/>
    <w:rsid w:val="00450D0F"/>
    <w:rsid w:val="004A6F02"/>
    <w:rsid w:val="004C7530"/>
    <w:rsid w:val="004D60CC"/>
    <w:rsid w:val="00503E28"/>
    <w:rsid w:val="00564943"/>
    <w:rsid w:val="00584E15"/>
    <w:rsid w:val="005C3CA4"/>
    <w:rsid w:val="005F2EE9"/>
    <w:rsid w:val="00606EEC"/>
    <w:rsid w:val="00614919"/>
    <w:rsid w:val="0065546E"/>
    <w:rsid w:val="00672D51"/>
    <w:rsid w:val="00673D70"/>
    <w:rsid w:val="0072303A"/>
    <w:rsid w:val="0073324F"/>
    <w:rsid w:val="007B461B"/>
    <w:rsid w:val="007E399C"/>
    <w:rsid w:val="008E4CA8"/>
    <w:rsid w:val="00984BE0"/>
    <w:rsid w:val="009B687F"/>
    <w:rsid w:val="009D382B"/>
    <w:rsid w:val="00A261AC"/>
    <w:rsid w:val="00AC6165"/>
    <w:rsid w:val="00AD38A6"/>
    <w:rsid w:val="00B40354"/>
    <w:rsid w:val="00B44B34"/>
    <w:rsid w:val="00BE0E16"/>
    <w:rsid w:val="00C46467"/>
    <w:rsid w:val="00C56FE8"/>
    <w:rsid w:val="00C71168"/>
    <w:rsid w:val="00C93DCB"/>
    <w:rsid w:val="00CB791D"/>
    <w:rsid w:val="00CF75D9"/>
    <w:rsid w:val="00D53493"/>
    <w:rsid w:val="00E13F21"/>
    <w:rsid w:val="00E53E7A"/>
    <w:rsid w:val="00E62D3E"/>
    <w:rsid w:val="00E710F4"/>
    <w:rsid w:val="00E82EB4"/>
    <w:rsid w:val="00EA4C4F"/>
    <w:rsid w:val="00EB2EDC"/>
    <w:rsid w:val="00EC1A34"/>
    <w:rsid w:val="00EE0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1743F6"/>
  <w15:docId w15:val="{9C02C72A-3232-4B37-A64C-2BF1E19D4A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93DCB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rsid w:val="00C93DC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semiHidden/>
    <w:rsid w:val="00C93DC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rsid w:val="00C93DCB"/>
    <w:rPr>
      <w:vertAlign w:val="superscript"/>
    </w:rPr>
  </w:style>
  <w:style w:type="paragraph" w:styleId="Tekstpodstawowy">
    <w:name w:val="Body Text"/>
    <w:basedOn w:val="Normalny"/>
    <w:link w:val="TekstpodstawowyZnak"/>
    <w:semiHidden/>
    <w:rsid w:val="00C93DCB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C93DC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93D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93DCB"/>
    <w:rPr>
      <w:rFonts w:ascii="Tahoma" w:eastAsia="Calibri" w:hAnsi="Tahoma" w:cs="Tahoma"/>
      <w:sz w:val="16"/>
      <w:szCs w:val="16"/>
    </w:rPr>
  </w:style>
  <w:style w:type="paragraph" w:customStyle="1" w:styleId="Default">
    <w:name w:val="Default"/>
    <w:rsid w:val="00984BE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D53493"/>
    <w:pPr>
      <w:spacing w:after="0" w:line="240" w:lineRule="auto"/>
    </w:pPr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0C6F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C6FA9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0C6F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C6FA9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69761A-8DF2-4AF4-B1FA-49FEA2AFCC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792</Words>
  <Characters>4757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Opolskiego</Company>
  <LinksUpToDate>false</LinksUpToDate>
  <CharactersWithSpaces>5538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agata.szumanska</dc:creator>
  <cp:keywords/>
  <dc:description/>
  <cp:lastModifiedBy>Ilona Niemiec</cp:lastModifiedBy>
  <cp:revision>8</cp:revision>
  <cp:lastPrinted>2021-07-19T07:58:00Z</cp:lastPrinted>
  <dcterms:created xsi:type="dcterms:W3CDTF">2024-09-13T11:14:00Z</dcterms:created>
  <dcterms:modified xsi:type="dcterms:W3CDTF">2024-09-18T11:44:00Z</dcterms:modified>
</cp:coreProperties>
</file>