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CB34F" w14:textId="09250E3D" w:rsidR="00136D60" w:rsidRPr="00483DA1" w:rsidRDefault="00382B93" w:rsidP="00136D60">
      <w:pPr>
        <w:jc w:val="center"/>
        <w:rPr>
          <w:rFonts w:ascii="Arial" w:eastAsiaTheme="minorEastAsia" w:hAnsi="Arial" w:cs="Arial"/>
          <w:i/>
          <w:color w:val="000099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D9FFA39" wp14:editId="2D4F4229">
            <wp:extent cx="8620125" cy="914400"/>
            <wp:effectExtent l="0" t="0" r="9525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BFA1" w14:textId="77777777" w:rsidR="00136D60" w:rsidRPr="00483DA1" w:rsidRDefault="00136D60" w:rsidP="00136D60">
      <w:pPr>
        <w:jc w:val="center"/>
        <w:rPr>
          <w:rFonts w:ascii="Arial" w:eastAsiaTheme="minorEastAsia" w:hAnsi="Arial" w:cs="Arial"/>
          <w:i/>
          <w:color w:val="000099"/>
          <w:sz w:val="18"/>
          <w:szCs w:val="18"/>
          <w:lang w:eastAsia="pl-PL"/>
        </w:rPr>
      </w:pPr>
    </w:p>
    <w:p w14:paraId="11BF6CEA" w14:textId="77777777" w:rsidR="00136D60" w:rsidRPr="00483DA1" w:rsidRDefault="00136D60" w:rsidP="00136D60">
      <w:pPr>
        <w:jc w:val="center"/>
        <w:rPr>
          <w:rFonts w:ascii="Arial" w:eastAsiaTheme="minorEastAsia" w:hAnsi="Arial" w:cs="Arial"/>
          <w:i/>
          <w:color w:val="000099"/>
          <w:sz w:val="18"/>
          <w:szCs w:val="18"/>
          <w:lang w:eastAsia="pl-PL"/>
        </w:rPr>
      </w:pPr>
    </w:p>
    <w:p w14:paraId="5B59677A" w14:textId="77777777" w:rsidR="00103B1B" w:rsidRDefault="00103B1B" w:rsidP="00FD69C6">
      <w:pPr>
        <w:jc w:val="center"/>
        <w:rPr>
          <w:rFonts w:ascii="Arial" w:eastAsiaTheme="minorEastAsia" w:hAnsi="Arial" w:cs="Arial"/>
          <w:i/>
          <w:color w:val="000099"/>
          <w:sz w:val="36"/>
          <w:szCs w:val="36"/>
          <w:lang w:eastAsia="pl-PL"/>
        </w:rPr>
      </w:pPr>
    </w:p>
    <w:p w14:paraId="411931BB" w14:textId="7B66E52F" w:rsidR="000F4CA9" w:rsidRPr="0089464C" w:rsidRDefault="000F4CA9" w:rsidP="000F4CA9">
      <w:pPr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</w:pPr>
      <w:r w:rsidRPr="0089464C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 xml:space="preserve">Załącznik nr </w:t>
      </w:r>
      <w:r w:rsidR="001D0778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9</w:t>
      </w:r>
    </w:p>
    <w:p w14:paraId="7E95AABF" w14:textId="77777777" w:rsidR="000F4CA9" w:rsidRPr="004A2391" w:rsidRDefault="000F4CA9" w:rsidP="000F4CA9">
      <w:pPr>
        <w:rPr>
          <w:b/>
        </w:rPr>
      </w:pPr>
    </w:p>
    <w:p w14:paraId="1353CA94" w14:textId="2F206D15" w:rsidR="00D24816" w:rsidRDefault="000F4CA9" w:rsidP="000F4CA9">
      <w:pPr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</w:pPr>
      <w:r w:rsidRPr="008D624B">
        <w:rPr>
          <w:rFonts w:ascii="Calibri" w:eastAsia="Times New Roman" w:hAnsi="Calibri" w:cs="Times New Roman"/>
          <w:b/>
          <w:color w:val="000099"/>
          <w:sz w:val="48"/>
          <w:szCs w:val="28"/>
        </w:rPr>
        <w:t xml:space="preserve">Lista wskaźników na poziomie projektu dla działania </w:t>
      </w:r>
      <w:r w:rsidRPr="008D624B">
        <w:rPr>
          <w:rFonts w:ascii="Calibri" w:eastAsia="Times New Roman" w:hAnsi="Calibri" w:cs="Times New Roman"/>
          <w:b/>
          <w:color w:val="000099"/>
          <w:sz w:val="48"/>
          <w:szCs w:val="28"/>
        </w:rPr>
        <w:br/>
      </w:r>
      <w:r w:rsidR="00D24816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10</w:t>
      </w:r>
      <w:r w:rsidRPr="008D624B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.</w:t>
      </w:r>
      <w:r w:rsidR="00BF6D91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5</w:t>
      </w:r>
      <w:r w:rsidRPr="008D624B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 xml:space="preserve"> </w:t>
      </w:r>
      <w:r w:rsidR="00962B0A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 xml:space="preserve">Rewitalizacja </w:t>
      </w:r>
      <w:r w:rsidR="00BF6D91"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na obszarach innych niż miejskie</w:t>
      </w:r>
    </w:p>
    <w:p w14:paraId="5FEC0380" w14:textId="0CC38488" w:rsidR="000F4CA9" w:rsidRPr="008D624B" w:rsidRDefault="000F4CA9" w:rsidP="000F4CA9">
      <w:pPr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</w:pPr>
      <w:r>
        <w:rPr>
          <w:rFonts w:ascii="Calibri" w:eastAsia="Times New Roman" w:hAnsi="Calibri" w:cs="Times New Roman"/>
          <w:b/>
          <w:i/>
          <w:color w:val="000099"/>
          <w:sz w:val="48"/>
          <w:szCs w:val="28"/>
        </w:rPr>
        <w:t>FEO 2021-2027</w:t>
      </w:r>
    </w:p>
    <w:p w14:paraId="334E28F9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886B212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  <w:r w:rsidRPr="00483DA1">
        <w:rPr>
          <w:rFonts w:ascii="Arial" w:eastAsiaTheme="minorEastAsia" w:hAnsi="Arial" w:cs="Arial"/>
          <w:sz w:val="18"/>
          <w:szCs w:val="18"/>
          <w:lang w:eastAsia="pl-PL"/>
        </w:rPr>
        <w:br w:type="page"/>
      </w:r>
    </w:p>
    <w:p w14:paraId="426A3FAB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11968E1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46D9267A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3A5ECA4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F74181B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3CDBD6C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6E88425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12243DA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3A91D5D1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7C481AE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8AFA005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49A8EF3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86ABD6B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1F1941B" w14:textId="77777777" w:rsidR="00136D60" w:rsidRPr="00483DA1" w:rsidRDefault="00136D60" w:rsidP="00136D60">
      <w:pPr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7B715242" w14:textId="77777777" w:rsidR="00483DA1" w:rsidRDefault="00483DA1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</w:pPr>
    </w:p>
    <w:p w14:paraId="456DAC3B" w14:textId="77777777" w:rsidR="00483DA1" w:rsidRDefault="00483DA1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</w:pPr>
    </w:p>
    <w:p w14:paraId="1B752FD3" w14:textId="77777777" w:rsidR="00483DA1" w:rsidRDefault="00483DA1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</w:pPr>
    </w:p>
    <w:p w14:paraId="79B863B4" w14:textId="77777777" w:rsidR="00483DA1" w:rsidRDefault="00483DA1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</w:pPr>
    </w:p>
    <w:p w14:paraId="31D5D71E" w14:textId="77777777" w:rsidR="00483DA1" w:rsidRDefault="00483DA1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</w:pPr>
    </w:p>
    <w:p w14:paraId="7BCB884D" w14:textId="77777777" w:rsidR="00136D60" w:rsidRPr="00483DA1" w:rsidRDefault="00136D60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</w:pPr>
      <w:r w:rsidRPr="00483DA1">
        <w:rPr>
          <w:rFonts w:ascii="Arial" w:eastAsiaTheme="minorEastAsia" w:hAnsi="Arial" w:cs="Arial"/>
          <w:color w:val="000099"/>
          <w:sz w:val="18"/>
          <w:szCs w:val="18"/>
          <w:u w:val="single"/>
          <w:lang w:eastAsia="pl-PL"/>
        </w:rPr>
        <w:t>Opracowanie:</w:t>
      </w:r>
    </w:p>
    <w:p w14:paraId="4A38F087" w14:textId="7B7102D0" w:rsidR="00136D60" w:rsidRPr="00483DA1" w:rsidRDefault="00136D60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lang w:eastAsia="pl-PL"/>
        </w:rPr>
      </w:pPr>
      <w:r w:rsidRPr="00483DA1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 xml:space="preserve">Departament </w:t>
      </w:r>
      <w:r w:rsidR="00D24816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 xml:space="preserve">Programowania Funduszy Europejskich </w:t>
      </w:r>
    </w:p>
    <w:p w14:paraId="05703CF2" w14:textId="77777777" w:rsidR="00136D60" w:rsidRPr="00483DA1" w:rsidRDefault="00136D60" w:rsidP="00136D60">
      <w:pPr>
        <w:spacing w:after="0"/>
        <w:rPr>
          <w:rFonts w:ascii="Arial" w:eastAsiaTheme="minorEastAsia" w:hAnsi="Arial" w:cs="Arial"/>
          <w:color w:val="000099"/>
          <w:sz w:val="18"/>
          <w:szCs w:val="18"/>
          <w:lang w:eastAsia="pl-PL"/>
        </w:rPr>
      </w:pPr>
      <w:r w:rsidRPr="00483DA1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>Urząd Marszałkowski Województwa Opolskiego</w:t>
      </w:r>
    </w:p>
    <w:p w14:paraId="3DDEB17B" w14:textId="5E53AEDE" w:rsidR="00136D60" w:rsidRPr="00483DA1" w:rsidRDefault="00CF0720" w:rsidP="00E01179">
      <w:pPr>
        <w:spacing w:after="0"/>
        <w:rPr>
          <w:rFonts w:ascii="Arial" w:eastAsiaTheme="minorEastAsia" w:hAnsi="Arial" w:cs="Arial"/>
          <w:sz w:val="18"/>
          <w:szCs w:val="18"/>
          <w:lang w:eastAsia="pl-PL"/>
        </w:rPr>
      </w:pPr>
      <w:r w:rsidRPr="00483DA1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 xml:space="preserve">Opole, </w:t>
      </w:r>
      <w:r w:rsidR="00F2428C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>czerwiec 2</w:t>
      </w:r>
      <w:r w:rsidR="00FE2349" w:rsidRPr="00483DA1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>02</w:t>
      </w:r>
      <w:r w:rsidR="00F2428C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>4</w:t>
      </w:r>
      <w:r w:rsidR="00FE2349" w:rsidRPr="00483DA1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 xml:space="preserve"> </w:t>
      </w:r>
      <w:r w:rsidR="00136D60" w:rsidRPr="00483DA1">
        <w:rPr>
          <w:rFonts w:ascii="Arial" w:eastAsiaTheme="minorEastAsia" w:hAnsi="Arial" w:cs="Arial"/>
          <w:color w:val="000099"/>
          <w:sz w:val="18"/>
          <w:szCs w:val="18"/>
          <w:lang w:eastAsia="pl-PL"/>
        </w:rPr>
        <w:t xml:space="preserve"> r.</w:t>
      </w:r>
    </w:p>
    <w:p w14:paraId="234BA3E9" w14:textId="77777777" w:rsidR="00E01179" w:rsidRPr="00483DA1" w:rsidRDefault="00E01179" w:rsidP="00E01179">
      <w:pPr>
        <w:spacing w:after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31E4A7F6" w14:textId="77777777" w:rsidR="008E7FF7" w:rsidRDefault="008E7FF7" w:rsidP="00E01179">
      <w:pPr>
        <w:spacing w:after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D6C3E2" w14:textId="3896D234" w:rsidR="000D305D" w:rsidRPr="000D305D" w:rsidRDefault="000D305D" w:rsidP="000D305D">
      <w:pPr>
        <w:spacing w:after="60"/>
        <w:rPr>
          <w:i/>
          <w:sz w:val="24"/>
        </w:rPr>
      </w:pPr>
      <w:r w:rsidRPr="008D624B">
        <w:rPr>
          <w:b/>
          <w:sz w:val="24"/>
        </w:rPr>
        <w:t xml:space="preserve">Tabela 1 </w:t>
      </w:r>
      <w:r w:rsidRPr="008D624B">
        <w:rPr>
          <w:i/>
          <w:sz w:val="24"/>
        </w:rPr>
        <w:t xml:space="preserve">Zestawienie wskaźników EFRR na poziomie projektu </w:t>
      </w:r>
      <w:r>
        <w:rPr>
          <w:i/>
          <w:sz w:val="24"/>
        </w:rPr>
        <w:t>w ramach FEO 2021-2027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418"/>
        <w:gridCol w:w="1275"/>
        <w:gridCol w:w="1276"/>
        <w:gridCol w:w="1276"/>
        <w:gridCol w:w="5812"/>
      </w:tblGrid>
      <w:tr w:rsidR="000F4CA9" w:rsidRPr="000543F7" w14:paraId="3C500EB4" w14:textId="77777777" w:rsidTr="000543F7">
        <w:trPr>
          <w:trHeight w:hRule="exact" w:val="839"/>
          <w:tblHeader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3FD81AC5" w14:textId="77777777" w:rsidR="000F4CA9" w:rsidRPr="000543F7" w:rsidRDefault="000F4CA9" w:rsidP="00AE46D2">
            <w:pPr>
              <w:spacing w:before="80" w:after="80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087DAB2" w14:textId="77777777" w:rsidR="000F4CA9" w:rsidRPr="000543F7" w:rsidRDefault="000F4CA9" w:rsidP="00AE46D2">
            <w:pPr>
              <w:spacing w:before="80" w:after="80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418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56DDC46A" w14:textId="77777777" w:rsidR="000F4CA9" w:rsidRPr="000543F7" w:rsidRDefault="000F4CA9" w:rsidP="000543F7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14C509FA" w14:textId="77777777" w:rsidR="000F4CA9" w:rsidRPr="000543F7" w:rsidRDefault="000F4CA9" w:rsidP="000543F7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61C6BC6" w14:textId="77777777" w:rsidR="000F4CA9" w:rsidRPr="000543F7" w:rsidRDefault="000F4CA9" w:rsidP="000543F7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B5F6E5B" w14:textId="77777777" w:rsidR="000F4CA9" w:rsidRPr="000543F7" w:rsidRDefault="000F4CA9" w:rsidP="000543F7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812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14:paraId="47199AAF" w14:textId="77777777" w:rsidR="000F4CA9" w:rsidRPr="000543F7" w:rsidRDefault="000F4CA9" w:rsidP="000543F7">
            <w:pPr>
              <w:spacing w:before="80" w:after="80"/>
              <w:jc w:val="center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0F4CA9" w:rsidRPr="000543F7" w14:paraId="4AD9598B" w14:textId="77777777" w:rsidTr="00AE46D2">
        <w:trPr>
          <w:trHeight w:val="364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14:paraId="6650F524" w14:textId="77777777" w:rsidR="000F4CA9" w:rsidRPr="000543F7" w:rsidRDefault="000F4CA9" w:rsidP="00AE46D2">
            <w:pPr>
              <w:spacing w:before="80" w:after="80"/>
              <w:rPr>
                <w:rFonts w:cstheme="minorHAnsi"/>
                <w:b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b/>
                <w:color w:val="000099"/>
                <w:sz w:val="24"/>
                <w:szCs w:val="24"/>
              </w:rPr>
              <w:t>Wskaźniki horyzontalne</w:t>
            </w:r>
          </w:p>
        </w:tc>
      </w:tr>
      <w:tr w:rsidR="000F4CA9" w:rsidRPr="000543F7" w14:paraId="19A6C670" w14:textId="77777777" w:rsidTr="000543F7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008BEABB" w14:textId="5D27575F" w:rsidR="000F4CA9" w:rsidRPr="000543F7" w:rsidRDefault="00612645" w:rsidP="000F4CA9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543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2B8BE56" w14:textId="791BBE89" w:rsidR="000F4CA9" w:rsidRPr="000543F7" w:rsidRDefault="000F4CA9" w:rsidP="00B722C4">
            <w:pPr>
              <w:spacing w:before="80" w:after="80"/>
              <w:rPr>
                <w:rFonts w:cstheme="minorHAnsi"/>
                <w:i/>
                <w:sz w:val="20"/>
                <w:szCs w:val="20"/>
              </w:rPr>
            </w:pPr>
            <w:r w:rsidRPr="000543F7">
              <w:rPr>
                <w:rFonts w:cstheme="minorHAnsi"/>
                <w:i/>
                <w:color w:val="000000"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46A97C6" w14:textId="386997CA" w:rsidR="000F4CA9" w:rsidRPr="000543F7" w:rsidRDefault="000F4CA9" w:rsidP="00B722C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84D648E" w14:textId="45F0EA56" w:rsidR="000F4CA9" w:rsidRPr="000543F7" w:rsidRDefault="000F4CA9" w:rsidP="00B722C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6C1760AB" w14:textId="465AC9CC" w:rsidR="000F4CA9" w:rsidRPr="000543F7" w:rsidRDefault="000F4CA9" w:rsidP="00B722C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7E46C17" w14:textId="23FC67CF" w:rsidR="000F4CA9" w:rsidRPr="000543F7" w:rsidRDefault="000F4CA9" w:rsidP="00B722C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0543F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113A4D0" w14:textId="25273BBB" w:rsidR="000F4CA9" w:rsidRPr="000543F7" w:rsidRDefault="000F4CA9" w:rsidP="00B722C4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theme="minorHAnsi"/>
                <w:sz w:val="20"/>
                <w:szCs w:val="20"/>
              </w:rPr>
            </w:pPr>
            <w:r w:rsidRPr="000543F7">
              <w:rPr>
                <w:rFonts w:cstheme="minorHAnsi"/>
                <w:color w:val="000000"/>
                <w:sz w:val="20"/>
                <w:szCs w:val="20"/>
              </w:rPr>
              <w:t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   Jako obiekty należy rozumieć konstrukcje połączone z gruntem w sposób trwały, wykonane z materiałów budowlanych i elementów składowych, będące wynikiem prac budowlanych (wg. def. PKOB).   Należy podać liczbę obiektów, a nie sprzętów, urządzeń itp., w które obiekty zaopatrzono. Jeśli instytucja, zakład itp. składa się z kilku obiektów, należy zliczyć wszystkie, które dostosowano do potrzeb osób z niepełnosprawnościami. Wskaźnik mierzony w momencie rozliczenia wydatku związanego z wyposażeniem obiektów w rozwiązania służące osobom z niepełnosprawnościami w ramach danego projektu.</w:t>
            </w:r>
          </w:p>
        </w:tc>
      </w:tr>
      <w:tr w:rsidR="00C176EA" w:rsidRPr="000543F7" w14:paraId="1F42950C" w14:textId="77777777" w:rsidTr="000543F7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07A27703" w14:textId="21881332" w:rsidR="00C176EA" w:rsidRDefault="00C176EA" w:rsidP="00C176EA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EBC702C" w14:textId="5DC2E9C6" w:rsidR="00C176EA" w:rsidRPr="000543F7" w:rsidRDefault="00C176EA" w:rsidP="00B722C4">
            <w:pPr>
              <w:spacing w:before="80" w:after="8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625664">
              <w:rPr>
                <w:rFonts w:cstheme="minorHAnsi"/>
                <w:i/>
                <w:color w:val="000000"/>
                <w:sz w:val="20"/>
                <w:szCs w:val="20"/>
              </w:rPr>
              <w:t xml:space="preserve">Liczba projektów, w których sfinansowano koszty racjonalnych usprawnień dla osób z niepełnosprawnościami </w:t>
            </w:r>
          </w:p>
        </w:tc>
        <w:tc>
          <w:tcPr>
            <w:tcW w:w="1418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E285022" w14:textId="198F3556" w:rsidR="00C176EA" w:rsidRPr="000543F7" w:rsidRDefault="00C176EA" w:rsidP="00B722C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62566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0B96DD7B" w14:textId="25FDE701" w:rsidR="00C176EA" w:rsidRPr="000543F7" w:rsidRDefault="00C176EA" w:rsidP="00B722C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625664">
              <w:rPr>
                <w:rFonts w:cstheme="minorHAnsi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35BB62D8" w14:textId="1893E523" w:rsidR="00C176EA" w:rsidRPr="000543F7" w:rsidRDefault="00C176EA" w:rsidP="00B722C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625664">
              <w:rPr>
                <w:rFonts w:cstheme="minorHAnsi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0CBC3EB" w14:textId="7CCA2609" w:rsidR="00C176EA" w:rsidRPr="000543F7" w:rsidRDefault="00C176EA" w:rsidP="00B722C4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62566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4280B33" w14:textId="72221B8E" w:rsidR="00C176EA" w:rsidRPr="000543F7" w:rsidRDefault="00C176EA" w:rsidP="00B722C4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cstheme="minorHAnsi"/>
                <w:color w:val="000000"/>
                <w:sz w:val="20"/>
                <w:szCs w:val="20"/>
              </w:rPr>
            </w:pPr>
            <w:r w:rsidRPr="00625664">
              <w:rPr>
                <w:rFonts w:cstheme="minorHAnsi"/>
                <w:color w:val="000000"/>
                <w:sz w:val="20"/>
                <w:szCs w:val="20"/>
              </w:rPr>
              <w:t xml:space="preserve">Racjonalne usprawnienie oznacza konieczne i odpowiednie zmiany oraz dostosowania, nie nakładające nieproporcjonalnego lub nadmiernego obciążenia, rozpatrywane osobno dla każdego  konkretnego przypadku, w celu zapewnienia osobom z niepełnosprawnościami możliwości korzystania  z wszelkich praw człowieka i podstawowych wolności oraz ich wykonywania na zasadzie równości z innymi osobami. Wskaźnik mierzony w momencie rozliczenia wydatku związanego z racjonalnymi usprawnieniami w  ramach danego projektu. Przykłady racjonalnych </w:t>
            </w:r>
            <w:r w:rsidRPr="00625664">
              <w:rPr>
                <w:rFonts w:cstheme="minorHAnsi"/>
                <w:color w:val="000000"/>
                <w:sz w:val="20"/>
                <w:szCs w:val="20"/>
              </w:rPr>
              <w:lastRenderedPageBreak/>
              <w:t>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Do wskaźnika powinny zostać wliczone zarówno projekty ogólnodostępne, w których sfinansowano koszty racjonalnych usprawnień, jak i dedykowane (zgodnie z kategoryzacją projektów z  Wytycznych w zakresie realizacji zasad równościowych  w ramach funduszy unijnych na lata 2021-2027). 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 Definicja na podstawie:  Wytyczne w zakresie realizacji zasad równościowych  w ramach funduszy unijnych na lata 2021-2027.</w:t>
            </w:r>
          </w:p>
        </w:tc>
      </w:tr>
      <w:tr w:rsidR="00C176EA" w:rsidRPr="000543F7" w14:paraId="070EBE11" w14:textId="77777777" w:rsidTr="00AE46D2">
        <w:trPr>
          <w:trHeight w:hRule="exact" w:val="567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14:paraId="05B8367B" w14:textId="43B09381" w:rsidR="00C176EA" w:rsidRPr="000543F7" w:rsidRDefault="00C176EA" w:rsidP="00C176EA">
            <w:pPr>
              <w:spacing w:before="80" w:after="80"/>
              <w:jc w:val="center"/>
              <w:rPr>
                <w:rFonts w:cstheme="minorHAnsi"/>
                <w:i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i/>
                <w:color w:val="000099"/>
                <w:sz w:val="24"/>
                <w:szCs w:val="24"/>
              </w:rPr>
              <w:lastRenderedPageBreak/>
              <w:t xml:space="preserve">Oś priorytetowa </w:t>
            </w:r>
            <w:r w:rsidR="00D24816">
              <w:rPr>
                <w:rFonts w:cstheme="minorHAnsi"/>
                <w:i/>
                <w:color w:val="000099"/>
                <w:sz w:val="24"/>
                <w:szCs w:val="24"/>
              </w:rPr>
              <w:t>X</w:t>
            </w:r>
            <w:r w:rsidRPr="000543F7">
              <w:rPr>
                <w:rFonts w:cstheme="minorHAnsi"/>
                <w:i/>
                <w:color w:val="000099"/>
                <w:sz w:val="24"/>
                <w:szCs w:val="24"/>
              </w:rPr>
              <w:t xml:space="preserve"> </w:t>
            </w:r>
            <w:r w:rsidRPr="000543F7">
              <w:rPr>
                <w:rFonts w:cstheme="minorHAnsi"/>
                <w:b/>
                <w:i/>
                <w:color w:val="000099"/>
                <w:sz w:val="24"/>
                <w:szCs w:val="24"/>
              </w:rPr>
              <w:t xml:space="preserve">Fundusze Europejskie na </w:t>
            </w:r>
            <w:r w:rsidR="00D24816">
              <w:rPr>
                <w:rFonts w:cstheme="minorHAnsi"/>
                <w:b/>
                <w:i/>
                <w:color w:val="000099"/>
                <w:sz w:val="24"/>
                <w:szCs w:val="24"/>
              </w:rPr>
              <w:t xml:space="preserve">wzmocnienie potencjałów endogenicznych opolskiego </w:t>
            </w:r>
          </w:p>
        </w:tc>
      </w:tr>
      <w:tr w:rsidR="00C176EA" w:rsidRPr="000543F7" w14:paraId="602B1D20" w14:textId="77777777" w:rsidTr="006B2F33">
        <w:trPr>
          <w:trHeight w:hRule="exact" w:val="521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14:paraId="5B9E3A30" w14:textId="41307CCA" w:rsidR="009C38D9" w:rsidRPr="000543F7" w:rsidRDefault="00C176EA" w:rsidP="006B2F33">
            <w:pPr>
              <w:spacing w:before="80" w:after="80"/>
              <w:jc w:val="center"/>
              <w:rPr>
                <w:rFonts w:cstheme="minorHAnsi"/>
                <w:i/>
                <w:color w:val="000099"/>
                <w:sz w:val="24"/>
                <w:szCs w:val="24"/>
              </w:rPr>
            </w:pPr>
            <w:r w:rsidRPr="000543F7">
              <w:rPr>
                <w:rFonts w:cstheme="minorHAnsi"/>
                <w:i/>
                <w:color w:val="000099"/>
                <w:sz w:val="24"/>
                <w:szCs w:val="24"/>
              </w:rPr>
              <w:t xml:space="preserve">Działanie </w:t>
            </w:r>
            <w:r w:rsidR="00D24816">
              <w:rPr>
                <w:rFonts w:cstheme="minorHAnsi"/>
                <w:i/>
                <w:color w:val="000099"/>
                <w:sz w:val="24"/>
                <w:szCs w:val="24"/>
              </w:rPr>
              <w:t>10</w:t>
            </w:r>
            <w:r w:rsidRPr="000543F7">
              <w:rPr>
                <w:rFonts w:cstheme="minorHAnsi"/>
                <w:i/>
                <w:color w:val="000099"/>
                <w:sz w:val="24"/>
                <w:szCs w:val="24"/>
              </w:rPr>
              <w:t>.</w:t>
            </w:r>
            <w:r w:rsidR="00BF6D91">
              <w:rPr>
                <w:rFonts w:cstheme="minorHAnsi"/>
                <w:i/>
                <w:color w:val="000099"/>
                <w:sz w:val="24"/>
                <w:szCs w:val="24"/>
              </w:rPr>
              <w:t>5</w:t>
            </w:r>
            <w:r w:rsidRPr="000543F7">
              <w:rPr>
                <w:rFonts w:cstheme="minorHAnsi"/>
                <w:i/>
                <w:color w:val="000099"/>
                <w:sz w:val="24"/>
                <w:szCs w:val="24"/>
              </w:rPr>
              <w:t xml:space="preserve"> </w:t>
            </w:r>
            <w:r w:rsidR="000977AE">
              <w:rPr>
                <w:rFonts w:cstheme="minorHAnsi"/>
                <w:i/>
                <w:color w:val="000099"/>
                <w:sz w:val="24"/>
                <w:szCs w:val="24"/>
              </w:rPr>
              <w:t xml:space="preserve">Rewitalizacja </w:t>
            </w:r>
            <w:r w:rsidR="00BF6D91">
              <w:rPr>
                <w:rFonts w:cstheme="minorHAnsi"/>
                <w:i/>
                <w:color w:val="000099"/>
                <w:sz w:val="24"/>
                <w:szCs w:val="24"/>
              </w:rPr>
              <w:t>na obszarach innych niż miejskie</w:t>
            </w:r>
          </w:p>
        </w:tc>
      </w:tr>
      <w:tr w:rsidR="007A06FB" w:rsidRPr="000543F7" w14:paraId="7F8ADE43" w14:textId="77777777" w:rsidTr="007A06FB">
        <w:trPr>
          <w:trHeight w:val="1041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8B52891" w14:textId="758CA337" w:rsidR="007A06FB" w:rsidRDefault="00183C29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8E222E2" w14:textId="5E85831D" w:rsidR="007A06FB" w:rsidRPr="007A06FB" w:rsidRDefault="007A06FB" w:rsidP="00B722C4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Wspierane strategie zintegrowanego rozwoju terytorialnego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6611AA2" w14:textId="41497962" w:rsidR="007A06FB" w:rsidRPr="00D24816" w:rsidRDefault="007A06FB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6478D39" w14:textId="7622E1AA" w:rsidR="007A06FB" w:rsidRPr="00D24816" w:rsidRDefault="007A06FB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2018B6A" w14:textId="24F86165" w:rsidR="007A06FB" w:rsidRPr="00D24816" w:rsidRDefault="007A06FB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04E34D5" w14:textId="3A75DA57" w:rsidR="007A06FB" w:rsidRPr="00D24816" w:rsidRDefault="007A06FB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programowy</w:t>
            </w: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34D8241" w14:textId="6229B25D" w:rsidR="007A06FB" w:rsidRPr="00D24816" w:rsidRDefault="00FB1709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FB1709">
              <w:rPr>
                <w:rFonts w:cstheme="minorHAnsi"/>
                <w:color w:val="000000"/>
                <w:sz w:val="20"/>
                <w:szCs w:val="20"/>
              </w:rPr>
              <w:t xml:space="preserve">Liczba wkładów w strategie zintegrowanego rozwoju terytorialnego zgłoszonych według każdego celu szczegółowego wnoszonych z funduszy zgodnie z art. 28 lit. a) i c) CPR.   Wartości wskaźnika uwzględniają zatem, na poziomie celu szczegółowego, oddzielną liczbę wkładów finansowych w strategie terytorialne. Wskaźnik ten nie obejmuje strategii RLKS, które są liczone w ramach wskaźnika </w:t>
            </w:r>
            <w:r w:rsidRPr="00B26CF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Wspierane strategie rozwoju lokalnego kierowanego przez społeczność</w:t>
            </w:r>
            <w:r w:rsidRPr="00FB170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26CF4" w:rsidRPr="000543F7" w14:paraId="46C90B9A" w14:textId="77777777" w:rsidTr="007A06FB">
        <w:trPr>
          <w:trHeight w:val="1041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FF17FD7" w14:textId="52E27EED" w:rsidR="00B26CF4" w:rsidRDefault="00183C29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0EC21B8C" w14:textId="3EA2CCD6" w:rsidR="00B26CF4" w:rsidRPr="007A06FB" w:rsidRDefault="00B26CF4" w:rsidP="00B722C4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26CF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Ludność objęta projektami w ramach strategii zintegrowanego rozwoju terytorialnego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7A7856D" w14:textId="4D428FC0" w:rsidR="00B26CF4" w:rsidRPr="007A06FB" w:rsidRDefault="00B26CF4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B26CF4">
              <w:rPr>
                <w:rFonts w:cstheme="minorHAnsi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00B68FF3" w14:textId="216ACE17" w:rsidR="00B26CF4" w:rsidRPr="007A06FB" w:rsidRDefault="00B26CF4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B26CF4">
              <w:rPr>
                <w:rFonts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6BD1F96" w14:textId="54DE3CA2" w:rsidR="00B26CF4" w:rsidRPr="007A06FB" w:rsidRDefault="00B26CF4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B26CF4"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071B42E" w14:textId="4B4C6918" w:rsidR="00B26CF4" w:rsidRPr="007A06FB" w:rsidRDefault="00B26CF4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B26CF4">
              <w:rPr>
                <w:rFonts w:cstheme="minorHAnsi"/>
                <w:color w:val="000000"/>
                <w:sz w:val="20"/>
                <w:szCs w:val="20"/>
              </w:rPr>
              <w:t>programowy</w:t>
            </w: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51A234D" w14:textId="1E94F07D" w:rsidR="00B26CF4" w:rsidRPr="00FB1709" w:rsidRDefault="00B26CF4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B26CF4">
              <w:rPr>
                <w:rFonts w:cstheme="minorHAnsi"/>
                <w:color w:val="000000"/>
                <w:sz w:val="20"/>
                <w:szCs w:val="20"/>
              </w:rPr>
              <w:t>Liczba osób objętych projektami wspieranymi przez fundusze w ramach strategii zintegrowanego rozwoju terytorialnego.</w:t>
            </w:r>
          </w:p>
        </w:tc>
      </w:tr>
      <w:tr w:rsidR="007A06FB" w:rsidRPr="000543F7" w14:paraId="102C0533" w14:textId="77777777" w:rsidTr="007A06FB">
        <w:trPr>
          <w:trHeight w:val="1041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C90F8D7" w14:textId="7A45737F" w:rsidR="007A06FB" w:rsidRDefault="00183C29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0A73FBF" w14:textId="4748F179" w:rsidR="007A06FB" w:rsidRPr="000977AE" w:rsidRDefault="007A06FB" w:rsidP="00B722C4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Liczba wspartych obiektów infrastruktury (innych niż budynki mieszkalne) zlokalizowanych na rewitalizowanych obszarach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B4574F3" w14:textId="48419C63" w:rsidR="007A06FB" w:rsidRDefault="007A06FB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2A48425" w14:textId="632B39C5" w:rsidR="007A06FB" w:rsidRDefault="007A06FB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C6E2834" w14:textId="47F04921" w:rsidR="007A06FB" w:rsidRDefault="007A06FB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909258A" w14:textId="01562F46" w:rsidR="007A06FB" w:rsidRDefault="007A06FB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programowy</w:t>
            </w: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EF1E006" w14:textId="627BF917" w:rsidR="007A06FB" w:rsidRPr="000977AE" w:rsidRDefault="007A06FB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color w:val="000000"/>
                <w:sz w:val="20"/>
                <w:szCs w:val="20"/>
              </w:rPr>
              <w:t>Wskaźnik mierzy liczbę  zmodernizowanych obiektów budowlanych (innych niż budynki mieszkalne) na zrewitalizowanych obszarach. Modernizacja – obejmuje przebudowę, remont oraz rozbudowę infrastruktury.    Zgodnie z ustawą z dnia 7 lipca 1994 r – Prawo budowlane:   Obiekt budowlany - należy przez to rozumieć budynek, budowlę bądź obiekt małej architektury, wraz z instalacjami zapewniającymi możliwość użytkowania obiektu zgodnie z jego przeznaczeniem, wzniesiony z użyciem wyrobów budowlanych.   Przebudowa –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   Remont -oznacza wykonywanie w istniejącym obiekcie budowlanym robót budowlanych polegających na odtworzeniu stanu pierwotnego, a niestanowiących bieżącej konserwacji, przy czym dopuszcza się stosowanie wyrobów budowlanych innych niż użyto w stanie pierwotnym.</w:t>
            </w:r>
          </w:p>
        </w:tc>
      </w:tr>
      <w:tr w:rsidR="00386293" w:rsidRPr="000543F7" w14:paraId="587D803E" w14:textId="77777777" w:rsidTr="006B2F33">
        <w:trPr>
          <w:trHeight w:val="473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8CFF3E5" w14:textId="4B2CE4D6" w:rsidR="00386293" w:rsidRDefault="00183C29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CCC6EE2" w14:textId="02F5CC47" w:rsidR="00386293" w:rsidRPr="00386293" w:rsidRDefault="006B2F33" w:rsidP="00B722C4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Liczba wspartych budynków mieszkalnych zlokalizowanych na rewitalizowanych obszarach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9C6B402" w14:textId="3792C081" w:rsidR="00386293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6F49DBF" w14:textId="7119F962" w:rsidR="00386293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01548D52" w14:textId="41E35D70" w:rsidR="00386293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3BE299B" w14:textId="1A3DF8C5" w:rsidR="00386293" w:rsidRPr="00D24816" w:rsidRDefault="0038629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14ED63B" w14:textId="49C0CB59" w:rsidR="00386293" w:rsidRPr="000977AE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Wskaźnik mierzy liczbę  zmodernizowanych budynków mieszkalnych (jednorodzinnych i wielorodzinnych) na zrewitalizowanych obszarach. Modernizacja – obejmuje przebudowę, remont oraz rozbudowę budynków mieszkalnych.</w:t>
            </w:r>
            <w:r w:rsidR="00AC23C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F33">
              <w:rPr>
                <w:rFonts w:cstheme="minorHAnsi"/>
                <w:color w:val="000000"/>
                <w:sz w:val="20"/>
                <w:szCs w:val="20"/>
              </w:rPr>
              <w:t xml:space="preserve">Zgodnie z ustawą z dnia 7 lipca 1994 r – Prawo budowlane: Przebudowa – wykonywanie robót budowlanych, w wyniku których następuje zmiana parametrów użytkowych lub technicznych istniejącego obiektu budowlanego, z wyjątkiem charakterystycznych parametrów, jak: kubatura, </w:t>
            </w:r>
            <w:r w:rsidRPr="006B2F33">
              <w:rPr>
                <w:rFonts w:cstheme="minorHAnsi"/>
                <w:color w:val="000000"/>
                <w:sz w:val="20"/>
                <w:szCs w:val="20"/>
              </w:rPr>
              <w:lastRenderedPageBreak/>
              <w:t>powierzchnia zabudowy, wysokość, długość, szerokość bądź liczba kondygnacji   Remont - oznacza wykonywanie w istniejącym obiekcie budowlanym robót budowlanych polegających na odtworzeniu stanu pierwotnego, a niestanowiących bieżącej konserwacji, przy czym dopuszcza się stosowanie wyrobów budowlanych innych niż użyto w stanie pierwotnym. Budynek mieszkalny jednorodzinny - należy przez to rozumieć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budynku;</w:t>
            </w:r>
          </w:p>
        </w:tc>
      </w:tr>
      <w:tr w:rsidR="007A06FB" w:rsidRPr="000543F7" w14:paraId="23CBC139" w14:textId="77777777" w:rsidTr="002D57AB">
        <w:trPr>
          <w:trHeight w:val="1041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1EB733F" w14:textId="6CC11F19" w:rsidR="007A06FB" w:rsidRDefault="00183C29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0B12030" w14:textId="668C07DE" w:rsidR="007A06FB" w:rsidRPr="007A06FB" w:rsidRDefault="007A06FB" w:rsidP="00B722C4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62CA548" w14:textId="4AD08081" w:rsidR="007A06FB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9CD9ECF" w14:textId="2623DBD7" w:rsidR="007A06FB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0525B5F" w14:textId="3F3D111A" w:rsidR="007A06FB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4287FBC4" w14:textId="77777777" w:rsidR="007A06FB" w:rsidRPr="00D24816" w:rsidRDefault="007A06FB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5D26724" w14:textId="336B97B2" w:rsidR="007A06FB" w:rsidRPr="000977AE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Wskaźnik mierzy powierzchnię obszaru objętego rewitalizacją w ramach projektów obejmujących rewitalizację zdegradowanych obszarów.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F33">
              <w:rPr>
                <w:rFonts w:cstheme="minorHAnsi"/>
                <w:color w:val="000000"/>
                <w:sz w:val="20"/>
                <w:szCs w:val="20"/>
              </w:rPr>
              <w:t>Rewitalizacja – proces wyprowadzania ze stanu kryzysowego obszarów zdegradowanych poprzez działania integrujące interwencję na rzecz społeczności lokalnej, przestrzeni i lokalnej gospodarki, skoncentrowane terytorialnie, prowadzone przez interesariuszy tego procesu, na podstawie gminnego  programu rewitalizacji.</w:t>
            </w:r>
          </w:p>
        </w:tc>
      </w:tr>
      <w:tr w:rsidR="009C38D9" w:rsidRPr="000543F7" w14:paraId="4D5291B5" w14:textId="77777777" w:rsidTr="00183C29">
        <w:trPr>
          <w:trHeight w:val="1041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C99FC2B" w14:textId="04A6E0B9" w:rsidR="009C38D9" w:rsidRDefault="00183C29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7A6BDB21" w14:textId="5621F8C6" w:rsidR="009C38D9" w:rsidRPr="007A06FB" w:rsidRDefault="007A06FB" w:rsidP="00B722C4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Liczba ludności zamieszkującej obszar rewitalizacji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6C27534" w14:textId="46A78778" w:rsidR="009C38D9" w:rsidRPr="009C38D9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D171B3D" w14:textId="56DF095A" w:rsidR="009C38D9" w:rsidRPr="009C38D9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3A7CDAB6" w14:textId="579165F6" w:rsidR="009C38D9" w:rsidRPr="009C38D9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62DF5301" w14:textId="2DF660E1" w:rsidR="009C38D9" w:rsidRPr="009C38D9" w:rsidRDefault="009C38D9" w:rsidP="00B722C4">
            <w:pPr>
              <w:spacing w:before="60" w:after="6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C8033DE" w14:textId="5CFB05F5" w:rsidR="009C38D9" w:rsidRPr="009C38D9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>Liczba osób, które zamieszkują  obszar  rewitalizacji,  na  który będzie  oddziaływać  projekt.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B2F33">
              <w:rPr>
                <w:rFonts w:cstheme="minorHAnsi"/>
                <w:color w:val="000000"/>
                <w:sz w:val="20"/>
                <w:szCs w:val="20"/>
              </w:rPr>
              <w:t>Wartość docelowa powinna zostać określona dla roku zakończenia realizacji projektu.</w:t>
            </w:r>
          </w:p>
        </w:tc>
      </w:tr>
      <w:tr w:rsidR="007A06FB" w:rsidRPr="000543F7" w14:paraId="66B6EBC4" w14:textId="77777777" w:rsidTr="00183C29">
        <w:trPr>
          <w:trHeight w:val="473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0A4D6F8F" w14:textId="020588DE" w:rsidR="007A06FB" w:rsidRDefault="00183C29" w:rsidP="009C38D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57BD6F07" w14:textId="628B63AF" w:rsidR="007A06FB" w:rsidRPr="007A06FB" w:rsidRDefault="007A06FB" w:rsidP="00B722C4">
            <w:pPr>
              <w:spacing w:before="60" w:after="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7A06F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Liczba przedsiębiorstw ulokowanych na zrewitalizowanych obszarach</w:t>
            </w:r>
          </w:p>
        </w:tc>
        <w:tc>
          <w:tcPr>
            <w:tcW w:w="1418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19595495" w14:textId="511E89E4" w:rsidR="007A06FB" w:rsidRPr="009C38D9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130EA755" w14:textId="7359DB2A" w:rsidR="007A06FB" w:rsidRPr="009C38D9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34361B22" w14:textId="7F9E6837" w:rsidR="006B2F33" w:rsidRPr="009C38D9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1ABBA41F" w14:textId="77777777" w:rsidR="007A06FB" w:rsidRPr="009C38D9" w:rsidRDefault="007A06FB" w:rsidP="00B722C4">
            <w:pPr>
              <w:spacing w:before="60" w:after="6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2B93F8A7" w14:textId="671D62F6" w:rsidR="007A06FB" w:rsidRPr="009C38D9" w:rsidRDefault="006B2F33" w:rsidP="00B722C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6B2F33">
              <w:rPr>
                <w:rFonts w:cstheme="minorHAnsi"/>
                <w:color w:val="000000"/>
                <w:sz w:val="20"/>
                <w:szCs w:val="20"/>
              </w:rPr>
              <w:t xml:space="preserve">Liczba przedsiębiorstw,   które rozpoczęły lub przeniosły działalność na teren objęty rewitalizacją w ramach realizowanego projektu. Wartość bazowa wskaźnika wynosi 0. Wartość docelowa  dotyczy  przedsiębiorstw, które w okresie realizacji projektu, a najpóźniej do  </w:t>
            </w:r>
            <w:r w:rsidRPr="006B2F33">
              <w:rPr>
                <w:rFonts w:cstheme="minorHAnsi"/>
                <w:color w:val="000000"/>
                <w:sz w:val="20"/>
                <w:szCs w:val="20"/>
              </w:rPr>
              <w:lastRenderedPageBreak/>
              <w:t>12  miesięcy  po  zakończeniu  realizacji rzeczowej  projektu  rozpoczęły  lub  przeniosły działalność na teren objęty rewitalizacją.</w:t>
            </w:r>
          </w:p>
        </w:tc>
      </w:tr>
    </w:tbl>
    <w:p w14:paraId="2CB61CC5" w14:textId="1CE3384B" w:rsidR="00102FB7" w:rsidRPr="00483DA1" w:rsidRDefault="00102FB7" w:rsidP="007A06FB">
      <w:pPr>
        <w:tabs>
          <w:tab w:val="left" w:pos="3402"/>
          <w:tab w:val="left" w:pos="5103"/>
        </w:tabs>
        <w:jc w:val="both"/>
        <w:rPr>
          <w:rFonts w:ascii="Arial" w:hAnsi="Arial" w:cs="Arial"/>
          <w:sz w:val="18"/>
          <w:szCs w:val="18"/>
        </w:rPr>
      </w:pPr>
    </w:p>
    <w:sectPr w:rsidR="00102FB7" w:rsidRPr="00483DA1" w:rsidSect="002271F7">
      <w:headerReference w:type="default" r:id="rId9"/>
      <w:footerReference w:type="default" r:id="rId10"/>
      <w:headerReference w:type="first" r:id="rId11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1F16A" w14:textId="77777777" w:rsidR="0039273C" w:rsidRDefault="0039273C" w:rsidP="00A11280">
      <w:pPr>
        <w:spacing w:after="0" w:line="240" w:lineRule="auto"/>
      </w:pPr>
      <w:r>
        <w:separator/>
      </w:r>
    </w:p>
  </w:endnote>
  <w:endnote w:type="continuationSeparator" w:id="0">
    <w:p w14:paraId="2FB0BA83" w14:textId="77777777" w:rsidR="0039273C" w:rsidRDefault="0039273C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39273C" w:rsidRDefault="003927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D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E2B7A3" w14:textId="77777777" w:rsidR="0039273C" w:rsidRDefault="0039273C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6EA45" w14:textId="77777777" w:rsidR="0039273C" w:rsidRDefault="0039273C" w:rsidP="00A11280">
      <w:pPr>
        <w:spacing w:after="0" w:line="240" w:lineRule="auto"/>
      </w:pPr>
      <w:r>
        <w:separator/>
      </w:r>
    </w:p>
  </w:footnote>
  <w:footnote w:type="continuationSeparator" w:id="0">
    <w:p w14:paraId="70E686FE" w14:textId="77777777" w:rsidR="0039273C" w:rsidRDefault="0039273C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7333D" w14:textId="62FADF53" w:rsidR="001D0778" w:rsidRDefault="001D0778" w:rsidP="001D0778">
    <w:pPr>
      <w:autoSpaceDE w:val="0"/>
      <w:autoSpaceDN w:val="0"/>
      <w:spacing w:after="0"/>
      <w:jc w:val="right"/>
      <w:rPr>
        <w:iCs/>
        <w:sz w:val="24"/>
        <w:szCs w:val="24"/>
      </w:rPr>
    </w:pPr>
    <w:r>
      <w:rPr>
        <w:rFonts w:eastAsia="Arial"/>
        <w:b/>
        <w:iCs/>
        <w:sz w:val="24"/>
      </w:rPr>
      <w:t xml:space="preserve">Załącznik nr 9 </w:t>
    </w:r>
    <w:r>
      <w:rPr>
        <w:iCs/>
        <w:sz w:val="24"/>
        <w:szCs w:val="24"/>
      </w:rPr>
      <w:t xml:space="preserve">do Regulaminu wyboru projektów </w:t>
    </w:r>
    <w:r>
      <w:rPr>
        <w:iCs/>
        <w:sz w:val="24"/>
        <w:szCs w:val="24"/>
      </w:rPr>
      <w:br/>
      <w:t>Działanie</w:t>
    </w:r>
    <w:r w:rsidRPr="00910D58">
      <w:rPr>
        <w:iCs/>
        <w:sz w:val="24"/>
        <w:szCs w:val="24"/>
      </w:rPr>
      <w:t xml:space="preserve"> </w:t>
    </w:r>
    <w:r>
      <w:rPr>
        <w:iCs/>
        <w:sz w:val="24"/>
        <w:szCs w:val="24"/>
      </w:rPr>
      <w:t>10</w:t>
    </w:r>
    <w:r w:rsidRPr="003C01E6">
      <w:rPr>
        <w:iCs/>
        <w:sz w:val="24"/>
        <w:szCs w:val="24"/>
      </w:rPr>
      <w:t>.</w:t>
    </w:r>
    <w:r>
      <w:rPr>
        <w:iCs/>
        <w:sz w:val="24"/>
        <w:szCs w:val="24"/>
      </w:rPr>
      <w:t>5</w:t>
    </w:r>
    <w:r w:rsidRPr="003C01E6">
      <w:rPr>
        <w:iCs/>
        <w:sz w:val="24"/>
        <w:szCs w:val="24"/>
      </w:rPr>
      <w:t xml:space="preserve"> </w:t>
    </w:r>
    <w:r>
      <w:rPr>
        <w:i/>
        <w:sz w:val="24"/>
        <w:szCs w:val="24"/>
      </w:rPr>
      <w:t>Rewitalizacja na obszarach innych niż miejskie</w:t>
    </w:r>
    <w:r>
      <w:rPr>
        <w:iCs/>
        <w:sz w:val="24"/>
        <w:szCs w:val="24"/>
      </w:rPr>
      <w:t xml:space="preserve"> </w:t>
    </w:r>
    <w:r w:rsidRPr="00F31F55">
      <w:rPr>
        <w:iCs/>
        <w:sz w:val="24"/>
        <w:szCs w:val="24"/>
      </w:rPr>
      <w:t>FEO 2021-2027</w:t>
    </w:r>
    <w:r w:rsidRPr="00910D58">
      <w:rPr>
        <w:iCs/>
        <w:sz w:val="24"/>
        <w:szCs w:val="24"/>
      </w:rPr>
      <w:t xml:space="preserve"> </w:t>
    </w:r>
    <w:r>
      <w:rPr>
        <w:iCs/>
        <w:sz w:val="24"/>
        <w:szCs w:val="24"/>
      </w:rPr>
      <w:br/>
    </w:r>
    <w:r w:rsidRPr="00910D58">
      <w:rPr>
        <w:iCs/>
        <w:sz w:val="24"/>
        <w:szCs w:val="24"/>
      </w:rPr>
      <w:t xml:space="preserve">Wersja nr 1, </w:t>
    </w:r>
    <w:r>
      <w:rPr>
        <w:iCs/>
        <w:sz w:val="24"/>
        <w:szCs w:val="24"/>
      </w:rPr>
      <w:t>czerwiec</w:t>
    </w:r>
    <w:r w:rsidRPr="001F36DA">
      <w:rPr>
        <w:iCs/>
        <w:sz w:val="24"/>
        <w:szCs w:val="24"/>
      </w:rPr>
      <w:t xml:space="preserve"> </w:t>
    </w:r>
    <w:r w:rsidRPr="002A6BB9">
      <w:rPr>
        <w:iCs/>
        <w:sz w:val="24"/>
        <w:szCs w:val="24"/>
      </w:rPr>
      <w:t>2024 r.</w:t>
    </w:r>
  </w:p>
  <w:p w14:paraId="357B97C4" w14:textId="77777777" w:rsidR="0039273C" w:rsidRPr="00FC4C51" w:rsidRDefault="0039273C" w:rsidP="00FC4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89E82" w14:textId="748C989B" w:rsidR="001D0778" w:rsidRDefault="001D0778" w:rsidP="001D0778">
    <w:pPr>
      <w:autoSpaceDE w:val="0"/>
      <w:autoSpaceDN w:val="0"/>
      <w:spacing w:after="0"/>
      <w:jc w:val="right"/>
      <w:rPr>
        <w:iCs/>
        <w:sz w:val="24"/>
        <w:szCs w:val="24"/>
      </w:rPr>
    </w:pPr>
    <w:bookmarkStart w:id="0" w:name="_Hlk127966424"/>
    <w:bookmarkStart w:id="1" w:name="_Hlk127966425"/>
    <w:bookmarkStart w:id="2" w:name="_Hlk127966624"/>
    <w:bookmarkStart w:id="3" w:name="_Hlk127966625"/>
    <w:bookmarkStart w:id="4" w:name="_Hlk127967326"/>
    <w:bookmarkStart w:id="5" w:name="_Hlk127967327"/>
    <w:r>
      <w:rPr>
        <w:rFonts w:eastAsia="Arial"/>
        <w:b/>
        <w:iCs/>
        <w:sz w:val="24"/>
      </w:rPr>
      <w:t xml:space="preserve">Załącznik nr 9 </w:t>
    </w:r>
    <w:bookmarkEnd w:id="0"/>
    <w:bookmarkEnd w:id="1"/>
    <w:bookmarkEnd w:id="2"/>
    <w:bookmarkEnd w:id="3"/>
    <w:bookmarkEnd w:id="4"/>
    <w:bookmarkEnd w:id="5"/>
    <w:r>
      <w:rPr>
        <w:iCs/>
        <w:sz w:val="24"/>
        <w:szCs w:val="24"/>
      </w:rPr>
      <w:t xml:space="preserve">do Regulaminu wyboru projektów </w:t>
    </w:r>
    <w:r>
      <w:rPr>
        <w:iCs/>
        <w:sz w:val="24"/>
        <w:szCs w:val="24"/>
      </w:rPr>
      <w:br/>
      <w:t>Działanie</w:t>
    </w:r>
    <w:r w:rsidRPr="00910D58">
      <w:rPr>
        <w:iCs/>
        <w:sz w:val="24"/>
        <w:szCs w:val="24"/>
      </w:rPr>
      <w:t xml:space="preserve"> </w:t>
    </w:r>
    <w:r>
      <w:rPr>
        <w:iCs/>
        <w:sz w:val="24"/>
        <w:szCs w:val="24"/>
      </w:rPr>
      <w:t>10</w:t>
    </w:r>
    <w:r w:rsidRPr="003C01E6">
      <w:rPr>
        <w:iCs/>
        <w:sz w:val="24"/>
        <w:szCs w:val="24"/>
      </w:rPr>
      <w:t>.</w:t>
    </w:r>
    <w:r>
      <w:rPr>
        <w:iCs/>
        <w:sz w:val="24"/>
        <w:szCs w:val="24"/>
      </w:rPr>
      <w:t>5</w:t>
    </w:r>
    <w:r w:rsidRPr="003C01E6">
      <w:rPr>
        <w:iCs/>
        <w:sz w:val="24"/>
        <w:szCs w:val="24"/>
      </w:rPr>
      <w:t xml:space="preserve"> </w:t>
    </w:r>
    <w:r>
      <w:rPr>
        <w:i/>
        <w:sz w:val="24"/>
        <w:szCs w:val="24"/>
      </w:rPr>
      <w:t>Rewitalizacja na obszarach innych niż miejskie</w:t>
    </w:r>
    <w:r>
      <w:rPr>
        <w:iCs/>
        <w:sz w:val="24"/>
        <w:szCs w:val="24"/>
      </w:rPr>
      <w:t xml:space="preserve"> </w:t>
    </w:r>
    <w:r w:rsidRPr="00F31F55">
      <w:rPr>
        <w:iCs/>
        <w:sz w:val="24"/>
        <w:szCs w:val="24"/>
      </w:rPr>
      <w:t>FEO 2021-2027</w:t>
    </w:r>
    <w:r w:rsidRPr="00910D58">
      <w:rPr>
        <w:iCs/>
        <w:sz w:val="24"/>
        <w:szCs w:val="24"/>
      </w:rPr>
      <w:t xml:space="preserve"> </w:t>
    </w:r>
    <w:r>
      <w:rPr>
        <w:iCs/>
        <w:sz w:val="24"/>
        <w:szCs w:val="24"/>
      </w:rPr>
      <w:br/>
    </w:r>
    <w:r w:rsidRPr="00910D58">
      <w:rPr>
        <w:iCs/>
        <w:sz w:val="24"/>
        <w:szCs w:val="24"/>
      </w:rPr>
      <w:t xml:space="preserve">Wersja nr 1, </w:t>
    </w:r>
    <w:r>
      <w:rPr>
        <w:iCs/>
        <w:sz w:val="24"/>
        <w:szCs w:val="24"/>
      </w:rPr>
      <w:t>czerwiec</w:t>
    </w:r>
    <w:r w:rsidRPr="001F36DA">
      <w:rPr>
        <w:iCs/>
        <w:sz w:val="24"/>
        <w:szCs w:val="24"/>
      </w:rPr>
      <w:t xml:space="preserve"> </w:t>
    </w:r>
    <w:r w:rsidRPr="002A6BB9">
      <w:rPr>
        <w:iCs/>
        <w:sz w:val="24"/>
        <w:szCs w:val="24"/>
      </w:rPr>
      <w:t>2024 r.</w:t>
    </w:r>
  </w:p>
  <w:p w14:paraId="6F35BB29" w14:textId="273C69EE" w:rsidR="0039273C" w:rsidRPr="001D0778" w:rsidRDefault="0039273C" w:rsidP="001D0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3302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C6A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B0EF1"/>
    <w:multiLevelType w:val="hybridMultilevel"/>
    <w:tmpl w:val="A9CC62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35993"/>
    <w:multiLevelType w:val="hybridMultilevel"/>
    <w:tmpl w:val="D7461E56"/>
    <w:lvl w:ilvl="0" w:tplc="2438C0F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231"/>
    <w:multiLevelType w:val="hybridMultilevel"/>
    <w:tmpl w:val="18B42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B67DA1"/>
    <w:multiLevelType w:val="hybridMultilevel"/>
    <w:tmpl w:val="5A7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0CA9"/>
    <w:multiLevelType w:val="hybridMultilevel"/>
    <w:tmpl w:val="8C181D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B527F"/>
    <w:multiLevelType w:val="hybridMultilevel"/>
    <w:tmpl w:val="466AD6A2"/>
    <w:lvl w:ilvl="0" w:tplc="872C1E6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5E45FF6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5254F"/>
    <w:multiLevelType w:val="hybridMultilevel"/>
    <w:tmpl w:val="23302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B922CB1"/>
    <w:multiLevelType w:val="hybridMultilevel"/>
    <w:tmpl w:val="99E0D07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17A7F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9737B1"/>
    <w:multiLevelType w:val="hybridMultilevel"/>
    <w:tmpl w:val="9B64D4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F61F8"/>
    <w:multiLevelType w:val="hybridMultilevel"/>
    <w:tmpl w:val="173EF13C"/>
    <w:lvl w:ilvl="0" w:tplc="0EEA70A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26AB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A6EA8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A0471"/>
    <w:multiLevelType w:val="hybridMultilevel"/>
    <w:tmpl w:val="65504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03820"/>
    <w:multiLevelType w:val="hybridMultilevel"/>
    <w:tmpl w:val="C5366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76B66"/>
    <w:multiLevelType w:val="hybridMultilevel"/>
    <w:tmpl w:val="F07A1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AF7F8D"/>
    <w:multiLevelType w:val="hybridMultilevel"/>
    <w:tmpl w:val="B73AA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E0AC7"/>
    <w:multiLevelType w:val="hybridMultilevel"/>
    <w:tmpl w:val="72B27C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951A09"/>
    <w:multiLevelType w:val="hybridMultilevel"/>
    <w:tmpl w:val="E0002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672D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D573EF8"/>
    <w:multiLevelType w:val="hybridMultilevel"/>
    <w:tmpl w:val="DE90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54902"/>
    <w:multiLevelType w:val="hybridMultilevel"/>
    <w:tmpl w:val="0D223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4306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23C55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AC12B6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C6283"/>
    <w:multiLevelType w:val="hybridMultilevel"/>
    <w:tmpl w:val="1E78490C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DA489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900D5"/>
    <w:multiLevelType w:val="hybridMultilevel"/>
    <w:tmpl w:val="423421E4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B763A"/>
    <w:multiLevelType w:val="hybridMultilevel"/>
    <w:tmpl w:val="B75C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45F7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D46282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5790"/>
    <w:multiLevelType w:val="hybridMultilevel"/>
    <w:tmpl w:val="FA7C2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8F00578"/>
    <w:multiLevelType w:val="hybridMultilevel"/>
    <w:tmpl w:val="001EFBE6"/>
    <w:lvl w:ilvl="0" w:tplc="BECE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36DB4"/>
    <w:multiLevelType w:val="hybridMultilevel"/>
    <w:tmpl w:val="FA787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252DA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B6B5E"/>
    <w:multiLevelType w:val="hybridMultilevel"/>
    <w:tmpl w:val="87B8076C"/>
    <w:lvl w:ilvl="0" w:tplc="2DC0869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B7E78"/>
    <w:multiLevelType w:val="hybridMultilevel"/>
    <w:tmpl w:val="E20EC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B4F6AF"/>
    <w:multiLevelType w:val="hybridMultilevel"/>
    <w:tmpl w:val="3FD8AB16"/>
    <w:lvl w:ilvl="0" w:tplc="E73CAAA8">
      <w:start w:val="1"/>
      <w:numFmt w:val="decimal"/>
      <w:lvlText w:val="%1."/>
      <w:lvlJc w:val="left"/>
      <w:pPr>
        <w:ind w:left="720" w:hanging="360"/>
      </w:pPr>
    </w:lvl>
    <w:lvl w:ilvl="1" w:tplc="7A20A9B8">
      <w:start w:val="1"/>
      <w:numFmt w:val="lowerLetter"/>
      <w:lvlText w:val="%2."/>
      <w:lvlJc w:val="left"/>
      <w:pPr>
        <w:ind w:left="1440" w:hanging="360"/>
      </w:pPr>
    </w:lvl>
    <w:lvl w:ilvl="2" w:tplc="6D420256">
      <w:start w:val="1"/>
      <w:numFmt w:val="lowerRoman"/>
      <w:lvlText w:val="%3."/>
      <w:lvlJc w:val="right"/>
      <w:pPr>
        <w:ind w:left="2160" w:hanging="180"/>
      </w:pPr>
    </w:lvl>
    <w:lvl w:ilvl="3" w:tplc="EF400ACC">
      <w:start w:val="1"/>
      <w:numFmt w:val="decimal"/>
      <w:lvlText w:val="%4."/>
      <w:lvlJc w:val="left"/>
      <w:pPr>
        <w:ind w:left="2880" w:hanging="360"/>
      </w:pPr>
    </w:lvl>
    <w:lvl w:ilvl="4" w:tplc="A0E87004">
      <w:start w:val="1"/>
      <w:numFmt w:val="lowerLetter"/>
      <w:lvlText w:val="%5."/>
      <w:lvlJc w:val="left"/>
      <w:pPr>
        <w:ind w:left="3600" w:hanging="360"/>
      </w:pPr>
    </w:lvl>
    <w:lvl w:ilvl="5" w:tplc="DEECBCD8">
      <w:start w:val="1"/>
      <w:numFmt w:val="lowerRoman"/>
      <w:lvlText w:val="%6."/>
      <w:lvlJc w:val="right"/>
      <w:pPr>
        <w:ind w:left="4320" w:hanging="180"/>
      </w:pPr>
    </w:lvl>
    <w:lvl w:ilvl="6" w:tplc="4F1C446A">
      <w:start w:val="1"/>
      <w:numFmt w:val="decimal"/>
      <w:lvlText w:val="%7."/>
      <w:lvlJc w:val="left"/>
      <w:pPr>
        <w:ind w:left="5040" w:hanging="360"/>
      </w:pPr>
    </w:lvl>
    <w:lvl w:ilvl="7" w:tplc="1F6E312A">
      <w:start w:val="1"/>
      <w:numFmt w:val="lowerLetter"/>
      <w:lvlText w:val="%8."/>
      <w:lvlJc w:val="left"/>
      <w:pPr>
        <w:ind w:left="5760" w:hanging="360"/>
      </w:pPr>
    </w:lvl>
    <w:lvl w:ilvl="8" w:tplc="605892E2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20654">
    <w:abstractNumId w:val="23"/>
  </w:num>
  <w:num w:numId="2" w16cid:durableId="171604325">
    <w:abstractNumId w:val="41"/>
  </w:num>
  <w:num w:numId="3" w16cid:durableId="945817496">
    <w:abstractNumId w:val="20"/>
  </w:num>
  <w:num w:numId="4" w16cid:durableId="1221091755">
    <w:abstractNumId w:val="37"/>
  </w:num>
  <w:num w:numId="5" w16cid:durableId="1426918913">
    <w:abstractNumId w:val="16"/>
  </w:num>
  <w:num w:numId="6" w16cid:durableId="958027992">
    <w:abstractNumId w:val="36"/>
  </w:num>
  <w:num w:numId="7" w16cid:durableId="1217007389">
    <w:abstractNumId w:val="24"/>
  </w:num>
  <w:num w:numId="8" w16cid:durableId="2022774402">
    <w:abstractNumId w:val="30"/>
  </w:num>
  <w:num w:numId="9" w16cid:durableId="2058116190">
    <w:abstractNumId w:val="17"/>
  </w:num>
  <w:num w:numId="10" w16cid:durableId="104278607">
    <w:abstractNumId w:val="15"/>
  </w:num>
  <w:num w:numId="11" w16cid:durableId="1496528848">
    <w:abstractNumId w:val="3"/>
  </w:num>
  <w:num w:numId="12" w16cid:durableId="359624760">
    <w:abstractNumId w:val="8"/>
  </w:num>
  <w:num w:numId="13" w16cid:durableId="2085712078">
    <w:abstractNumId w:val="12"/>
  </w:num>
  <w:num w:numId="14" w16cid:durableId="1956786079">
    <w:abstractNumId w:val="11"/>
  </w:num>
  <w:num w:numId="15" w16cid:durableId="1749300331">
    <w:abstractNumId w:val="39"/>
  </w:num>
  <w:num w:numId="16" w16cid:durableId="760225718">
    <w:abstractNumId w:val="32"/>
  </w:num>
  <w:num w:numId="17" w16cid:durableId="283775807">
    <w:abstractNumId w:val="2"/>
  </w:num>
  <w:num w:numId="18" w16cid:durableId="947354098">
    <w:abstractNumId w:val="7"/>
  </w:num>
  <w:num w:numId="19" w16cid:durableId="1945457856">
    <w:abstractNumId w:val="34"/>
  </w:num>
  <w:num w:numId="20" w16cid:durableId="1172646095">
    <w:abstractNumId w:val="14"/>
  </w:num>
  <w:num w:numId="21" w16cid:durableId="965159454">
    <w:abstractNumId w:val="25"/>
  </w:num>
  <w:num w:numId="22" w16cid:durableId="305285799">
    <w:abstractNumId w:val="21"/>
  </w:num>
  <w:num w:numId="23" w16cid:durableId="169218371">
    <w:abstractNumId w:val="42"/>
  </w:num>
  <w:num w:numId="24" w16cid:durableId="1910188401">
    <w:abstractNumId w:val="4"/>
  </w:num>
  <w:num w:numId="25" w16cid:durableId="1097674335">
    <w:abstractNumId w:val="22"/>
  </w:num>
  <w:num w:numId="26" w16cid:durableId="649479272">
    <w:abstractNumId w:val="18"/>
  </w:num>
  <w:num w:numId="27" w16cid:durableId="2093353092">
    <w:abstractNumId w:val="35"/>
  </w:num>
  <w:num w:numId="28" w16cid:durableId="323969567">
    <w:abstractNumId w:val="29"/>
  </w:num>
  <w:num w:numId="29" w16cid:durableId="984580068">
    <w:abstractNumId w:val="10"/>
  </w:num>
  <w:num w:numId="30" w16cid:durableId="169804792">
    <w:abstractNumId w:val="1"/>
  </w:num>
  <w:num w:numId="31" w16cid:durableId="1616327426">
    <w:abstractNumId w:val="28"/>
  </w:num>
  <w:num w:numId="32" w16cid:durableId="1710105843">
    <w:abstractNumId w:val="13"/>
  </w:num>
  <w:num w:numId="33" w16cid:durableId="933473">
    <w:abstractNumId w:val="27"/>
  </w:num>
  <w:num w:numId="34" w16cid:durableId="2039967647">
    <w:abstractNumId w:val="40"/>
  </w:num>
  <w:num w:numId="35" w16cid:durableId="1845170806">
    <w:abstractNumId w:val="6"/>
  </w:num>
  <w:num w:numId="36" w16cid:durableId="504176668">
    <w:abstractNumId w:val="5"/>
  </w:num>
  <w:num w:numId="37" w16cid:durableId="224951103">
    <w:abstractNumId w:val="0"/>
  </w:num>
  <w:num w:numId="38" w16cid:durableId="318384404">
    <w:abstractNumId w:val="43"/>
  </w:num>
  <w:num w:numId="39" w16cid:durableId="747577650">
    <w:abstractNumId w:val="9"/>
  </w:num>
  <w:num w:numId="40" w16cid:durableId="1610627238">
    <w:abstractNumId w:val="33"/>
  </w:num>
  <w:num w:numId="41" w16cid:durableId="1281958188">
    <w:abstractNumId w:val="38"/>
  </w:num>
  <w:num w:numId="42" w16cid:durableId="1212839113">
    <w:abstractNumId w:val="26"/>
  </w:num>
  <w:num w:numId="43" w16cid:durableId="306129563">
    <w:abstractNumId w:val="31"/>
  </w:num>
  <w:num w:numId="44" w16cid:durableId="13162525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1"/>
    <w:rsid w:val="00001E12"/>
    <w:rsid w:val="00002D26"/>
    <w:rsid w:val="00006A99"/>
    <w:rsid w:val="0001004E"/>
    <w:rsid w:val="00010EEF"/>
    <w:rsid w:val="00015EC6"/>
    <w:rsid w:val="00022220"/>
    <w:rsid w:val="0002356F"/>
    <w:rsid w:val="000252B8"/>
    <w:rsid w:val="000305AA"/>
    <w:rsid w:val="000327B4"/>
    <w:rsid w:val="00035C17"/>
    <w:rsid w:val="00036830"/>
    <w:rsid w:val="00040DFE"/>
    <w:rsid w:val="000419E2"/>
    <w:rsid w:val="00042F3A"/>
    <w:rsid w:val="000543F7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061E"/>
    <w:rsid w:val="00083607"/>
    <w:rsid w:val="00083D75"/>
    <w:rsid w:val="00084190"/>
    <w:rsid w:val="000871B9"/>
    <w:rsid w:val="00091AF0"/>
    <w:rsid w:val="0009398B"/>
    <w:rsid w:val="00095B63"/>
    <w:rsid w:val="000977AE"/>
    <w:rsid w:val="000A0237"/>
    <w:rsid w:val="000A529C"/>
    <w:rsid w:val="000A6A14"/>
    <w:rsid w:val="000B31A9"/>
    <w:rsid w:val="000B5FE8"/>
    <w:rsid w:val="000B61B6"/>
    <w:rsid w:val="000C3414"/>
    <w:rsid w:val="000C6AA3"/>
    <w:rsid w:val="000D305D"/>
    <w:rsid w:val="000E1172"/>
    <w:rsid w:val="000E1828"/>
    <w:rsid w:val="000E436C"/>
    <w:rsid w:val="000E5525"/>
    <w:rsid w:val="000E7FBF"/>
    <w:rsid w:val="000F36FA"/>
    <w:rsid w:val="000F4CA9"/>
    <w:rsid w:val="000F5C3F"/>
    <w:rsid w:val="00101100"/>
    <w:rsid w:val="001028AA"/>
    <w:rsid w:val="00102FB7"/>
    <w:rsid w:val="00103B1B"/>
    <w:rsid w:val="00110626"/>
    <w:rsid w:val="001133C2"/>
    <w:rsid w:val="00115072"/>
    <w:rsid w:val="0011616D"/>
    <w:rsid w:val="001217A7"/>
    <w:rsid w:val="00125111"/>
    <w:rsid w:val="00131B88"/>
    <w:rsid w:val="00136D60"/>
    <w:rsid w:val="0014329F"/>
    <w:rsid w:val="001460B1"/>
    <w:rsid w:val="00152EEA"/>
    <w:rsid w:val="00160878"/>
    <w:rsid w:val="00161C3A"/>
    <w:rsid w:val="00163090"/>
    <w:rsid w:val="00163314"/>
    <w:rsid w:val="0016581B"/>
    <w:rsid w:val="00176A29"/>
    <w:rsid w:val="00177222"/>
    <w:rsid w:val="0018083F"/>
    <w:rsid w:val="00180987"/>
    <w:rsid w:val="00180A81"/>
    <w:rsid w:val="001811AE"/>
    <w:rsid w:val="00181723"/>
    <w:rsid w:val="00183C29"/>
    <w:rsid w:val="00186FCC"/>
    <w:rsid w:val="001901EB"/>
    <w:rsid w:val="00191A19"/>
    <w:rsid w:val="001930AE"/>
    <w:rsid w:val="001957B3"/>
    <w:rsid w:val="00196A28"/>
    <w:rsid w:val="00196F2C"/>
    <w:rsid w:val="001A32D2"/>
    <w:rsid w:val="001A3780"/>
    <w:rsid w:val="001A72B1"/>
    <w:rsid w:val="001B2650"/>
    <w:rsid w:val="001B2C86"/>
    <w:rsid w:val="001C196A"/>
    <w:rsid w:val="001C4092"/>
    <w:rsid w:val="001C4E95"/>
    <w:rsid w:val="001C55A8"/>
    <w:rsid w:val="001C5E23"/>
    <w:rsid w:val="001D0778"/>
    <w:rsid w:val="001D103E"/>
    <w:rsid w:val="001D2DFD"/>
    <w:rsid w:val="001D330B"/>
    <w:rsid w:val="001D353F"/>
    <w:rsid w:val="001D3621"/>
    <w:rsid w:val="001D5CE8"/>
    <w:rsid w:val="001D7CC3"/>
    <w:rsid w:val="001E01C8"/>
    <w:rsid w:val="001E3836"/>
    <w:rsid w:val="001E5516"/>
    <w:rsid w:val="001F1D54"/>
    <w:rsid w:val="00210D3C"/>
    <w:rsid w:val="00220524"/>
    <w:rsid w:val="002218B6"/>
    <w:rsid w:val="002233DD"/>
    <w:rsid w:val="002240BB"/>
    <w:rsid w:val="002244FF"/>
    <w:rsid w:val="00226060"/>
    <w:rsid w:val="002271F7"/>
    <w:rsid w:val="00233FAE"/>
    <w:rsid w:val="0023430F"/>
    <w:rsid w:val="0025473F"/>
    <w:rsid w:val="00254FF1"/>
    <w:rsid w:val="0025646D"/>
    <w:rsid w:val="00256682"/>
    <w:rsid w:val="00261722"/>
    <w:rsid w:val="00264831"/>
    <w:rsid w:val="002672D2"/>
    <w:rsid w:val="002821A1"/>
    <w:rsid w:val="00283239"/>
    <w:rsid w:val="00292CCE"/>
    <w:rsid w:val="002948C3"/>
    <w:rsid w:val="002979FE"/>
    <w:rsid w:val="002A099C"/>
    <w:rsid w:val="002A3184"/>
    <w:rsid w:val="002A3A9C"/>
    <w:rsid w:val="002A3FC9"/>
    <w:rsid w:val="002A4384"/>
    <w:rsid w:val="002B08C1"/>
    <w:rsid w:val="002B17E2"/>
    <w:rsid w:val="002B294F"/>
    <w:rsid w:val="002B4B5A"/>
    <w:rsid w:val="002B5BE2"/>
    <w:rsid w:val="002B5D3A"/>
    <w:rsid w:val="002C1ECA"/>
    <w:rsid w:val="002C63EB"/>
    <w:rsid w:val="002C69A3"/>
    <w:rsid w:val="002C78D8"/>
    <w:rsid w:val="002D1FFD"/>
    <w:rsid w:val="002D4B7F"/>
    <w:rsid w:val="002D57AB"/>
    <w:rsid w:val="002D6BC5"/>
    <w:rsid w:val="002E0DA8"/>
    <w:rsid w:val="002E2679"/>
    <w:rsid w:val="002E5263"/>
    <w:rsid w:val="002E5267"/>
    <w:rsid w:val="002F26D3"/>
    <w:rsid w:val="00306C54"/>
    <w:rsid w:val="00307E6D"/>
    <w:rsid w:val="00314703"/>
    <w:rsid w:val="003159B0"/>
    <w:rsid w:val="00316A82"/>
    <w:rsid w:val="003178FB"/>
    <w:rsid w:val="00317964"/>
    <w:rsid w:val="0032277D"/>
    <w:rsid w:val="00326841"/>
    <w:rsid w:val="00327856"/>
    <w:rsid w:val="003350A1"/>
    <w:rsid w:val="0033677D"/>
    <w:rsid w:val="00340398"/>
    <w:rsid w:val="00343FA6"/>
    <w:rsid w:val="0034744E"/>
    <w:rsid w:val="00352B56"/>
    <w:rsid w:val="00356D8C"/>
    <w:rsid w:val="003660CD"/>
    <w:rsid w:val="0036612F"/>
    <w:rsid w:val="00370627"/>
    <w:rsid w:val="00372AC0"/>
    <w:rsid w:val="003744E5"/>
    <w:rsid w:val="0037457E"/>
    <w:rsid w:val="00375E59"/>
    <w:rsid w:val="00382AEC"/>
    <w:rsid w:val="00382B93"/>
    <w:rsid w:val="00383C55"/>
    <w:rsid w:val="003841BA"/>
    <w:rsid w:val="00386293"/>
    <w:rsid w:val="0039273C"/>
    <w:rsid w:val="00393132"/>
    <w:rsid w:val="00395F5D"/>
    <w:rsid w:val="003976DA"/>
    <w:rsid w:val="003A545F"/>
    <w:rsid w:val="003A56B7"/>
    <w:rsid w:val="003A5E23"/>
    <w:rsid w:val="003A69AB"/>
    <w:rsid w:val="003B26CD"/>
    <w:rsid w:val="003B2744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4DB5"/>
    <w:rsid w:val="003E0589"/>
    <w:rsid w:val="003E274D"/>
    <w:rsid w:val="003E2E4B"/>
    <w:rsid w:val="003E5A0C"/>
    <w:rsid w:val="004100BB"/>
    <w:rsid w:val="00411A37"/>
    <w:rsid w:val="00413B51"/>
    <w:rsid w:val="0042026D"/>
    <w:rsid w:val="00422357"/>
    <w:rsid w:val="00422A9B"/>
    <w:rsid w:val="0042514A"/>
    <w:rsid w:val="00425283"/>
    <w:rsid w:val="004253A5"/>
    <w:rsid w:val="00427357"/>
    <w:rsid w:val="00430732"/>
    <w:rsid w:val="00434BA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1B32"/>
    <w:rsid w:val="00482FB2"/>
    <w:rsid w:val="00483DA1"/>
    <w:rsid w:val="00483F5C"/>
    <w:rsid w:val="0048600E"/>
    <w:rsid w:val="00490085"/>
    <w:rsid w:val="004910A7"/>
    <w:rsid w:val="00495097"/>
    <w:rsid w:val="004A4C98"/>
    <w:rsid w:val="004A6BDC"/>
    <w:rsid w:val="004A6D13"/>
    <w:rsid w:val="004B69CE"/>
    <w:rsid w:val="004B7E7F"/>
    <w:rsid w:val="004C2768"/>
    <w:rsid w:val="004C3420"/>
    <w:rsid w:val="004C666D"/>
    <w:rsid w:val="004D39D2"/>
    <w:rsid w:val="004E17B4"/>
    <w:rsid w:val="004E3ACC"/>
    <w:rsid w:val="004E7A11"/>
    <w:rsid w:val="004F3C77"/>
    <w:rsid w:val="004F6BEF"/>
    <w:rsid w:val="00501A93"/>
    <w:rsid w:val="00501C83"/>
    <w:rsid w:val="005077F3"/>
    <w:rsid w:val="005102CC"/>
    <w:rsid w:val="005129C5"/>
    <w:rsid w:val="005156EF"/>
    <w:rsid w:val="00515E54"/>
    <w:rsid w:val="00521B3D"/>
    <w:rsid w:val="00525215"/>
    <w:rsid w:val="0052639C"/>
    <w:rsid w:val="00537297"/>
    <w:rsid w:val="005402FE"/>
    <w:rsid w:val="00543A97"/>
    <w:rsid w:val="0056602B"/>
    <w:rsid w:val="00567072"/>
    <w:rsid w:val="00570604"/>
    <w:rsid w:val="00573A93"/>
    <w:rsid w:val="00575F75"/>
    <w:rsid w:val="0058726C"/>
    <w:rsid w:val="00587F10"/>
    <w:rsid w:val="00596A58"/>
    <w:rsid w:val="00596D42"/>
    <w:rsid w:val="00597DF8"/>
    <w:rsid w:val="005A14AC"/>
    <w:rsid w:val="005A4085"/>
    <w:rsid w:val="005A7CB1"/>
    <w:rsid w:val="005B2FEA"/>
    <w:rsid w:val="005B504A"/>
    <w:rsid w:val="005C01D2"/>
    <w:rsid w:val="005D5F43"/>
    <w:rsid w:val="005E4353"/>
    <w:rsid w:val="005E54E5"/>
    <w:rsid w:val="005E6E72"/>
    <w:rsid w:val="005F1689"/>
    <w:rsid w:val="005F38DE"/>
    <w:rsid w:val="005F7A29"/>
    <w:rsid w:val="005F7C33"/>
    <w:rsid w:val="00601B5A"/>
    <w:rsid w:val="006041FA"/>
    <w:rsid w:val="006053E7"/>
    <w:rsid w:val="006074ED"/>
    <w:rsid w:val="00610768"/>
    <w:rsid w:val="00612645"/>
    <w:rsid w:val="00613B97"/>
    <w:rsid w:val="00615A30"/>
    <w:rsid w:val="00622249"/>
    <w:rsid w:val="00624C31"/>
    <w:rsid w:val="00624D16"/>
    <w:rsid w:val="006276A3"/>
    <w:rsid w:val="006322FA"/>
    <w:rsid w:val="00634003"/>
    <w:rsid w:val="00634313"/>
    <w:rsid w:val="00637635"/>
    <w:rsid w:val="006430D2"/>
    <w:rsid w:val="00654389"/>
    <w:rsid w:val="006545EC"/>
    <w:rsid w:val="0065570B"/>
    <w:rsid w:val="0065665B"/>
    <w:rsid w:val="006613F3"/>
    <w:rsid w:val="00663223"/>
    <w:rsid w:val="006640B4"/>
    <w:rsid w:val="00666DC8"/>
    <w:rsid w:val="006674CF"/>
    <w:rsid w:val="00672CF7"/>
    <w:rsid w:val="00680775"/>
    <w:rsid w:val="0068478B"/>
    <w:rsid w:val="00694A28"/>
    <w:rsid w:val="006A2401"/>
    <w:rsid w:val="006A43A9"/>
    <w:rsid w:val="006A460D"/>
    <w:rsid w:val="006A579D"/>
    <w:rsid w:val="006A65B3"/>
    <w:rsid w:val="006A74EE"/>
    <w:rsid w:val="006B1E28"/>
    <w:rsid w:val="006B2F33"/>
    <w:rsid w:val="006B6022"/>
    <w:rsid w:val="006B7DBF"/>
    <w:rsid w:val="006C44ED"/>
    <w:rsid w:val="006C77D9"/>
    <w:rsid w:val="006D2E34"/>
    <w:rsid w:val="006D356F"/>
    <w:rsid w:val="006D5456"/>
    <w:rsid w:val="006D63E7"/>
    <w:rsid w:val="006E194D"/>
    <w:rsid w:val="006E2806"/>
    <w:rsid w:val="006E4410"/>
    <w:rsid w:val="006E54A6"/>
    <w:rsid w:val="006E5DC7"/>
    <w:rsid w:val="006F18CC"/>
    <w:rsid w:val="006F1C8E"/>
    <w:rsid w:val="006F5F19"/>
    <w:rsid w:val="006F6464"/>
    <w:rsid w:val="006F6CF9"/>
    <w:rsid w:val="006F70FD"/>
    <w:rsid w:val="0070236E"/>
    <w:rsid w:val="00716992"/>
    <w:rsid w:val="007201CA"/>
    <w:rsid w:val="00720906"/>
    <w:rsid w:val="00720BEC"/>
    <w:rsid w:val="00723F91"/>
    <w:rsid w:val="00726E6D"/>
    <w:rsid w:val="007335DB"/>
    <w:rsid w:val="00735EAE"/>
    <w:rsid w:val="0074049A"/>
    <w:rsid w:val="00740C1F"/>
    <w:rsid w:val="00742D49"/>
    <w:rsid w:val="00747375"/>
    <w:rsid w:val="00757A2D"/>
    <w:rsid w:val="00760B0C"/>
    <w:rsid w:val="00761D7C"/>
    <w:rsid w:val="00762BB5"/>
    <w:rsid w:val="00774FA1"/>
    <w:rsid w:val="007754AA"/>
    <w:rsid w:val="00775B56"/>
    <w:rsid w:val="00780302"/>
    <w:rsid w:val="0078060A"/>
    <w:rsid w:val="007815E2"/>
    <w:rsid w:val="007819E8"/>
    <w:rsid w:val="007832FF"/>
    <w:rsid w:val="00783A8E"/>
    <w:rsid w:val="00790A97"/>
    <w:rsid w:val="0079394C"/>
    <w:rsid w:val="007A06FB"/>
    <w:rsid w:val="007A27F7"/>
    <w:rsid w:val="007A69E4"/>
    <w:rsid w:val="007B0796"/>
    <w:rsid w:val="007B0A47"/>
    <w:rsid w:val="007B3E77"/>
    <w:rsid w:val="007C41F6"/>
    <w:rsid w:val="007D00DC"/>
    <w:rsid w:val="007D3E62"/>
    <w:rsid w:val="007D46E8"/>
    <w:rsid w:val="007D4C96"/>
    <w:rsid w:val="007D7F49"/>
    <w:rsid w:val="007E034D"/>
    <w:rsid w:val="007E1DB5"/>
    <w:rsid w:val="007F0A9C"/>
    <w:rsid w:val="007F6DFA"/>
    <w:rsid w:val="008001AD"/>
    <w:rsid w:val="0080142A"/>
    <w:rsid w:val="00803AA7"/>
    <w:rsid w:val="00806531"/>
    <w:rsid w:val="00811CFE"/>
    <w:rsid w:val="00813ACE"/>
    <w:rsid w:val="008172D4"/>
    <w:rsid w:val="00820327"/>
    <w:rsid w:val="008277E7"/>
    <w:rsid w:val="00831DA4"/>
    <w:rsid w:val="00833C84"/>
    <w:rsid w:val="0083699C"/>
    <w:rsid w:val="00840F98"/>
    <w:rsid w:val="008417F9"/>
    <w:rsid w:val="008428E9"/>
    <w:rsid w:val="00842F0E"/>
    <w:rsid w:val="0084387E"/>
    <w:rsid w:val="00852566"/>
    <w:rsid w:val="00861566"/>
    <w:rsid w:val="00861990"/>
    <w:rsid w:val="00862EA9"/>
    <w:rsid w:val="00864E42"/>
    <w:rsid w:val="00865157"/>
    <w:rsid w:val="00870486"/>
    <w:rsid w:val="00870BF6"/>
    <w:rsid w:val="008733AB"/>
    <w:rsid w:val="00874EED"/>
    <w:rsid w:val="00881689"/>
    <w:rsid w:val="008823AA"/>
    <w:rsid w:val="00883127"/>
    <w:rsid w:val="00884566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70A7"/>
    <w:rsid w:val="008E76A3"/>
    <w:rsid w:val="008E7FF7"/>
    <w:rsid w:val="008F044A"/>
    <w:rsid w:val="008F0F56"/>
    <w:rsid w:val="008F18BC"/>
    <w:rsid w:val="008F2FEE"/>
    <w:rsid w:val="008F3B44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17D52"/>
    <w:rsid w:val="00921408"/>
    <w:rsid w:val="00923DC2"/>
    <w:rsid w:val="0092434A"/>
    <w:rsid w:val="009246BE"/>
    <w:rsid w:val="00930C72"/>
    <w:rsid w:val="00944557"/>
    <w:rsid w:val="009458D9"/>
    <w:rsid w:val="0094668B"/>
    <w:rsid w:val="00953A2D"/>
    <w:rsid w:val="00957E5D"/>
    <w:rsid w:val="00960DBD"/>
    <w:rsid w:val="00962B0A"/>
    <w:rsid w:val="0096569F"/>
    <w:rsid w:val="0096700F"/>
    <w:rsid w:val="00970072"/>
    <w:rsid w:val="00974060"/>
    <w:rsid w:val="00975F71"/>
    <w:rsid w:val="00986C2B"/>
    <w:rsid w:val="0098771A"/>
    <w:rsid w:val="00991562"/>
    <w:rsid w:val="00992F45"/>
    <w:rsid w:val="00993E65"/>
    <w:rsid w:val="009944D4"/>
    <w:rsid w:val="0099519F"/>
    <w:rsid w:val="00997070"/>
    <w:rsid w:val="009A0CEB"/>
    <w:rsid w:val="009A1C80"/>
    <w:rsid w:val="009B1AF2"/>
    <w:rsid w:val="009B1C1D"/>
    <w:rsid w:val="009B3E76"/>
    <w:rsid w:val="009B5198"/>
    <w:rsid w:val="009B6505"/>
    <w:rsid w:val="009C38D9"/>
    <w:rsid w:val="009C4F1B"/>
    <w:rsid w:val="009C6492"/>
    <w:rsid w:val="009D29FB"/>
    <w:rsid w:val="009D4EE9"/>
    <w:rsid w:val="009D760C"/>
    <w:rsid w:val="009E1752"/>
    <w:rsid w:val="009E3594"/>
    <w:rsid w:val="009E3C4A"/>
    <w:rsid w:val="009F297D"/>
    <w:rsid w:val="009F441F"/>
    <w:rsid w:val="00A0027D"/>
    <w:rsid w:val="00A024A6"/>
    <w:rsid w:val="00A0678F"/>
    <w:rsid w:val="00A11280"/>
    <w:rsid w:val="00A12330"/>
    <w:rsid w:val="00A12854"/>
    <w:rsid w:val="00A13FD0"/>
    <w:rsid w:val="00A17925"/>
    <w:rsid w:val="00A21B4F"/>
    <w:rsid w:val="00A229B6"/>
    <w:rsid w:val="00A23168"/>
    <w:rsid w:val="00A23361"/>
    <w:rsid w:val="00A26F6A"/>
    <w:rsid w:val="00A37E09"/>
    <w:rsid w:val="00A406FE"/>
    <w:rsid w:val="00A4517A"/>
    <w:rsid w:val="00A55E0F"/>
    <w:rsid w:val="00A56DCC"/>
    <w:rsid w:val="00A64913"/>
    <w:rsid w:val="00A74993"/>
    <w:rsid w:val="00A7590E"/>
    <w:rsid w:val="00A75D3B"/>
    <w:rsid w:val="00A76BDD"/>
    <w:rsid w:val="00A81A9E"/>
    <w:rsid w:val="00A83DBA"/>
    <w:rsid w:val="00A85AB9"/>
    <w:rsid w:val="00A86243"/>
    <w:rsid w:val="00A91CD6"/>
    <w:rsid w:val="00A93672"/>
    <w:rsid w:val="00A967AC"/>
    <w:rsid w:val="00A96B60"/>
    <w:rsid w:val="00A9780F"/>
    <w:rsid w:val="00AA27E7"/>
    <w:rsid w:val="00AA43DC"/>
    <w:rsid w:val="00AB1658"/>
    <w:rsid w:val="00AB176A"/>
    <w:rsid w:val="00AB6726"/>
    <w:rsid w:val="00AC12E7"/>
    <w:rsid w:val="00AC22E3"/>
    <w:rsid w:val="00AC23C6"/>
    <w:rsid w:val="00AC4C19"/>
    <w:rsid w:val="00AD244B"/>
    <w:rsid w:val="00AD497B"/>
    <w:rsid w:val="00AD69B8"/>
    <w:rsid w:val="00AD6A25"/>
    <w:rsid w:val="00AD7C6B"/>
    <w:rsid w:val="00AE1F0B"/>
    <w:rsid w:val="00AF2D17"/>
    <w:rsid w:val="00AF42AA"/>
    <w:rsid w:val="00AF7E93"/>
    <w:rsid w:val="00B118EC"/>
    <w:rsid w:val="00B12AE2"/>
    <w:rsid w:val="00B25A19"/>
    <w:rsid w:val="00B25DDC"/>
    <w:rsid w:val="00B26A50"/>
    <w:rsid w:val="00B26CF4"/>
    <w:rsid w:val="00B33396"/>
    <w:rsid w:val="00B4195E"/>
    <w:rsid w:val="00B41E97"/>
    <w:rsid w:val="00B43839"/>
    <w:rsid w:val="00B4493F"/>
    <w:rsid w:val="00B503CF"/>
    <w:rsid w:val="00B53551"/>
    <w:rsid w:val="00B60267"/>
    <w:rsid w:val="00B64A26"/>
    <w:rsid w:val="00B6688C"/>
    <w:rsid w:val="00B6775E"/>
    <w:rsid w:val="00B71412"/>
    <w:rsid w:val="00B71581"/>
    <w:rsid w:val="00B722C4"/>
    <w:rsid w:val="00B73E4B"/>
    <w:rsid w:val="00B7446F"/>
    <w:rsid w:val="00B74748"/>
    <w:rsid w:val="00B91714"/>
    <w:rsid w:val="00B921A1"/>
    <w:rsid w:val="00B974D2"/>
    <w:rsid w:val="00B97C67"/>
    <w:rsid w:val="00BA534A"/>
    <w:rsid w:val="00BA60AC"/>
    <w:rsid w:val="00BA6726"/>
    <w:rsid w:val="00BB0333"/>
    <w:rsid w:val="00BB0608"/>
    <w:rsid w:val="00BC1E69"/>
    <w:rsid w:val="00BC7065"/>
    <w:rsid w:val="00BC7E9A"/>
    <w:rsid w:val="00BD1880"/>
    <w:rsid w:val="00BD1A41"/>
    <w:rsid w:val="00BD38E2"/>
    <w:rsid w:val="00BD4C56"/>
    <w:rsid w:val="00BD54E4"/>
    <w:rsid w:val="00BD5C87"/>
    <w:rsid w:val="00BD6CBC"/>
    <w:rsid w:val="00BD721D"/>
    <w:rsid w:val="00BE377C"/>
    <w:rsid w:val="00BE3D3B"/>
    <w:rsid w:val="00BE71DE"/>
    <w:rsid w:val="00BF2B8A"/>
    <w:rsid w:val="00BF36C7"/>
    <w:rsid w:val="00BF6876"/>
    <w:rsid w:val="00BF6D91"/>
    <w:rsid w:val="00C05389"/>
    <w:rsid w:val="00C16418"/>
    <w:rsid w:val="00C176EA"/>
    <w:rsid w:val="00C17C93"/>
    <w:rsid w:val="00C25BD5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6394"/>
    <w:rsid w:val="00C56BC1"/>
    <w:rsid w:val="00C73BC9"/>
    <w:rsid w:val="00C762FB"/>
    <w:rsid w:val="00C83B73"/>
    <w:rsid w:val="00C845B1"/>
    <w:rsid w:val="00C93A1D"/>
    <w:rsid w:val="00C9500E"/>
    <w:rsid w:val="00C953C5"/>
    <w:rsid w:val="00C95762"/>
    <w:rsid w:val="00C965FE"/>
    <w:rsid w:val="00CA1A8B"/>
    <w:rsid w:val="00CA4446"/>
    <w:rsid w:val="00CB2D0B"/>
    <w:rsid w:val="00CB7564"/>
    <w:rsid w:val="00CC7854"/>
    <w:rsid w:val="00CD1A35"/>
    <w:rsid w:val="00CD70FA"/>
    <w:rsid w:val="00CE040A"/>
    <w:rsid w:val="00CF0720"/>
    <w:rsid w:val="00CF1602"/>
    <w:rsid w:val="00CF558C"/>
    <w:rsid w:val="00CF7C96"/>
    <w:rsid w:val="00D01141"/>
    <w:rsid w:val="00D028C2"/>
    <w:rsid w:val="00D02C92"/>
    <w:rsid w:val="00D03DF0"/>
    <w:rsid w:val="00D07438"/>
    <w:rsid w:val="00D11990"/>
    <w:rsid w:val="00D12DE8"/>
    <w:rsid w:val="00D24816"/>
    <w:rsid w:val="00D43689"/>
    <w:rsid w:val="00D509E2"/>
    <w:rsid w:val="00D5721C"/>
    <w:rsid w:val="00D67B61"/>
    <w:rsid w:val="00D708B3"/>
    <w:rsid w:val="00D73DC2"/>
    <w:rsid w:val="00D80AAE"/>
    <w:rsid w:val="00D822A7"/>
    <w:rsid w:val="00D8458B"/>
    <w:rsid w:val="00D957C4"/>
    <w:rsid w:val="00D95C70"/>
    <w:rsid w:val="00DA1AA6"/>
    <w:rsid w:val="00DA3986"/>
    <w:rsid w:val="00DA4D8E"/>
    <w:rsid w:val="00DC07D6"/>
    <w:rsid w:val="00DC1F31"/>
    <w:rsid w:val="00DC5A06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E01179"/>
    <w:rsid w:val="00E02D65"/>
    <w:rsid w:val="00E05C71"/>
    <w:rsid w:val="00E073DF"/>
    <w:rsid w:val="00E12508"/>
    <w:rsid w:val="00E24B1E"/>
    <w:rsid w:val="00E2777E"/>
    <w:rsid w:val="00E347C4"/>
    <w:rsid w:val="00E40BB1"/>
    <w:rsid w:val="00E41845"/>
    <w:rsid w:val="00E506BB"/>
    <w:rsid w:val="00E5099E"/>
    <w:rsid w:val="00E57E0B"/>
    <w:rsid w:val="00E640C6"/>
    <w:rsid w:val="00E64D78"/>
    <w:rsid w:val="00E65FED"/>
    <w:rsid w:val="00E71757"/>
    <w:rsid w:val="00E73D82"/>
    <w:rsid w:val="00E76A86"/>
    <w:rsid w:val="00E82132"/>
    <w:rsid w:val="00E86251"/>
    <w:rsid w:val="00E924B5"/>
    <w:rsid w:val="00E92D8C"/>
    <w:rsid w:val="00EA0342"/>
    <w:rsid w:val="00EA5A7F"/>
    <w:rsid w:val="00EB2C78"/>
    <w:rsid w:val="00EB4C55"/>
    <w:rsid w:val="00EB68E4"/>
    <w:rsid w:val="00EC045E"/>
    <w:rsid w:val="00EC22EC"/>
    <w:rsid w:val="00EC4CA7"/>
    <w:rsid w:val="00EC508A"/>
    <w:rsid w:val="00ED0F02"/>
    <w:rsid w:val="00EE3093"/>
    <w:rsid w:val="00EE7774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16E47"/>
    <w:rsid w:val="00F20335"/>
    <w:rsid w:val="00F208EB"/>
    <w:rsid w:val="00F21C17"/>
    <w:rsid w:val="00F2428C"/>
    <w:rsid w:val="00F30232"/>
    <w:rsid w:val="00F32317"/>
    <w:rsid w:val="00F33839"/>
    <w:rsid w:val="00F3485A"/>
    <w:rsid w:val="00F4137B"/>
    <w:rsid w:val="00F431AB"/>
    <w:rsid w:val="00F46F9E"/>
    <w:rsid w:val="00F4759C"/>
    <w:rsid w:val="00F50AA2"/>
    <w:rsid w:val="00F53B6A"/>
    <w:rsid w:val="00F54C3D"/>
    <w:rsid w:val="00F6180E"/>
    <w:rsid w:val="00F74401"/>
    <w:rsid w:val="00F74BA2"/>
    <w:rsid w:val="00F74EE0"/>
    <w:rsid w:val="00F75B93"/>
    <w:rsid w:val="00F85A76"/>
    <w:rsid w:val="00F91A40"/>
    <w:rsid w:val="00F95885"/>
    <w:rsid w:val="00FA05CA"/>
    <w:rsid w:val="00FA1FFA"/>
    <w:rsid w:val="00FA2FFB"/>
    <w:rsid w:val="00FA6B10"/>
    <w:rsid w:val="00FB1709"/>
    <w:rsid w:val="00FB2D95"/>
    <w:rsid w:val="00FC01D2"/>
    <w:rsid w:val="00FC4736"/>
    <w:rsid w:val="00FC4B31"/>
    <w:rsid w:val="00FC4C51"/>
    <w:rsid w:val="00FC63DC"/>
    <w:rsid w:val="00FD0483"/>
    <w:rsid w:val="00FD1A2C"/>
    <w:rsid w:val="00FD3BF5"/>
    <w:rsid w:val="00FD464C"/>
    <w:rsid w:val="00FD69C6"/>
    <w:rsid w:val="00FE2349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7F4A888C"/>
  <w15:docId w15:val="{730BC603-C45C-438B-8B1F-A9C150F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FF7"/>
  </w:style>
  <w:style w:type="paragraph" w:styleId="Nagwek1">
    <w:name w:val="heading 1"/>
    <w:basedOn w:val="Normalny"/>
    <w:next w:val="Normalny"/>
    <w:link w:val="Nagwek1Znak"/>
    <w:uiPriority w:val="9"/>
    <w:qFormat/>
    <w:rsid w:val="00694A2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iPriority w:val="99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4A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i-provider">
    <w:name w:val="ui-provider"/>
    <w:basedOn w:val="Domylnaczcionkaakapitu"/>
    <w:rsid w:val="00D2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D53C-58EB-476D-9C51-3A284C87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Anna Światły</cp:lastModifiedBy>
  <cp:revision>23</cp:revision>
  <cp:lastPrinted>2015-08-13T07:51:00Z</cp:lastPrinted>
  <dcterms:created xsi:type="dcterms:W3CDTF">2023-03-22T06:33:00Z</dcterms:created>
  <dcterms:modified xsi:type="dcterms:W3CDTF">2024-06-20T11:03:00Z</dcterms:modified>
</cp:coreProperties>
</file>