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CB34F" w14:textId="77777777" w:rsidR="00136D60" w:rsidRPr="00483DA1" w:rsidRDefault="00136D60" w:rsidP="00136D60">
      <w:pPr>
        <w:jc w:val="center"/>
        <w:rPr>
          <w:rFonts w:ascii="Arial" w:eastAsiaTheme="minorEastAsia" w:hAnsi="Arial" w:cs="Arial"/>
          <w:i/>
          <w:color w:val="000099"/>
          <w:sz w:val="18"/>
          <w:szCs w:val="18"/>
          <w:lang w:eastAsia="pl-PL"/>
        </w:rPr>
      </w:pPr>
    </w:p>
    <w:p w14:paraId="4C37BFA1" w14:textId="1A102806" w:rsidR="00136D60" w:rsidRPr="00483DA1" w:rsidRDefault="00421306" w:rsidP="00136D60">
      <w:pPr>
        <w:jc w:val="center"/>
        <w:rPr>
          <w:rFonts w:ascii="Arial" w:eastAsiaTheme="minorEastAsia" w:hAnsi="Arial" w:cs="Arial"/>
          <w:i/>
          <w:color w:val="000099"/>
          <w:sz w:val="18"/>
          <w:szCs w:val="18"/>
          <w:lang w:eastAsia="pl-PL"/>
        </w:rPr>
      </w:pPr>
      <w:r>
        <w:rPr>
          <w:rFonts w:ascii="Times New Roman" w:eastAsia="Times New Roman" w:hAnsi="Times New Roman"/>
          <w:noProof/>
          <w:sz w:val="24"/>
          <w:szCs w:val="24"/>
          <w:lang w:eastAsia="pl-PL"/>
        </w:rPr>
        <w:drawing>
          <wp:inline distT="0" distB="0" distL="0" distR="0" wp14:anchorId="78DC2014" wp14:editId="536BB68E">
            <wp:extent cx="8476461" cy="828675"/>
            <wp:effectExtent l="0" t="0" r="1270"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4244" cy="832369"/>
                    </a:xfrm>
                    <a:prstGeom prst="rect">
                      <a:avLst/>
                    </a:prstGeom>
                    <a:noFill/>
                    <a:ln>
                      <a:noFill/>
                    </a:ln>
                  </pic:spPr>
                </pic:pic>
              </a:graphicData>
            </a:graphic>
          </wp:inline>
        </w:drawing>
      </w:r>
    </w:p>
    <w:p w14:paraId="77C21649" w14:textId="3B3BB160" w:rsidR="00136D60" w:rsidRPr="00483DA1" w:rsidRDefault="00136D60" w:rsidP="00136D60">
      <w:pPr>
        <w:jc w:val="center"/>
        <w:rPr>
          <w:rFonts w:ascii="Arial" w:eastAsiaTheme="minorEastAsia" w:hAnsi="Arial" w:cs="Arial"/>
          <w:i/>
          <w:color w:val="000099"/>
          <w:sz w:val="18"/>
          <w:szCs w:val="18"/>
          <w:lang w:eastAsia="pl-PL"/>
        </w:rPr>
      </w:pPr>
    </w:p>
    <w:p w14:paraId="05850690" w14:textId="77777777" w:rsidR="00103B1B" w:rsidRDefault="00103B1B" w:rsidP="00FD69C6">
      <w:pPr>
        <w:jc w:val="center"/>
        <w:rPr>
          <w:rFonts w:ascii="Arial" w:eastAsiaTheme="minorEastAsia" w:hAnsi="Arial" w:cs="Arial"/>
          <w:i/>
          <w:color w:val="000099"/>
          <w:sz w:val="36"/>
          <w:szCs w:val="36"/>
          <w:lang w:eastAsia="pl-PL"/>
        </w:rPr>
      </w:pPr>
    </w:p>
    <w:p w14:paraId="5B59677A" w14:textId="77777777" w:rsidR="00103B1B" w:rsidRDefault="00103B1B" w:rsidP="00FD69C6">
      <w:pPr>
        <w:jc w:val="center"/>
        <w:rPr>
          <w:rFonts w:ascii="Arial" w:eastAsiaTheme="minorEastAsia" w:hAnsi="Arial" w:cs="Arial"/>
          <w:i/>
          <w:color w:val="000099"/>
          <w:sz w:val="36"/>
          <w:szCs w:val="36"/>
          <w:lang w:eastAsia="pl-PL"/>
        </w:rPr>
      </w:pPr>
    </w:p>
    <w:p w14:paraId="06690D85" w14:textId="54A49AF9" w:rsidR="00421306" w:rsidRDefault="00421306" w:rsidP="00421306">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ZAŁĄCZNIK NR 9</w:t>
      </w:r>
    </w:p>
    <w:p w14:paraId="4F068695" w14:textId="77777777" w:rsidR="00421306" w:rsidRDefault="005B09B9" w:rsidP="00421306">
      <w:pPr>
        <w:spacing w:after="0" w:line="360" w:lineRule="auto"/>
        <w:rPr>
          <w:rFonts w:ascii="Calibri" w:eastAsia="Times New Roman" w:hAnsi="Calibri" w:cs="Times New Roman"/>
          <w:b/>
          <w:color w:val="000099"/>
          <w:sz w:val="36"/>
          <w:szCs w:val="36"/>
        </w:rPr>
      </w:pPr>
      <w:r w:rsidRPr="00421306">
        <w:rPr>
          <w:rFonts w:ascii="Calibri" w:eastAsia="Times New Roman" w:hAnsi="Calibri" w:cs="Times New Roman"/>
          <w:b/>
          <w:color w:val="000099"/>
          <w:sz w:val="36"/>
          <w:szCs w:val="36"/>
        </w:rPr>
        <w:t xml:space="preserve">Lista wskaźników na poziomie projektu </w:t>
      </w:r>
    </w:p>
    <w:p w14:paraId="334E28F9" w14:textId="70E4BC5F" w:rsidR="00136D60" w:rsidRDefault="005B09B9" w:rsidP="00421306">
      <w:pPr>
        <w:spacing w:after="0" w:line="360" w:lineRule="auto"/>
        <w:rPr>
          <w:rFonts w:ascii="Calibri" w:eastAsia="Times New Roman" w:hAnsi="Calibri" w:cs="Times New Roman"/>
          <w:b/>
          <w:sz w:val="44"/>
          <w:szCs w:val="44"/>
        </w:rPr>
      </w:pPr>
      <w:r w:rsidRPr="00421306">
        <w:rPr>
          <w:rFonts w:ascii="Calibri" w:eastAsia="Times New Roman" w:hAnsi="Calibri" w:cs="Times New Roman"/>
          <w:b/>
          <w:color w:val="000099"/>
          <w:sz w:val="36"/>
          <w:szCs w:val="36"/>
        </w:rPr>
        <w:t xml:space="preserve">dla działania </w:t>
      </w:r>
      <w:r w:rsidR="001E14EA" w:rsidRPr="001E14EA">
        <w:rPr>
          <w:rFonts w:ascii="Calibri" w:eastAsia="Times New Roman" w:hAnsi="Calibri" w:cs="Times New Roman"/>
          <w:b/>
          <w:color w:val="000099"/>
          <w:sz w:val="36"/>
          <w:szCs w:val="36"/>
        </w:rPr>
        <w:t>3.1 Mobilność miejska</w:t>
      </w:r>
    </w:p>
    <w:p w14:paraId="326FB9A0" w14:textId="77777777" w:rsidR="00421306" w:rsidRPr="00421306" w:rsidRDefault="00421306" w:rsidP="00421306">
      <w:pPr>
        <w:spacing w:after="0" w:line="360" w:lineRule="auto"/>
        <w:rPr>
          <w:rFonts w:ascii="Calibri" w:eastAsia="Times New Roman" w:hAnsi="Calibri" w:cs="Times New Roman"/>
          <w:b/>
          <w:sz w:val="44"/>
          <w:szCs w:val="44"/>
        </w:rPr>
      </w:pPr>
    </w:p>
    <w:p w14:paraId="76A0830C" w14:textId="77777777" w:rsidR="00421306" w:rsidRPr="00524139" w:rsidRDefault="00421306" w:rsidP="00421306">
      <w:pPr>
        <w:spacing w:after="0" w:line="24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Wersja 1</w:t>
      </w:r>
    </w:p>
    <w:p w14:paraId="3DDEB17B" w14:textId="19212399" w:rsidR="00136D60" w:rsidRPr="00483DA1" w:rsidRDefault="001E14EA" w:rsidP="00421306">
      <w:pPr>
        <w:spacing w:after="0" w:line="360" w:lineRule="auto"/>
        <w:rPr>
          <w:rFonts w:ascii="Arial" w:eastAsiaTheme="minorEastAsia" w:hAnsi="Arial" w:cs="Arial"/>
          <w:sz w:val="18"/>
          <w:szCs w:val="18"/>
          <w:lang w:eastAsia="pl-PL"/>
        </w:rPr>
      </w:pPr>
      <w:r>
        <w:rPr>
          <w:rFonts w:ascii="Calibri" w:eastAsia="Times New Roman" w:hAnsi="Calibri" w:cs="Times New Roman"/>
          <w:b/>
          <w:color w:val="000099"/>
          <w:sz w:val="36"/>
          <w:szCs w:val="36"/>
        </w:rPr>
        <w:t>maj</w:t>
      </w:r>
      <w:r w:rsidR="002B48C2" w:rsidRPr="002B48C2">
        <w:rPr>
          <w:rFonts w:ascii="Calibri" w:eastAsia="Times New Roman" w:hAnsi="Calibri" w:cs="Times New Roman"/>
          <w:b/>
          <w:color w:val="000099"/>
          <w:sz w:val="36"/>
          <w:szCs w:val="36"/>
        </w:rPr>
        <w:t xml:space="preserve"> 2024 r.</w:t>
      </w:r>
      <w:r w:rsidR="00136D60" w:rsidRPr="00421306">
        <w:rPr>
          <w:rFonts w:ascii="Calibri" w:eastAsia="Times New Roman" w:hAnsi="Calibri" w:cs="Times New Roman"/>
          <w:b/>
          <w:sz w:val="44"/>
          <w:szCs w:val="44"/>
        </w:rPr>
        <w:br w:type="page"/>
      </w:r>
    </w:p>
    <w:p w14:paraId="31E4A7F6" w14:textId="77777777" w:rsidR="008E7FF7" w:rsidRDefault="008E7FF7" w:rsidP="00E01179">
      <w:pPr>
        <w:spacing w:after="0"/>
        <w:rPr>
          <w:rFonts w:ascii="Arial" w:eastAsiaTheme="minorEastAsia" w:hAnsi="Arial" w:cs="Arial"/>
          <w:sz w:val="18"/>
          <w:szCs w:val="18"/>
          <w:lang w:eastAsia="pl-PL"/>
        </w:rPr>
      </w:pPr>
    </w:p>
    <w:tbl>
      <w:tblPr>
        <w:tblStyle w:val="Tabela-Siatka"/>
        <w:tblW w:w="14586" w:type="dxa"/>
        <w:tblBorders>
          <w:top w:val="single" w:sz="12" w:space="0" w:color="33CC33"/>
          <w:left w:val="single" w:sz="12" w:space="0" w:color="33CC33"/>
          <w:bottom w:val="single" w:sz="12" w:space="0" w:color="33CC33"/>
          <w:right w:val="single" w:sz="12" w:space="0" w:color="33CC33"/>
          <w:insideH w:val="single" w:sz="4" w:space="0" w:color="33CC33"/>
          <w:insideV w:val="single" w:sz="4" w:space="0" w:color="33CC33"/>
        </w:tblBorders>
        <w:tblLayout w:type="fixed"/>
        <w:tblLook w:val="04A0" w:firstRow="1" w:lastRow="0" w:firstColumn="1" w:lastColumn="0" w:noHBand="0" w:noVBand="1"/>
      </w:tblPr>
      <w:tblGrid>
        <w:gridCol w:w="552"/>
        <w:gridCol w:w="2977"/>
        <w:gridCol w:w="1276"/>
        <w:gridCol w:w="1276"/>
        <w:gridCol w:w="1417"/>
        <w:gridCol w:w="1418"/>
        <w:gridCol w:w="5670"/>
      </w:tblGrid>
      <w:tr w:rsidR="00C4175F" w:rsidRPr="000F4CA9" w14:paraId="1594FAB3" w14:textId="77777777" w:rsidTr="00EA50AF">
        <w:trPr>
          <w:trHeight w:hRule="exact" w:val="839"/>
          <w:tblHeader/>
        </w:trPr>
        <w:tc>
          <w:tcPr>
            <w:tcW w:w="552" w:type="dxa"/>
            <w:tcBorders>
              <w:top w:val="single" w:sz="8" w:space="0" w:color="33CC33"/>
              <w:bottom w:val="single" w:sz="12" w:space="0" w:color="33CC33"/>
              <w:right w:val="single" w:sz="12" w:space="0" w:color="33CC33"/>
            </w:tcBorders>
            <w:shd w:val="clear" w:color="auto" w:fill="F2F2F2"/>
            <w:vAlign w:val="center"/>
          </w:tcPr>
          <w:p w14:paraId="011F2AB0" w14:textId="77777777" w:rsidR="00C4175F" w:rsidRPr="000F4CA9" w:rsidRDefault="00C4175F" w:rsidP="00EA50AF">
            <w:pPr>
              <w:spacing w:before="80" w:after="80"/>
              <w:jc w:val="center"/>
              <w:rPr>
                <w:rFonts w:cstheme="minorHAnsi"/>
                <w:b/>
                <w:color w:val="000099"/>
                <w:sz w:val="24"/>
                <w:szCs w:val="24"/>
              </w:rPr>
            </w:pPr>
            <w:r w:rsidRPr="000F4CA9">
              <w:rPr>
                <w:rFonts w:cstheme="minorHAnsi"/>
                <w:b/>
                <w:color w:val="000099"/>
                <w:sz w:val="24"/>
                <w:szCs w:val="24"/>
              </w:rPr>
              <w:t>Lp.</w:t>
            </w:r>
          </w:p>
        </w:tc>
        <w:tc>
          <w:tcPr>
            <w:tcW w:w="2977"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23B54D8C" w14:textId="77777777" w:rsidR="00C4175F" w:rsidRPr="000F4CA9" w:rsidRDefault="00C4175F" w:rsidP="00EA50AF">
            <w:pPr>
              <w:spacing w:before="80" w:after="80"/>
              <w:jc w:val="center"/>
              <w:rPr>
                <w:rFonts w:cstheme="minorHAnsi"/>
                <w:b/>
                <w:color w:val="000099"/>
                <w:sz w:val="24"/>
                <w:szCs w:val="24"/>
              </w:rPr>
            </w:pPr>
            <w:r w:rsidRPr="000F4CA9">
              <w:rPr>
                <w:rFonts w:cstheme="minorHAnsi"/>
                <w:b/>
                <w:color w:val="000099"/>
                <w:sz w:val="24"/>
                <w:szCs w:val="24"/>
              </w:rPr>
              <w:t>Nazwa wskaźnika</w:t>
            </w:r>
          </w:p>
        </w:tc>
        <w:tc>
          <w:tcPr>
            <w:tcW w:w="1276"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7D6CC2C2" w14:textId="77777777" w:rsidR="00C4175F" w:rsidRPr="000F4CA9" w:rsidRDefault="00C4175F" w:rsidP="00EA50AF">
            <w:pPr>
              <w:spacing w:before="80" w:after="80"/>
              <w:jc w:val="center"/>
              <w:rPr>
                <w:rFonts w:cstheme="minorHAnsi"/>
                <w:b/>
                <w:color w:val="000099"/>
                <w:sz w:val="24"/>
                <w:szCs w:val="24"/>
              </w:rPr>
            </w:pPr>
            <w:r w:rsidRPr="000F4CA9">
              <w:rPr>
                <w:rFonts w:cstheme="minorHAnsi"/>
                <w:b/>
                <w:color w:val="000099"/>
                <w:sz w:val="24"/>
                <w:szCs w:val="24"/>
              </w:rPr>
              <w:t>Jednostka miary</w:t>
            </w:r>
          </w:p>
        </w:tc>
        <w:tc>
          <w:tcPr>
            <w:tcW w:w="1276"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50787C15" w14:textId="77777777" w:rsidR="00C4175F" w:rsidRPr="000F4CA9" w:rsidRDefault="00C4175F" w:rsidP="00EA50AF">
            <w:pPr>
              <w:spacing w:before="80" w:after="80"/>
              <w:jc w:val="center"/>
              <w:rPr>
                <w:rFonts w:cstheme="minorHAnsi"/>
                <w:b/>
                <w:color w:val="000099"/>
                <w:sz w:val="24"/>
                <w:szCs w:val="24"/>
              </w:rPr>
            </w:pPr>
            <w:r w:rsidRPr="000F4CA9">
              <w:rPr>
                <w:rFonts w:cstheme="minorHAnsi"/>
                <w:b/>
                <w:color w:val="000099"/>
                <w:sz w:val="24"/>
                <w:szCs w:val="24"/>
              </w:rPr>
              <w:t>Rodzaj wskaźnika</w:t>
            </w:r>
          </w:p>
        </w:tc>
        <w:tc>
          <w:tcPr>
            <w:tcW w:w="1417"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393D0D91" w14:textId="77777777" w:rsidR="00C4175F" w:rsidRPr="000F4CA9" w:rsidRDefault="00C4175F" w:rsidP="00EA50AF">
            <w:pPr>
              <w:spacing w:before="80" w:after="80"/>
              <w:jc w:val="center"/>
              <w:rPr>
                <w:rFonts w:cstheme="minorHAnsi"/>
                <w:b/>
                <w:color w:val="000099"/>
                <w:sz w:val="24"/>
                <w:szCs w:val="24"/>
              </w:rPr>
            </w:pPr>
            <w:r w:rsidRPr="000F4CA9">
              <w:rPr>
                <w:rFonts w:cstheme="minorHAnsi"/>
                <w:b/>
                <w:color w:val="000099"/>
                <w:sz w:val="24"/>
                <w:szCs w:val="24"/>
              </w:rPr>
              <w:t>Typ wskaźnika</w:t>
            </w:r>
          </w:p>
        </w:tc>
        <w:tc>
          <w:tcPr>
            <w:tcW w:w="1418"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763E48A4" w14:textId="77777777" w:rsidR="00C4175F" w:rsidRPr="000F4CA9" w:rsidRDefault="00C4175F" w:rsidP="00EA50AF">
            <w:pPr>
              <w:spacing w:before="80" w:after="80"/>
              <w:jc w:val="center"/>
              <w:rPr>
                <w:rFonts w:cstheme="minorHAnsi"/>
                <w:b/>
                <w:color w:val="000099"/>
                <w:sz w:val="24"/>
                <w:szCs w:val="24"/>
              </w:rPr>
            </w:pPr>
            <w:r w:rsidRPr="000F4CA9">
              <w:rPr>
                <w:rFonts w:cstheme="minorHAnsi"/>
                <w:b/>
                <w:color w:val="000099"/>
                <w:sz w:val="24"/>
                <w:szCs w:val="24"/>
              </w:rPr>
              <w:t>Inne uwagi</w:t>
            </w:r>
          </w:p>
        </w:tc>
        <w:tc>
          <w:tcPr>
            <w:tcW w:w="5670" w:type="dxa"/>
            <w:tcBorders>
              <w:top w:val="single" w:sz="8" w:space="0" w:color="33CC33"/>
              <w:left w:val="single" w:sz="12" w:space="0" w:color="33CC33"/>
              <w:bottom w:val="single" w:sz="12" w:space="0" w:color="33CC33"/>
            </w:tcBorders>
            <w:shd w:val="clear" w:color="auto" w:fill="F2F2F2"/>
            <w:vAlign w:val="center"/>
          </w:tcPr>
          <w:p w14:paraId="4E75BB08" w14:textId="77777777" w:rsidR="00C4175F" w:rsidRPr="000F4CA9" w:rsidRDefault="00C4175F" w:rsidP="00EA50AF">
            <w:pPr>
              <w:spacing w:before="80" w:after="80"/>
              <w:jc w:val="center"/>
              <w:rPr>
                <w:rFonts w:cstheme="minorHAnsi"/>
                <w:b/>
                <w:color w:val="000099"/>
                <w:sz w:val="24"/>
                <w:szCs w:val="24"/>
              </w:rPr>
            </w:pPr>
            <w:r w:rsidRPr="000F4CA9">
              <w:rPr>
                <w:rFonts w:cstheme="minorHAnsi"/>
                <w:b/>
                <w:color w:val="000099"/>
                <w:sz w:val="24"/>
                <w:szCs w:val="24"/>
              </w:rPr>
              <w:t>Definicja</w:t>
            </w:r>
          </w:p>
        </w:tc>
      </w:tr>
      <w:tr w:rsidR="00C4175F" w:rsidRPr="000F4CA9" w14:paraId="4C516E5E" w14:textId="77777777" w:rsidTr="00EA50AF">
        <w:trPr>
          <w:trHeight w:val="364"/>
        </w:trPr>
        <w:tc>
          <w:tcPr>
            <w:tcW w:w="14586" w:type="dxa"/>
            <w:gridSpan w:val="7"/>
            <w:tcBorders>
              <w:top w:val="single" w:sz="12" w:space="0" w:color="33CC33"/>
              <w:bottom w:val="single" w:sz="12" w:space="0" w:color="33CC33"/>
            </w:tcBorders>
            <w:shd w:val="clear" w:color="auto" w:fill="FFFFFF" w:themeFill="background1"/>
          </w:tcPr>
          <w:p w14:paraId="0F6261DF" w14:textId="77777777" w:rsidR="00C4175F" w:rsidRPr="000F4CA9" w:rsidRDefault="00C4175F" w:rsidP="00EA50AF">
            <w:pPr>
              <w:spacing w:before="80" w:after="80"/>
              <w:rPr>
                <w:rFonts w:cstheme="minorHAnsi"/>
                <w:b/>
                <w:color w:val="000099"/>
                <w:sz w:val="24"/>
                <w:szCs w:val="24"/>
              </w:rPr>
            </w:pPr>
            <w:r w:rsidRPr="000F4CA9">
              <w:rPr>
                <w:rFonts w:cstheme="minorHAnsi"/>
                <w:b/>
                <w:color w:val="000099"/>
                <w:sz w:val="24"/>
                <w:szCs w:val="24"/>
              </w:rPr>
              <w:t>Wskaźniki horyzontalne</w:t>
            </w:r>
          </w:p>
        </w:tc>
      </w:tr>
      <w:tr w:rsidR="00C4175F" w:rsidRPr="000F4CA9" w14:paraId="47B43DFF" w14:textId="77777777" w:rsidTr="00EA50AF">
        <w:tc>
          <w:tcPr>
            <w:tcW w:w="552" w:type="dxa"/>
            <w:tcBorders>
              <w:top w:val="single" w:sz="12" w:space="0" w:color="33CC33"/>
            </w:tcBorders>
            <w:shd w:val="clear" w:color="auto" w:fill="FFFFFF" w:themeFill="background1"/>
            <w:vAlign w:val="center"/>
          </w:tcPr>
          <w:p w14:paraId="6B03FB7D" w14:textId="77777777" w:rsidR="00C4175F" w:rsidRPr="002B30FD" w:rsidRDefault="00C4175F" w:rsidP="00EA50AF">
            <w:pPr>
              <w:spacing w:before="80" w:after="80"/>
              <w:rPr>
                <w:rFonts w:cstheme="minorHAnsi"/>
                <w:sz w:val="20"/>
                <w:szCs w:val="20"/>
              </w:rPr>
            </w:pPr>
            <w:r>
              <w:rPr>
                <w:rFonts w:cstheme="minorHAnsi"/>
                <w:sz w:val="20"/>
                <w:szCs w:val="20"/>
              </w:rPr>
              <w:t>1</w:t>
            </w:r>
            <w:r w:rsidRPr="002B30FD">
              <w:rPr>
                <w:rFonts w:cstheme="minorHAnsi"/>
                <w:sz w:val="20"/>
                <w:szCs w:val="20"/>
              </w:rPr>
              <w:t>.</w:t>
            </w:r>
          </w:p>
        </w:tc>
        <w:tc>
          <w:tcPr>
            <w:tcW w:w="2977" w:type="dxa"/>
            <w:tcBorders>
              <w:top w:val="single" w:sz="12" w:space="0" w:color="33CC33"/>
            </w:tcBorders>
            <w:shd w:val="clear" w:color="auto" w:fill="FFFFFF" w:themeFill="background1"/>
            <w:vAlign w:val="center"/>
          </w:tcPr>
          <w:p w14:paraId="12D3E778" w14:textId="77777777" w:rsidR="00C4175F" w:rsidRPr="004A42D0" w:rsidRDefault="00C4175F" w:rsidP="00EA50AF">
            <w:pPr>
              <w:spacing w:before="80" w:after="80"/>
              <w:rPr>
                <w:rFonts w:cstheme="minorHAnsi"/>
                <w:i/>
                <w:sz w:val="20"/>
                <w:szCs w:val="20"/>
              </w:rPr>
            </w:pPr>
            <w:r w:rsidRPr="004A42D0">
              <w:rPr>
                <w:rFonts w:cstheme="minorHAnsi"/>
                <w:i/>
                <w:color w:val="000000"/>
                <w:sz w:val="20"/>
                <w:szCs w:val="20"/>
              </w:rPr>
              <w:t>Liczba obiektów dostosowanych do potrzeb osób z niepełnosprawnościami</w:t>
            </w:r>
          </w:p>
        </w:tc>
        <w:tc>
          <w:tcPr>
            <w:tcW w:w="1276" w:type="dxa"/>
            <w:tcBorders>
              <w:top w:val="single" w:sz="12" w:space="0" w:color="33CC33"/>
            </w:tcBorders>
            <w:shd w:val="clear" w:color="auto" w:fill="FFFFFF" w:themeFill="background1"/>
            <w:vAlign w:val="center"/>
          </w:tcPr>
          <w:p w14:paraId="6663A036"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szt.</w:t>
            </w:r>
          </w:p>
        </w:tc>
        <w:tc>
          <w:tcPr>
            <w:tcW w:w="1276" w:type="dxa"/>
            <w:tcBorders>
              <w:top w:val="single" w:sz="12" w:space="0" w:color="33CC33"/>
            </w:tcBorders>
            <w:shd w:val="clear" w:color="auto" w:fill="FFFFFF" w:themeFill="background1"/>
            <w:vAlign w:val="center"/>
          </w:tcPr>
          <w:p w14:paraId="17062B9C"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produkt</w:t>
            </w:r>
          </w:p>
        </w:tc>
        <w:tc>
          <w:tcPr>
            <w:tcW w:w="1417" w:type="dxa"/>
            <w:tcBorders>
              <w:top w:val="single" w:sz="12" w:space="0" w:color="33CC33"/>
            </w:tcBorders>
            <w:shd w:val="clear" w:color="auto" w:fill="FFFFFF" w:themeFill="background1"/>
            <w:vAlign w:val="center"/>
          </w:tcPr>
          <w:p w14:paraId="62C3BA0A"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12" w:space="0" w:color="33CC33"/>
            </w:tcBorders>
            <w:shd w:val="clear" w:color="auto" w:fill="FFFFFF" w:themeFill="background1"/>
            <w:vAlign w:val="center"/>
          </w:tcPr>
          <w:p w14:paraId="09C4FE95"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12" w:space="0" w:color="33CC33"/>
            </w:tcBorders>
            <w:shd w:val="clear" w:color="auto" w:fill="FFFFFF" w:themeFill="background1"/>
            <w:vAlign w:val="center"/>
          </w:tcPr>
          <w:p w14:paraId="656751A6" w14:textId="77777777" w:rsidR="00C4175F" w:rsidRPr="002B30FD" w:rsidRDefault="00C4175F" w:rsidP="00EA50AF">
            <w:pPr>
              <w:tabs>
                <w:tab w:val="left" w:pos="3402"/>
                <w:tab w:val="left" w:pos="5103"/>
              </w:tabs>
              <w:spacing w:before="60" w:after="60"/>
              <w:ind w:left="-6"/>
              <w:jc w:val="both"/>
              <w:rPr>
                <w:rFonts w:eastAsia="Times New Roman" w:cstheme="minorHAnsi"/>
                <w:sz w:val="20"/>
                <w:szCs w:val="20"/>
              </w:rPr>
            </w:pPr>
            <w:r w:rsidRPr="002B30FD">
              <w:rPr>
                <w:rFonts w:cstheme="minorHAnsi"/>
                <w:color w:val="000000"/>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r w:rsidR="00C4175F" w:rsidRPr="000F4CA9" w14:paraId="2B8A3A8D" w14:textId="77777777" w:rsidTr="00EA50AF">
        <w:tc>
          <w:tcPr>
            <w:tcW w:w="552" w:type="dxa"/>
            <w:tcBorders>
              <w:top w:val="single" w:sz="12" w:space="0" w:color="33CC33"/>
            </w:tcBorders>
            <w:shd w:val="clear" w:color="auto" w:fill="FFFFFF" w:themeFill="background1"/>
            <w:vAlign w:val="center"/>
          </w:tcPr>
          <w:p w14:paraId="68BB40AB" w14:textId="77777777" w:rsidR="00C4175F" w:rsidRPr="004A42D0" w:rsidRDefault="00C4175F" w:rsidP="00EA50AF">
            <w:pPr>
              <w:spacing w:before="80" w:after="80"/>
              <w:rPr>
                <w:rFonts w:cstheme="minorHAnsi"/>
                <w:sz w:val="20"/>
                <w:szCs w:val="20"/>
              </w:rPr>
            </w:pPr>
            <w:r w:rsidRPr="004A42D0">
              <w:rPr>
                <w:rFonts w:cstheme="minorHAnsi"/>
                <w:sz w:val="20"/>
                <w:szCs w:val="20"/>
              </w:rPr>
              <w:t>2.</w:t>
            </w:r>
          </w:p>
        </w:tc>
        <w:tc>
          <w:tcPr>
            <w:tcW w:w="2977" w:type="dxa"/>
            <w:tcBorders>
              <w:top w:val="single" w:sz="12" w:space="0" w:color="33CC33"/>
            </w:tcBorders>
            <w:shd w:val="clear" w:color="auto" w:fill="FFFFFF" w:themeFill="background1"/>
            <w:vAlign w:val="center"/>
          </w:tcPr>
          <w:p w14:paraId="72ACC293" w14:textId="77777777" w:rsidR="00C4175F" w:rsidRPr="004A42D0" w:rsidRDefault="00C4175F" w:rsidP="00EA50AF">
            <w:pPr>
              <w:spacing w:before="80" w:after="80"/>
              <w:rPr>
                <w:rFonts w:cstheme="minorHAnsi"/>
                <w:i/>
                <w:sz w:val="20"/>
                <w:szCs w:val="20"/>
              </w:rPr>
            </w:pPr>
            <w:r w:rsidRPr="004A42D0">
              <w:rPr>
                <w:rFonts w:cstheme="minorHAnsi"/>
                <w:i/>
                <w:color w:val="000000"/>
                <w:sz w:val="20"/>
                <w:szCs w:val="20"/>
              </w:rPr>
              <w:t xml:space="preserve">Liczba projektów, w których sfinansowano koszty racjonalnych usprawnień dla osób z niepełnosprawnościami </w:t>
            </w:r>
          </w:p>
        </w:tc>
        <w:tc>
          <w:tcPr>
            <w:tcW w:w="1276" w:type="dxa"/>
            <w:tcBorders>
              <w:top w:val="single" w:sz="12" w:space="0" w:color="33CC33"/>
            </w:tcBorders>
            <w:shd w:val="clear" w:color="auto" w:fill="FFFFFF" w:themeFill="background1"/>
            <w:vAlign w:val="center"/>
          </w:tcPr>
          <w:p w14:paraId="68B1752A" w14:textId="77777777" w:rsidR="00C4175F" w:rsidRPr="004A42D0" w:rsidRDefault="00C4175F" w:rsidP="00EA50AF">
            <w:pPr>
              <w:spacing w:before="80" w:after="80"/>
              <w:jc w:val="center"/>
              <w:rPr>
                <w:rFonts w:cstheme="minorHAnsi"/>
                <w:sz w:val="20"/>
                <w:szCs w:val="20"/>
              </w:rPr>
            </w:pPr>
            <w:r w:rsidRPr="004A42D0">
              <w:rPr>
                <w:rFonts w:cstheme="minorHAnsi"/>
                <w:sz w:val="20"/>
                <w:szCs w:val="20"/>
              </w:rPr>
              <w:t>szt.</w:t>
            </w:r>
          </w:p>
        </w:tc>
        <w:tc>
          <w:tcPr>
            <w:tcW w:w="1276" w:type="dxa"/>
            <w:tcBorders>
              <w:top w:val="single" w:sz="12" w:space="0" w:color="33CC33"/>
            </w:tcBorders>
            <w:shd w:val="clear" w:color="auto" w:fill="FFFFFF" w:themeFill="background1"/>
            <w:vAlign w:val="center"/>
          </w:tcPr>
          <w:p w14:paraId="7AE8BE85"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produkt</w:t>
            </w:r>
          </w:p>
        </w:tc>
        <w:tc>
          <w:tcPr>
            <w:tcW w:w="1417" w:type="dxa"/>
            <w:tcBorders>
              <w:top w:val="single" w:sz="12" w:space="0" w:color="33CC33"/>
            </w:tcBorders>
            <w:shd w:val="clear" w:color="auto" w:fill="FFFFFF" w:themeFill="background1"/>
            <w:vAlign w:val="center"/>
          </w:tcPr>
          <w:p w14:paraId="4DE1F498"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12" w:space="0" w:color="33CC33"/>
            </w:tcBorders>
            <w:shd w:val="clear" w:color="auto" w:fill="FFFFFF" w:themeFill="background1"/>
            <w:vAlign w:val="center"/>
          </w:tcPr>
          <w:p w14:paraId="707143DB"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12" w:space="0" w:color="33CC33"/>
            </w:tcBorders>
            <w:shd w:val="clear" w:color="auto" w:fill="FFFFFF" w:themeFill="background1"/>
            <w:vAlign w:val="center"/>
          </w:tcPr>
          <w:p w14:paraId="44452431" w14:textId="77777777" w:rsidR="00C4175F" w:rsidRPr="002B30FD" w:rsidRDefault="00C4175F" w:rsidP="00EA50AF">
            <w:pPr>
              <w:tabs>
                <w:tab w:val="left" w:pos="3402"/>
                <w:tab w:val="left" w:pos="5103"/>
              </w:tabs>
              <w:spacing w:before="60" w:after="60"/>
              <w:ind w:left="-6"/>
              <w:jc w:val="both"/>
              <w:rPr>
                <w:rFonts w:eastAsia="Times New Roman" w:cstheme="minorHAnsi"/>
                <w:sz w:val="20"/>
                <w:szCs w:val="20"/>
              </w:rPr>
            </w:pPr>
            <w:r w:rsidRPr="002B30FD">
              <w:rPr>
                <w:rFonts w:cstheme="minorHAnsi"/>
                <w:color w:val="000000"/>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w:t>
            </w:r>
            <w:r w:rsidRPr="002B30FD">
              <w:rPr>
                <w:rFonts w:cstheme="minorHAnsi"/>
                <w:color w:val="000000"/>
                <w:sz w:val="20"/>
                <w:szCs w:val="20"/>
              </w:rPr>
              <w:lastRenderedPageBreak/>
              <w:t>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r w:rsidR="00C4175F" w:rsidRPr="000F4CA9" w14:paraId="037616D3" w14:textId="77777777" w:rsidTr="00EA50AF">
        <w:trPr>
          <w:trHeight w:hRule="exact" w:val="567"/>
        </w:trPr>
        <w:tc>
          <w:tcPr>
            <w:tcW w:w="14586" w:type="dxa"/>
            <w:gridSpan w:val="7"/>
            <w:tcBorders>
              <w:top w:val="single" w:sz="12" w:space="0" w:color="33CC33"/>
              <w:bottom w:val="single" w:sz="12" w:space="0" w:color="33CC33"/>
            </w:tcBorders>
            <w:shd w:val="clear" w:color="auto" w:fill="D9D9D9" w:themeFill="background1" w:themeFillShade="D9"/>
            <w:vAlign w:val="center"/>
          </w:tcPr>
          <w:p w14:paraId="70F50963" w14:textId="4B9AB8F2" w:rsidR="00C4175F" w:rsidRPr="000F4CA9" w:rsidRDefault="00DC1610" w:rsidP="00EA50AF">
            <w:pPr>
              <w:spacing w:before="80" w:after="80"/>
              <w:rPr>
                <w:rFonts w:cstheme="minorHAnsi"/>
                <w:i/>
                <w:color w:val="000099"/>
                <w:sz w:val="24"/>
                <w:szCs w:val="24"/>
              </w:rPr>
            </w:pPr>
            <w:r>
              <w:rPr>
                <w:rFonts w:cstheme="minorHAnsi"/>
                <w:i/>
                <w:color w:val="000099"/>
                <w:sz w:val="24"/>
                <w:szCs w:val="24"/>
              </w:rPr>
              <w:lastRenderedPageBreak/>
              <w:t>Priorytet</w:t>
            </w:r>
            <w:r w:rsidR="00C4175F">
              <w:rPr>
                <w:rFonts w:cstheme="minorHAnsi"/>
                <w:i/>
                <w:color w:val="000099"/>
                <w:sz w:val="24"/>
                <w:szCs w:val="24"/>
              </w:rPr>
              <w:t xml:space="preserve"> </w:t>
            </w:r>
            <w:r w:rsidR="0075612E">
              <w:rPr>
                <w:rFonts w:cstheme="minorHAnsi"/>
                <w:i/>
                <w:color w:val="000099"/>
                <w:sz w:val="24"/>
                <w:szCs w:val="24"/>
              </w:rPr>
              <w:t>III</w:t>
            </w:r>
            <w:r w:rsidR="0075612E" w:rsidRPr="000F4CA9">
              <w:rPr>
                <w:rFonts w:cstheme="minorHAnsi"/>
                <w:i/>
                <w:color w:val="000099"/>
                <w:sz w:val="24"/>
                <w:szCs w:val="24"/>
              </w:rPr>
              <w:t xml:space="preserve"> </w:t>
            </w:r>
            <w:r w:rsidR="0075612E" w:rsidRPr="00DC1610">
              <w:rPr>
                <w:rFonts w:cstheme="minorHAnsi"/>
                <w:b/>
                <w:i/>
                <w:color w:val="000099"/>
                <w:sz w:val="24"/>
                <w:szCs w:val="24"/>
              </w:rPr>
              <w:t>Fundusze</w:t>
            </w:r>
            <w:r w:rsidRPr="00DC1610">
              <w:rPr>
                <w:rFonts w:cstheme="minorHAnsi"/>
                <w:b/>
                <w:i/>
                <w:color w:val="000099"/>
                <w:sz w:val="24"/>
                <w:szCs w:val="24"/>
              </w:rPr>
              <w:t xml:space="preserve"> Europejskie na zrównoważony transport miejski województwa opolskiego</w:t>
            </w:r>
          </w:p>
        </w:tc>
      </w:tr>
      <w:tr w:rsidR="00C4175F" w:rsidRPr="000F4CA9" w14:paraId="5FC282D9" w14:textId="77777777" w:rsidTr="00EA50AF">
        <w:trPr>
          <w:trHeight w:hRule="exact" w:val="567"/>
        </w:trPr>
        <w:tc>
          <w:tcPr>
            <w:tcW w:w="14586" w:type="dxa"/>
            <w:gridSpan w:val="7"/>
            <w:tcBorders>
              <w:top w:val="single" w:sz="12" w:space="0" w:color="33CC33"/>
              <w:bottom w:val="single" w:sz="12" w:space="0" w:color="33CC33"/>
            </w:tcBorders>
            <w:shd w:val="clear" w:color="auto" w:fill="EAF1DD"/>
            <w:vAlign w:val="center"/>
          </w:tcPr>
          <w:p w14:paraId="645659DE" w14:textId="2482B3BA" w:rsidR="00C4175F" w:rsidRPr="000F4CA9" w:rsidRDefault="00C4175F" w:rsidP="00EA50AF">
            <w:pPr>
              <w:spacing w:before="80" w:after="80"/>
              <w:rPr>
                <w:rFonts w:cstheme="minorHAnsi"/>
                <w:i/>
                <w:color w:val="000099"/>
                <w:sz w:val="24"/>
                <w:szCs w:val="24"/>
              </w:rPr>
            </w:pPr>
            <w:r>
              <w:rPr>
                <w:rFonts w:cstheme="minorHAnsi"/>
                <w:i/>
                <w:color w:val="000099"/>
                <w:sz w:val="24"/>
                <w:szCs w:val="24"/>
              </w:rPr>
              <w:t>Działanie 3.1</w:t>
            </w:r>
            <w:r w:rsidRPr="000F4CA9">
              <w:rPr>
                <w:rFonts w:cstheme="minorHAnsi"/>
                <w:i/>
                <w:color w:val="000099"/>
                <w:sz w:val="24"/>
                <w:szCs w:val="24"/>
              </w:rPr>
              <w:t xml:space="preserve"> Mobilność</w:t>
            </w:r>
            <w:r>
              <w:rPr>
                <w:rFonts w:cstheme="minorHAnsi"/>
                <w:i/>
                <w:color w:val="000099"/>
                <w:sz w:val="24"/>
                <w:szCs w:val="24"/>
              </w:rPr>
              <w:t xml:space="preserve"> miejska</w:t>
            </w:r>
          </w:p>
        </w:tc>
      </w:tr>
      <w:tr w:rsidR="00C4175F" w:rsidRPr="000F4CA9" w14:paraId="0B40B9F7" w14:textId="77777777" w:rsidTr="00EA50AF">
        <w:trPr>
          <w:trHeight w:val="1041"/>
        </w:trPr>
        <w:tc>
          <w:tcPr>
            <w:tcW w:w="552" w:type="dxa"/>
            <w:tcBorders>
              <w:top w:val="single" w:sz="12" w:space="0" w:color="33CC33"/>
            </w:tcBorders>
            <w:vAlign w:val="center"/>
          </w:tcPr>
          <w:p w14:paraId="44229992" w14:textId="77777777" w:rsidR="00C4175F" w:rsidRPr="005E63FE" w:rsidRDefault="00C4175F" w:rsidP="00EA50AF">
            <w:pPr>
              <w:spacing w:before="60" w:after="60"/>
              <w:rPr>
                <w:rFonts w:cstheme="minorHAnsi"/>
                <w:sz w:val="20"/>
                <w:szCs w:val="20"/>
                <w:highlight w:val="yellow"/>
              </w:rPr>
            </w:pPr>
            <w:r w:rsidRPr="00741B92">
              <w:rPr>
                <w:rFonts w:cstheme="minorHAnsi"/>
                <w:sz w:val="20"/>
                <w:szCs w:val="20"/>
              </w:rPr>
              <w:t>1.</w:t>
            </w:r>
          </w:p>
        </w:tc>
        <w:tc>
          <w:tcPr>
            <w:tcW w:w="2977" w:type="dxa"/>
            <w:tcBorders>
              <w:top w:val="single" w:sz="12" w:space="0" w:color="33CC33"/>
            </w:tcBorders>
            <w:vAlign w:val="center"/>
          </w:tcPr>
          <w:p w14:paraId="7E6A4E9A" w14:textId="77777777" w:rsidR="00C4175F" w:rsidRPr="005E63FE" w:rsidRDefault="00C4175F" w:rsidP="00EA50AF">
            <w:pPr>
              <w:spacing w:before="60" w:after="60"/>
              <w:rPr>
                <w:rFonts w:eastAsia="Times New Roman" w:cstheme="minorHAnsi"/>
                <w:i/>
                <w:color w:val="000000"/>
                <w:sz w:val="20"/>
                <w:szCs w:val="20"/>
                <w:highlight w:val="yellow"/>
              </w:rPr>
            </w:pPr>
            <w:r w:rsidRPr="00741B92">
              <w:rPr>
                <w:rFonts w:eastAsia="Times New Roman" w:cstheme="minorHAnsi"/>
                <w:i/>
                <w:color w:val="000000"/>
                <w:sz w:val="20"/>
                <w:szCs w:val="20"/>
              </w:rPr>
              <w:t>Liczba wspartych zintegrowanych węzłów przesiadkowych</w:t>
            </w:r>
          </w:p>
        </w:tc>
        <w:tc>
          <w:tcPr>
            <w:tcW w:w="1276" w:type="dxa"/>
            <w:tcBorders>
              <w:top w:val="single" w:sz="12" w:space="0" w:color="33CC33"/>
            </w:tcBorders>
            <w:vAlign w:val="center"/>
          </w:tcPr>
          <w:p w14:paraId="4F565E9C" w14:textId="77777777" w:rsidR="00C4175F" w:rsidRPr="002B30FD" w:rsidRDefault="00C4175F" w:rsidP="00EA50AF">
            <w:pPr>
              <w:spacing w:before="60" w:after="60"/>
              <w:jc w:val="center"/>
              <w:rPr>
                <w:rFonts w:eastAsia="Times New Roman" w:cstheme="minorHAnsi"/>
                <w:sz w:val="20"/>
                <w:szCs w:val="20"/>
              </w:rPr>
            </w:pPr>
            <w:r>
              <w:rPr>
                <w:rFonts w:cstheme="minorHAnsi"/>
                <w:sz w:val="20"/>
                <w:szCs w:val="20"/>
              </w:rPr>
              <w:t>Szt.</w:t>
            </w:r>
          </w:p>
        </w:tc>
        <w:tc>
          <w:tcPr>
            <w:tcW w:w="1276" w:type="dxa"/>
            <w:tcBorders>
              <w:top w:val="single" w:sz="12" w:space="0" w:color="33CC33"/>
            </w:tcBorders>
            <w:vAlign w:val="center"/>
          </w:tcPr>
          <w:p w14:paraId="3F785978" w14:textId="77777777" w:rsidR="00C4175F" w:rsidRPr="00F83E41" w:rsidRDefault="00C4175F" w:rsidP="00EA50AF">
            <w:pPr>
              <w:spacing w:before="60" w:after="60"/>
              <w:jc w:val="center"/>
              <w:rPr>
                <w:rFonts w:cstheme="minorHAnsi"/>
                <w:sz w:val="20"/>
                <w:szCs w:val="20"/>
                <w:highlight w:val="yellow"/>
              </w:rPr>
            </w:pPr>
            <w:r w:rsidRPr="00C2323D">
              <w:rPr>
                <w:rFonts w:cstheme="minorHAnsi"/>
                <w:sz w:val="20"/>
                <w:szCs w:val="20"/>
              </w:rPr>
              <w:t>produkt</w:t>
            </w:r>
          </w:p>
        </w:tc>
        <w:tc>
          <w:tcPr>
            <w:tcW w:w="1417" w:type="dxa"/>
            <w:tcBorders>
              <w:top w:val="single" w:sz="12" w:space="0" w:color="33CC33"/>
            </w:tcBorders>
            <w:vAlign w:val="center"/>
          </w:tcPr>
          <w:p w14:paraId="070D1F6C" w14:textId="77777777" w:rsidR="00C4175F" w:rsidRPr="002B30FD" w:rsidRDefault="00C4175F" w:rsidP="00EA50AF">
            <w:pPr>
              <w:spacing w:before="60" w:after="60"/>
              <w:jc w:val="center"/>
              <w:rPr>
                <w:rFonts w:cstheme="minorHAnsi"/>
                <w:sz w:val="20"/>
                <w:szCs w:val="20"/>
              </w:rPr>
            </w:pPr>
            <w:r>
              <w:rPr>
                <w:rFonts w:cstheme="minorHAnsi"/>
                <w:sz w:val="20"/>
                <w:szCs w:val="20"/>
              </w:rPr>
              <w:t>kluczowy</w:t>
            </w:r>
          </w:p>
        </w:tc>
        <w:tc>
          <w:tcPr>
            <w:tcW w:w="1418" w:type="dxa"/>
            <w:tcBorders>
              <w:top w:val="single" w:sz="12" w:space="0" w:color="33CC33"/>
            </w:tcBorders>
            <w:vAlign w:val="center"/>
          </w:tcPr>
          <w:p w14:paraId="1D7B2902" w14:textId="77777777" w:rsidR="00C4175F" w:rsidRPr="002B30FD" w:rsidRDefault="00C4175F" w:rsidP="00EA50AF">
            <w:pPr>
              <w:spacing w:before="60" w:after="60"/>
              <w:jc w:val="center"/>
              <w:rPr>
                <w:rFonts w:cstheme="minorHAnsi"/>
                <w:sz w:val="20"/>
                <w:szCs w:val="20"/>
              </w:rPr>
            </w:pPr>
            <w:r>
              <w:rPr>
                <w:rFonts w:cstheme="minorHAnsi"/>
                <w:sz w:val="20"/>
                <w:szCs w:val="20"/>
              </w:rPr>
              <w:t>Agregat wskaźników nr 2 i 3</w:t>
            </w:r>
          </w:p>
        </w:tc>
        <w:tc>
          <w:tcPr>
            <w:tcW w:w="5670" w:type="dxa"/>
            <w:tcBorders>
              <w:top w:val="single" w:sz="12" w:space="0" w:color="33CC33"/>
            </w:tcBorders>
            <w:vAlign w:val="center"/>
          </w:tcPr>
          <w:p w14:paraId="18E1031A" w14:textId="77777777" w:rsidR="00C4175F" w:rsidRPr="002B30FD" w:rsidRDefault="00C4175F" w:rsidP="00EA50AF">
            <w:pPr>
              <w:spacing w:before="60" w:after="60"/>
              <w:jc w:val="both"/>
              <w:rPr>
                <w:rFonts w:cstheme="minorHAnsi"/>
                <w:sz w:val="20"/>
                <w:szCs w:val="20"/>
              </w:rPr>
            </w:pPr>
            <w:r w:rsidRPr="00741B92">
              <w:rPr>
                <w:rFonts w:cstheme="minorHAnsi"/>
                <w:sz w:val="20"/>
                <w:szCs w:val="20"/>
              </w:rPr>
              <w:t xml:space="preserve">Wskaźnik mierzy liczbę wybudowanych, przebudowanych i rozbudowanych zintegrowanych węzłów przesiadkowych zapewniających możliwość przesiadania się pomiędzy środkami transportu publicznego lub pomiędzy systemami transportu publicznego i indywidualnego.   Zintegrowany węzeł przesiadkowy –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 (art. 4 ust. 1 pkt 27 ustawy z dnia 16 grudnia </w:t>
            </w:r>
            <w:r w:rsidRPr="00741B92">
              <w:rPr>
                <w:rFonts w:cstheme="minorHAnsi"/>
                <w:sz w:val="20"/>
                <w:szCs w:val="20"/>
              </w:rPr>
              <w:lastRenderedPageBreak/>
              <w:t>2010 r. o publicznym transporcie zbiorowym).   Publiczny transport zbiorowy – powszechnie dostępny regularny przewóz osób wykonywany w określonych odstępach czasu i po określonej linii komunikacyjnej, liniach komunikacyjnych lub sieci komunikacyjnej (art. 4 ust. 1 pkt 14 ustawy z dnia 16 grudnia 2010 r. o publicznym transporcie zbiorowym).</w:t>
            </w:r>
          </w:p>
        </w:tc>
      </w:tr>
      <w:tr w:rsidR="00C4175F" w:rsidRPr="000F4CA9" w14:paraId="13D4D0C2" w14:textId="77777777" w:rsidTr="00EA50AF">
        <w:trPr>
          <w:trHeight w:val="1133"/>
        </w:trPr>
        <w:tc>
          <w:tcPr>
            <w:tcW w:w="552" w:type="dxa"/>
            <w:vAlign w:val="center"/>
          </w:tcPr>
          <w:p w14:paraId="4D2AF113" w14:textId="77777777" w:rsidR="00C4175F" w:rsidRPr="005E63FE" w:rsidRDefault="00C4175F" w:rsidP="00EA50AF">
            <w:pPr>
              <w:spacing w:before="60" w:after="60"/>
              <w:rPr>
                <w:rFonts w:cstheme="minorHAnsi"/>
                <w:sz w:val="20"/>
                <w:szCs w:val="20"/>
                <w:highlight w:val="yellow"/>
              </w:rPr>
            </w:pPr>
            <w:r w:rsidRPr="00741B92">
              <w:rPr>
                <w:rFonts w:cstheme="minorHAnsi"/>
                <w:sz w:val="20"/>
                <w:szCs w:val="20"/>
              </w:rPr>
              <w:lastRenderedPageBreak/>
              <w:t>2.</w:t>
            </w:r>
          </w:p>
        </w:tc>
        <w:tc>
          <w:tcPr>
            <w:tcW w:w="2977" w:type="dxa"/>
            <w:vAlign w:val="center"/>
          </w:tcPr>
          <w:p w14:paraId="036F5686" w14:textId="77777777" w:rsidR="00C4175F" w:rsidRPr="005E63FE" w:rsidRDefault="00C4175F" w:rsidP="00EA50AF">
            <w:pPr>
              <w:spacing w:before="60" w:after="60"/>
              <w:rPr>
                <w:rFonts w:eastAsia="Times New Roman" w:cstheme="minorHAnsi"/>
                <w:i/>
                <w:sz w:val="20"/>
                <w:szCs w:val="20"/>
                <w:highlight w:val="yellow"/>
              </w:rPr>
            </w:pPr>
            <w:r w:rsidRPr="00741B92">
              <w:rPr>
                <w:rFonts w:eastAsia="Times New Roman" w:cstheme="minorHAnsi"/>
                <w:i/>
                <w:sz w:val="20"/>
                <w:szCs w:val="20"/>
              </w:rPr>
              <w:t>Liczba wybudowanych zintegrowanych węzłów przesiadkowych</w:t>
            </w:r>
          </w:p>
        </w:tc>
        <w:tc>
          <w:tcPr>
            <w:tcW w:w="1276" w:type="dxa"/>
            <w:vAlign w:val="center"/>
          </w:tcPr>
          <w:p w14:paraId="61570661" w14:textId="77777777" w:rsidR="00C4175F" w:rsidRPr="002B30FD" w:rsidRDefault="00C4175F" w:rsidP="00EA50AF">
            <w:pPr>
              <w:spacing w:before="60" w:after="60"/>
              <w:jc w:val="center"/>
              <w:rPr>
                <w:rFonts w:eastAsia="Times New Roman" w:cstheme="minorHAnsi"/>
                <w:sz w:val="20"/>
                <w:szCs w:val="20"/>
              </w:rPr>
            </w:pPr>
            <w:r w:rsidRPr="002B30FD">
              <w:rPr>
                <w:rFonts w:cstheme="minorHAnsi"/>
                <w:sz w:val="20"/>
                <w:szCs w:val="20"/>
              </w:rPr>
              <w:t>szt.</w:t>
            </w:r>
          </w:p>
        </w:tc>
        <w:tc>
          <w:tcPr>
            <w:tcW w:w="1276" w:type="dxa"/>
            <w:vAlign w:val="center"/>
          </w:tcPr>
          <w:p w14:paraId="629C9DD0" w14:textId="77777777" w:rsidR="00C4175F" w:rsidRPr="00C2323D" w:rsidRDefault="00C4175F" w:rsidP="00EA50AF">
            <w:pPr>
              <w:spacing w:before="60" w:after="60"/>
              <w:jc w:val="center"/>
              <w:rPr>
                <w:rFonts w:cstheme="minorHAnsi"/>
                <w:sz w:val="20"/>
                <w:szCs w:val="20"/>
              </w:rPr>
            </w:pPr>
            <w:r w:rsidRPr="00C2323D">
              <w:rPr>
                <w:rFonts w:cstheme="minorHAnsi"/>
                <w:sz w:val="20"/>
                <w:szCs w:val="20"/>
              </w:rPr>
              <w:t>produkt</w:t>
            </w:r>
          </w:p>
        </w:tc>
        <w:tc>
          <w:tcPr>
            <w:tcW w:w="1417" w:type="dxa"/>
            <w:vAlign w:val="center"/>
          </w:tcPr>
          <w:p w14:paraId="2D5F27F4"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kluczowy</w:t>
            </w:r>
          </w:p>
        </w:tc>
        <w:tc>
          <w:tcPr>
            <w:tcW w:w="1418" w:type="dxa"/>
            <w:vAlign w:val="center"/>
          </w:tcPr>
          <w:p w14:paraId="368C8AFE"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w:t>
            </w:r>
          </w:p>
        </w:tc>
        <w:tc>
          <w:tcPr>
            <w:tcW w:w="5670" w:type="dxa"/>
            <w:vAlign w:val="center"/>
          </w:tcPr>
          <w:p w14:paraId="48BCF376" w14:textId="77777777" w:rsidR="00C4175F" w:rsidRPr="002B30FD" w:rsidRDefault="00C4175F" w:rsidP="00EA50AF">
            <w:pPr>
              <w:spacing w:before="60" w:after="60"/>
              <w:jc w:val="both"/>
              <w:rPr>
                <w:rFonts w:cstheme="minorHAnsi"/>
                <w:sz w:val="20"/>
                <w:szCs w:val="20"/>
              </w:rPr>
            </w:pPr>
            <w:r w:rsidRPr="00741B92">
              <w:rPr>
                <w:rFonts w:cstheme="minorHAnsi"/>
                <w:sz w:val="20"/>
                <w:szCs w:val="20"/>
              </w:rPr>
              <w:t>Wskaźnik mierzy liczbę wybudowanych zintegrowanych węzłów przesiadkowych zapewniających możliwość przesiadania się pomiędzy środkami transportu publicznego lub pomiędzy systemami transportu publicznego i indywidualnego.   Budowa zintegrowanego węzła przesiadkowego – budowa zintegrowanego węzła przesiadkowego od podstaw, odbudowa nieczynnego lub rozbudowa istniejącego węzła niespełniającego definicji węzła zintegrowanego.   Zintegrowany węzeł przesiadkowy –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 (art. 4 ust. 1 pkt 27 ustawy z dnia 16 grudnia 2010 r. o publicznym transporcie zbiorowym).   Publiczny transport zbiorowy – powszechnie dostępny regularny przewóz osób wykonywany w określonych odstępach czasu i po określonej linii komunikacyjnej, liniach komunikacyjnych lub sieci komunikacyjnej (art. 4 ust. 1 pkt 14 ustawy z dnia 16 grudnia 2010 r. o publicznym transporcie zbiorowym).</w:t>
            </w:r>
          </w:p>
        </w:tc>
      </w:tr>
      <w:tr w:rsidR="00C4175F" w:rsidRPr="000F4CA9" w14:paraId="6C23AE6C" w14:textId="77777777" w:rsidTr="00EA50AF">
        <w:trPr>
          <w:trHeight w:val="767"/>
        </w:trPr>
        <w:tc>
          <w:tcPr>
            <w:tcW w:w="552" w:type="dxa"/>
            <w:tcBorders>
              <w:top w:val="single" w:sz="4" w:space="0" w:color="92D050"/>
              <w:bottom w:val="single" w:sz="4" w:space="0" w:color="33CC33"/>
            </w:tcBorders>
            <w:vAlign w:val="center"/>
          </w:tcPr>
          <w:p w14:paraId="6659629D" w14:textId="77777777" w:rsidR="00C4175F" w:rsidRPr="002B30FD" w:rsidRDefault="00C4175F" w:rsidP="00EA50AF">
            <w:pPr>
              <w:spacing w:before="60" w:after="60"/>
              <w:rPr>
                <w:rFonts w:cstheme="minorHAnsi"/>
                <w:sz w:val="20"/>
                <w:szCs w:val="20"/>
              </w:rPr>
            </w:pPr>
            <w:r>
              <w:rPr>
                <w:rFonts w:cstheme="minorHAnsi"/>
                <w:sz w:val="20"/>
                <w:szCs w:val="20"/>
              </w:rPr>
              <w:t>3</w:t>
            </w:r>
            <w:r w:rsidRPr="002B30FD">
              <w:rPr>
                <w:rFonts w:cstheme="minorHAnsi"/>
                <w:sz w:val="20"/>
                <w:szCs w:val="20"/>
              </w:rPr>
              <w:t>.</w:t>
            </w:r>
          </w:p>
        </w:tc>
        <w:tc>
          <w:tcPr>
            <w:tcW w:w="2977" w:type="dxa"/>
            <w:tcBorders>
              <w:top w:val="single" w:sz="4" w:space="0" w:color="33CC33"/>
              <w:bottom w:val="single" w:sz="4" w:space="0" w:color="33CC33"/>
            </w:tcBorders>
            <w:vAlign w:val="center"/>
          </w:tcPr>
          <w:p w14:paraId="0E290D76" w14:textId="77777777" w:rsidR="00C4175F" w:rsidRPr="002B30FD" w:rsidRDefault="00C4175F" w:rsidP="00EA50AF">
            <w:pPr>
              <w:spacing w:before="60" w:after="60"/>
              <w:rPr>
                <w:rFonts w:cstheme="minorHAnsi"/>
                <w:i/>
                <w:color w:val="000000"/>
                <w:sz w:val="20"/>
                <w:szCs w:val="20"/>
              </w:rPr>
            </w:pPr>
            <w:r w:rsidRPr="00741B92">
              <w:rPr>
                <w:rFonts w:cstheme="minorHAnsi"/>
                <w:i/>
                <w:color w:val="000000"/>
                <w:sz w:val="20"/>
                <w:szCs w:val="20"/>
              </w:rPr>
              <w:t>Liczba przebudowanych i rozbudowanych zintegrowanych węzłów przesiadkowych</w:t>
            </w:r>
          </w:p>
        </w:tc>
        <w:tc>
          <w:tcPr>
            <w:tcW w:w="1276" w:type="dxa"/>
            <w:tcBorders>
              <w:top w:val="single" w:sz="4" w:space="0" w:color="33CC33"/>
              <w:bottom w:val="single" w:sz="4" w:space="0" w:color="33CC33"/>
            </w:tcBorders>
            <w:vAlign w:val="center"/>
          </w:tcPr>
          <w:p w14:paraId="57F614F9" w14:textId="77777777" w:rsidR="00C4175F" w:rsidRPr="002B30FD" w:rsidRDefault="00C4175F" w:rsidP="00EA50AF">
            <w:pPr>
              <w:spacing w:before="60" w:after="60"/>
              <w:jc w:val="center"/>
              <w:rPr>
                <w:rFonts w:eastAsia="Times New Roman" w:cstheme="minorHAnsi"/>
                <w:sz w:val="20"/>
                <w:szCs w:val="20"/>
              </w:rPr>
            </w:pPr>
            <w:r w:rsidRPr="002B30FD">
              <w:rPr>
                <w:rFonts w:cstheme="minorHAnsi"/>
                <w:sz w:val="20"/>
                <w:szCs w:val="20"/>
              </w:rPr>
              <w:t>szt.</w:t>
            </w:r>
          </w:p>
        </w:tc>
        <w:tc>
          <w:tcPr>
            <w:tcW w:w="1276" w:type="dxa"/>
            <w:tcBorders>
              <w:top w:val="single" w:sz="4" w:space="0" w:color="33CC33"/>
              <w:bottom w:val="single" w:sz="4" w:space="0" w:color="33CC33"/>
            </w:tcBorders>
            <w:vAlign w:val="center"/>
          </w:tcPr>
          <w:p w14:paraId="168F7BA3" w14:textId="77777777" w:rsidR="00C4175F" w:rsidRPr="00C2323D" w:rsidRDefault="00C4175F" w:rsidP="00EA50AF">
            <w:pPr>
              <w:spacing w:before="60" w:after="60"/>
              <w:jc w:val="center"/>
              <w:rPr>
                <w:rFonts w:cstheme="minorHAnsi"/>
                <w:sz w:val="20"/>
                <w:szCs w:val="20"/>
              </w:rPr>
            </w:pPr>
            <w:r w:rsidRPr="00C2323D">
              <w:rPr>
                <w:rFonts w:cstheme="minorHAnsi"/>
                <w:sz w:val="20"/>
                <w:szCs w:val="20"/>
              </w:rPr>
              <w:t>produkt</w:t>
            </w:r>
          </w:p>
        </w:tc>
        <w:tc>
          <w:tcPr>
            <w:tcW w:w="1417" w:type="dxa"/>
            <w:tcBorders>
              <w:top w:val="single" w:sz="4" w:space="0" w:color="33CC33"/>
              <w:bottom w:val="single" w:sz="4" w:space="0" w:color="33CC33"/>
            </w:tcBorders>
            <w:vAlign w:val="center"/>
          </w:tcPr>
          <w:p w14:paraId="1986D444"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kluczowy</w:t>
            </w:r>
          </w:p>
        </w:tc>
        <w:tc>
          <w:tcPr>
            <w:tcW w:w="1418" w:type="dxa"/>
            <w:tcBorders>
              <w:top w:val="single" w:sz="4" w:space="0" w:color="33CC33"/>
              <w:bottom w:val="single" w:sz="4" w:space="0" w:color="33CC33"/>
            </w:tcBorders>
            <w:vAlign w:val="center"/>
          </w:tcPr>
          <w:p w14:paraId="6489E315"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w:t>
            </w:r>
          </w:p>
        </w:tc>
        <w:tc>
          <w:tcPr>
            <w:tcW w:w="5670" w:type="dxa"/>
            <w:tcBorders>
              <w:top w:val="single" w:sz="4" w:space="0" w:color="33CC33"/>
              <w:bottom w:val="single" w:sz="4" w:space="0" w:color="33CC33"/>
            </w:tcBorders>
            <w:vAlign w:val="center"/>
          </w:tcPr>
          <w:p w14:paraId="18D9872E" w14:textId="77777777" w:rsidR="00C4175F" w:rsidRPr="002B30FD" w:rsidRDefault="00C4175F" w:rsidP="00EA50AF">
            <w:pPr>
              <w:spacing w:before="60" w:after="60"/>
              <w:jc w:val="both"/>
              <w:rPr>
                <w:rFonts w:cstheme="minorHAnsi"/>
                <w:sz w:val="20"/>
                <w:szCs w:val="20"/>
              </w:rPr>
            </w:pPr>
            <w:r w:rsidRPr="00741B92">
              <w:rPr>
                <w:rFonts w:cstheme="minorHAnsi"/>
                <w:sz w:val="20"/>
                <w:szCs w:val="20"/>
              </w:rPr>
              <w:t xml:space="preserve">Wskaźnik mierzy liczbę przebudowanych zintegrowanych węzłów przesiadkowych zapewniających możliwość przesiadania się pomiędzy środkami transportu publicznego lub pomiędzy systemami transportu publicznego i indywidualnego.   Zgodnie  z Prawem Budowlanym przebudowa to wykonywanie robót </w:t>
            </w:r>
            <w:r w:rsidRPr="00741B92">
              <w:rPr>
                <w:rFonts w:cstheme="minorHAnsi"/>
                <w:sz w:val="20"/>
                <w:szCs w:val="20"/>
              </w:rPr>
              <w:lastRenderedPageBreak/>
              <w:t>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 - Wskaźnik obejmuje także modernizację węzłów przesiadkowych.   Zintegrowany węzeł przesiadkowy –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 (art. 4 ust. 1 pkt 27 ustawy z dnia 16 grudnia 2010 r. o publicznym transporcie zbiorowym).   Publiczny transport zbiorowy – powszechnie dostępny regularny przewóz osób wykonywany w określonych odstępach czasu i po określonej linii komunikacyjnej, liniach komunikacyjnych lub sieci komunikacyjnej (art. 4 ust. 1 pkt 14 ustawy z dnia 16 grudnia 2010 r. o publicznym transporcie zbiorowym).</w:t>
            </w:r>
          </w:p>
        </w:tc>
      </w:tr>
      <w:tr w:rsidR="00C4175F" w:rsidRPr="000F4CA9" w14:paraId="578FDB7D" w14:textId="77777777" w:rsidTr="00EA50AF">
        <w:tc>
          <w:tcPr>
            <w:tcW w:w="552" w:type="dxa"/>
            <w:tcBorders>
              <w:top w:val="single" w:sz="4" w:space="0" w:color="33CC33"/>
              <w:bottom w:val="single" w:sz="4" w:space="0" w:color="33CC33"/>
            </w:tcBorders>
            <w:vAlign w:val="center"/>
          </w:tcPr>
          <w:p w14:paraId="2FE766B6" w14:textId="77777777" w:rsidR="00C4175F" w:rsidRPr="002B30FD" w:rsidRDefault="00C4175F" w:rsidP="00EA50AF">
            <w:pPr>
              <w:spacing w:before="60" w:after="60"/>
              <w:rPr>
                <w:rFonts w:cstheme="minorHAnsi"/>
                <w:sz w:val="20"/>
                <w:szCs w:val="20"/>
              </w:rPr>
            </w:pPr>
            <w:r>
              <w:rPr>
                <w:rFonts w:cstheme="minorHAnsi"/>
                <w:sz w:val="20"/>
                <w:szCs w:val="20"/>
              </w:rPr>
              <w:lastRenderedPageBreak/>
              <w:t>4</w:t>
            </w:r>
            <w:r w:rsidRPr="002B30FD">
              <w:rPr>
                <w:rFonts w:cstheme="minorHAnsi"/>
                <w:sz w:val="20"/>
                <w:szCs w:val="20"/>
              </w:rPr>
              <w:t>.</w:t>
            </w:r>
          </w:p>
        </w:tc>
        <w:tc>
          <w:tcPr>
            <w:tcW w:w="2977" w:type="dxa"/>
            <w:tcBorders>
              <w:top w:val="single" w:sz="4" w:space="0" w:color="33CC33"/>
              <w:bottom w:val="single" w:sz="4" w:space="0" w:color="33CC33"/>
            </w:tcBorders>
            <w:vAlign w:val="center"/>
          </w:tcPr>
          <w:p w14:paraId="5B5C2929" w14:textId="77777777" w:rsidR="00C4175F" w:rsidRPr="002B30FD" w:rsidRDefault="00C4175F" w:rsidP="00EA50AF">
            <w:pPr>
              <w:spacing w:before="60" w:after="60"/>
              <w:rPr>
                <w:rFonts w:cstheme="minorHAnsi"/>
                <w:i/>
                <w:color w:val="000000"/>
                <w:sz w:val="20"/>
                <w:szCs w:val="20"/>
              </w:rPr>
            </w:pPr>
            <w:r w:rsidRPr="00741B92">
              <w:rPr>
                <w:rFonts w:cstheme="minorHAnsi"/>
                <w:i/>
                <w:color w:val="000000"/>
                <w:sz w:val="20"/>
                <w:szCs w:val="20"/>
              </w:rPr>
              <w:t>Liczba zakupionych jednostek taboru pasażerskiego w publicznym transporcie zbiorowym komunikacji miejskiej i metropolitarnej</w:t>
            </w:r>
          </w:p>
        </w:tc>
        <w:tc>
          <w:tcPr>
            <w:tcW w:w="1276" w:type="dxa"/>
            <w:tcBorders>
              <w:top w:val="single" w:sz="4" w:space="0" w:color="33CC33"/>
              <w:bottom w:val="single" w:sz="4" w:space="0" w:color="33CC33"/>
            </w:tcBorders>
            <w:vAlign w:val="center"/>
          </w:tcPr>
          <w:p w14:paraId="79A3E9F3" w14:textId="77777777" w:rsidR="00C4175F" w:rsidRPr="002B30FD" w:rsidRDefault="00C4175F" w:rsidP="00EA50AF">
            <w:pPr>
              <w:spacing w:before="60" w:after="60"/>
              <w:jc w:val="center"/>
              <w:rPr>
                <w:rFonts w:eastAsia="Times New Roman" w:cstheme="minorHAnsi"/>
                <w:sz w:val="20"/>
                <w:szCs w:val="20"/>
              </w:rPr>
            </w:pPr>
            <w:r w:rsidRPr="002B30FD">
              <w:rPr>
                <w:rFonts w:cstheme="minorHAnsi"/>
                <w:sz w:val="20"/>
                <w:szCs w:val="20"/>
              </w:rPr>
              <w:t>szt.</w:t>
            </w:r>
          </w:p>
        </w:tc>
        <w:tc>
          <w:tcPr>
            <w:tcW w:w="1276" w:type="dxa"/>
            <w:tcBorders>
              <w:top w:val="single" w:sz="4" w:space="0" w:color="33CC33"/>
              <w:bottom w:val="single" w:sz="4" w:space="0" w:color="33CC33"/>
            </w:tcBorders>
            <w:vAlign w:val="center"/>
          </w:tcPr>
          <w:p w14:paraId="20530A3D" w14:textId="77777777" w:rsidR="00C4175F" w:rsidRPr="00C2323D" w:rsidRDefault="00C4175F" w:rsidP="00EA50AF">
            <w:pPr>
              <w:spacing w:before="60" w:after="60"/>
              <w:jc w:val="center"/>
              <w:rPr>
                <w:rFonts w:cstheme="minorHAnsi"/>
                <w:sz w:val="20"/>
                <w:szCs w:val="20"/>
              </w:rPr>
            </w:pPr>
            <w:r w:rsidRPr="00C2323D">
              <w:rPr>
                <w:rFonts w:cstheme="minorHAnsi"/>
                <w:sz w:val="20"/>
                <w:szCs w:val="20"/>
              </w:rPr>
              <w:t>produkt</w:t>
            </w:r>
          </w:p>
        </w:tc>
        <w:tc>
          <w:tcPr>
            <w:tcW w:w="1417" w:type="dxa"/>
            <w:tcBorders>
              <w:top w:val="single" w:sz="4" w:space="0" w:color="33CC33"/>
              <w:bottom w:val="single" w:sz="4" w:space="0" w:color="33CC33"/>
            </w:tcBorders>
            <w:vAlign w:val="center"/>
          </w:tcPr>
          <w:p w14:paraId="2CBC7C7C"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kluczowy</w:t>
            </w:r>
          </w:p>
        </w:tc>
        <w:tc>
          <w:tcPr>
            <w:tcW w:w="1418" w:type="dxa"/>
            <w:tcBorders>
              <w:top w:val="single" w:sz="4" w:space="0" w:color="33CC33"/>
              <w:bottom w:val="single" w:sz="4" w:space="0" w:color="33CC33"/>
            </w:tcBorders>
            <w:vAlign w:val="center"/>
          </w:tcPr>
          <w:p w14:paraId="56006EF9"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w:t>
            </w:r>
          </w:p>
        </w:tc>
        <w:tc>
          <w:tcPr>
            <w:tcW w:w="5670" w:type="dxa"/>
            <w:tcBorders>
              <w:top w:val="single" w:sz="4" w:space="0" w:color="33CC33"/>
              <w:bottom w:val="single" w:sz="4" w:space="0" w:color="33CC33"/>
            </w:tcBorders>
            <w:vAlign w:val="center"/>
          </w:tcPr>
          <w:p w14:paraId="69AE1CB3" w14:textId="77777777" w:rsidR="00C4175F" w:rsidRPr="002B30FD" w:rsidRDefault="00C4175F" w:rsidP="00EA50AF">
            <w:pPr>
              <w:spacing w:before="60" w:after="60"/>
              <w:jc w:val="both"/>
              <w:rPr>
                <w:rFonts w:cstheme="minorHAnsi"/>
                <w:sz w:val="20"/>
                <w:szCs w:val="20"/>
              </w:rPr>
            </w:pPr>
            <w:r w:rsidRPr="00741B92">
              <w:rPr>
                <w:rFonts w:cstheme="minorHAnsi"/>
                <w:sz w:val="20"/>
                <w:szCs w:val="20"/>
              </w:rPr>
              <w:t xml:space="preserve">Wskaźnik mierzy liczbę zakupionych autobusów, tramwajów, trolejbusów, jednostek taboru metra, pojazdów kolejowych wykorzystywanych w publicznym transporcie zbiorowym komunikacji miejskiej i metropolitarnej.    Przez komunikację miejską należy rozumieć gminne przewozy pasażerskie, wykonywane w granicach administracyjnych miasta albo:    - miasta i gminy;     - miast;    - miast i gmin sąsiadujących, jeżeli zostało zawarte porozumienie lub został utworzony związek międzygminny, w celu wspólnej realizacji publicznego transportu zbiorowego (zgodnie z art. 4 ustawy z dnia 16 grudnia 2010 r. o publicznym transporcie zbiorowym).    Przez komunikację metropolitarną należy </w:t>
            </w:r>
            <w:r w:rsidRPr="00741B92">
              <w:rPr>
                <w:rFonts w:cstheme="minorHAnsi"/>
                <w:sz w:val="20"/>
                <w:szCs w:val="20"/>
              </w:rPr>
              <w:lastRenderedPageBreak/>
              <w:t xml:space="preserve">rozumieć metropolitarne przewozy </w:t>
            </w:r>
            <w:proofErr w:type="spellStart"/>
            <w:r w:rsidRPr="00741B92">
              <w:rPr>
                <w:rFonts w:cstheme="minorHAnsi"/>
                <w:sz w:val="20"/>
                <w:szCs w:val="20"/>
              </w:rPr>
              <w:t>pasażarskie</w:t>
            </w:r>
            <w:proofErr w:type="spellEnd"/>
            <w:r w:rsidRPr="00741B92">
              <w:rPr>
                <w:rFonts w:cstheme="minorHAnsi"/>
                <w:sz w:val="20"/>
                <w:szCs w:val="20"/>
              </w:rPr>
              <w:t xml:space="preserve"> – przewóz osób w ramach publicznego transportu zbiorowego wykonywany w granicach związku metropolitarnego, inne niż gminne, powiatowe, powiatowo-gminne, wojewódzkie i międzywojewódzkie (zgodnie z art. 4 ustawy z dnia 16 grudnia 2010 r. o publicznym transporcie zbiorowym).</w:t>
            </w:r>
          </w:p>
        </w:tc>
      </w:tr>
      <w:tr w:rsidR="00C4175F" w:rsidRPr="000F4CA9" w14:paraId="79D71829" w14:textId="77777777" w:rsidTr="00EA50AF">
        <w:trPr>
          <w:trHeight w:val="767"/>
        </w:trPr>
        <w:tc>
          <w:tcPr>
            <w:tcW w:w="552" w:type="dxa"/>
            <w:tcBorders>
              <w:top w:val="single" w:sz="4" w:space="0" w:color="33CC33"/>
            </w:tcBorders>
            <w:vAlign w:val="center"/>
          </w:tcPr>
          <w:p w14:paraId="44E429CB" w14:textId="77777777" w:rsidR="00C4175F" w:rsidRPr="002B30FD" w:rsidRDefault="00C4175F" w:rsidP="00EA50AF">
            <w:pPr>
              <w:spacing w:before="60" w:after="60"/>
              <w:rPr>
                <w:rFonts w:cstheme="minorHAnsi"/>
                <w:sz w:val="20"/>
                <w:szCs w:val="20"/>
              </w:rPr>
            </w:pPr>
            <w:r>
              <w:rPr>
                <w:rFonts w:cstheme="minorHAnsi"/>
                <w:sz w:val="20"/>
                <w:szCs w:val="20"/>
              </w:rPr>
              <w:lastRenderedPageBreak/>
              <w:t>5</w:t>
            </w:r>
            <w:r w:rsidRPr="002B30FD">
              <w:rPr>
                <w:rFonts w:cstheme="minorHAnsi"/>
                <w:sz w:val="20"/>
                <w:szCs w:val="20"/>
              </w:rPr>
              <w:t>.</w:t>
            </w:r>
          </w:p>
        </w:tc>
        <w:tc>
          <w:tcPr>
            <w:tcW w:w="2977" w:type="dxa"/>
            <w:tcBorders>
              <w:top w:val="single" w:sz="4" w:space="0" w:color="33CC33"/>
            </w:tcBorders>
            <w:vAlign w:val="center"/>
          </w:tcPr>
          <w:p w14:paraId="0024335B" w14:textId="77777777" w:rsidR="00C4175F" w:rsidRPr="005E63FE" w:rsidRDefault="00C4175F" w:rsidP="00EA50AF">
            <w:pPr>
              <w:spacing w:before="60" w:after="60"/>
              <w:rPr>
                <w:rFonts w:cstheme="minorHAnsi"/>
                <w:i/>
                <w:color w:val="000000"/>
                <w:sz w:val="20"/>
                <w:szCs w:val="20"/>
                <w:highlight w:val="yellow"/>
              </w:rPr>
            </w:pPr>
            <w:r w:rsidRPr="00232C12">
              <w:rPr>
                <w:rFonts w:cstheme="minorHAnsi"/>
                <w:i/>
                <w:color w:val="000000"/>
                <w:sz w:val="20"/>
                <w:szCs w:val="20"/>
              </w:rPr>
              <w:t>Pojemność́ ekologicznego taboru do zbiorowego transportu publicznego</w:t>
            </w:r>
          </w:p>
        </w:tc>
        <w:tc>
          <w:tcPr>
            <w:tcW w:w="1276" w:type="dxa"/>
            <w:tcBorders>
              <w:top w:val="single" w:sz="4" w:space="0" w:color="33CC33"/>
            </w:tcBorders>
            <w:vAlign w:val="center"/>
          </w:tcPr>
          <w:p w14:paraId="07D2DF09" w14:textId="77777777" w:rsidR="00C4175F" w:rsidRPr="002B30FD" w:rsidRDefault="00C4175F" w:rsidP="00EA50AF">
            <w:pPr>
              <w:spacing w:before="60" w:after="60"/>
              <w:jc w:val="center"/>
              <w:rPr>
                <w:rFonts w:eastAsia="Times New Roman" w:cstheme="minorHAnsi"/>
                <w:sz w:val="20"/>
                <w:szCs w:val="20"/>
              </w:rPr>
            </w:pPr>
            <w:r>
              <w:rPr>
                <w:rFonts w:cstheme="minorHAnsi"/>
                <w:sz w:val="20"/>
                <w:szCs w:val="20"/>
              </w:rPr>
              <w:t>osoby</w:t>
            </w:r>
          </w:p>
        </w:tc>
        <w:tc>
          <w:tcPr>
            <w:tcW w:w="1276" w:type="dxa"/>
            <w:tcBorders>
              <w:top w:val="single" w:sz="4" w:space="0" w:color="33CC33"/>
            </w:tcBorders>
            <w:vAlign w:val="center"/>
          </w:tcPr>
          <w:p w14:paraId="3FC31FDB" w14:textId="77777777" w:rsidR="00C4175F" w:rsidRPr="00C2323D" w:rsidRDefault="00C4175F" w:rsidP="00EA50AF">
            <w:pPr>
              <w:spacing w:before="60" w:after="60"/>
              <w:jc w:val="center"/>
              <w:rPr>
                <w:rFonts w:cstheme="minorHAnsi"/>
                <w:sz w:val="20"/>
                <w:szCs w:val="20"/>
              </w:rPr>
            </w:pPr>
            <w:r w:rsidRPr="00C2323D">
              <w:rPr>
                <w:rFonts w:cstheme="minorHAnsi"/>
                <w:sz w:val="20"/>
                <w:szCs w:val="20"/>
              </w:rPr>
              <w:t>produkt</w:t>
            </w:r>
          </w:p>
        </w:tc>
        <w:tc>
          <w:tcPr>
            <w:tcW w:w="1417" w:type="dxa"/>
            <w:tcBorders>
              <w:top w:val="single" w:sz="4" w:space="0" w:color="33CC33"/>
            </w:tcBorders>
            <w:vAlign w:val="center"/>
          </w:tcPr>
          <w:p w14:paraId="3BA9F6A2"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kluczowy</w:t>
            </w:r>
          </w:p>
        </w:tc>
        <w:tc>
          <w:tcPr>
            <w:tcW w:w="1418" w:type="dxa"/>
            <w:tcBorders>
              <w:top w:val="single" w:sz="4" w:space="0" w:color="33CC33"/>
            </w:tcBorders>
            <w:vAlign w:val="center"/>
          </w:tcPr>
          <w:p w14:paraId="0267667E"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w:t>
            </w:r>
          </w:p>
        </w:tc>
        <w:tc>
          <w:tcPr>
            <w:tcW w:w="5670" w:type="dxa"/>
            <w:tcBorders>
              <w:top w:val="single" w:sz="4" w:space="0" w:color="33CC33"/>
            </w:tcBorders>
            <w:vAlign w:val="center"/>
          </w:tcPr>
          <w:p w14:paraId="53D3A7BE" w14:textId="77777777" w:rsidR="00C4175F" w:rsidRPr="002B30FD" w:rsidRDefault="00C4175F" w:rsidP="00EA50AF">
            <w:pPr>
              <w:spacing w:before="60" w:after="60"/>
              <w:jc w:val="both"/>
              <w:rPr>
                <w:rFonts w:cstheme="minorHAnsi"/>
                <w:sz w:val="20"/>
                <w:szCs w:val="20"/>
              </w:rPr>
            </w:pPr>
            <w:r w:rsidRPr="00232C12">
              <w:rPr>
                <w:rFonts w:cstheme="minorHAnsi"/>
                <w:sz w:val="20"/>
                <w:szCs w:val="20"/>
              </w:rPr>
              <w:t>Potencjał do przewozów pasażerskich ekologicznego taboru do zbiorowego transportu publicznego finansowana w ramach projektów objętych wsparciem (potencjał  przewozu pasażerów siedzących i stojących określona przez producenta).   Ekologiczny tabor obejmuje niskoemisyjny lub zeroemisyjny zbiorowy transport publiczny (autobusy, trolejbusy, tramwaje, metro itp.).</w:t>
            </w:r>
          </w:p>
        </w:tc>
      </w:tr>
      <w:tr w:rsidR="00C4175F" w:rsidRPr="000F4CA9" w14:paraId="647636B6" w14:textId="77777777" w:rsidTr="00EA50AF">
        <w:trPr>
          <w:trHeight w:val="1683"/>
        </w:trPr>
        <w:tc>
          <w:tcPr>
            <w:tcW w:w="552" w:type="dxa"/>
            <w:vAlign w:val="center"/>
          </w:tcPr>
          <w:p w14:paraId="4BC6E291" w14:textId="77777777" w:rsidR="00C4175F" w:rsidRPr="002B30FD" w:rsidRDefault="00C4175F" w:rsidP="00EA50AF">
            <w:pPr>
              <w:spacing w:before="60" w:after="60"/>
              <w:rPr>
                <w:rFonts w:cstheme="minorHAnsi"/>
                <w:sz w:val="20"/>
                <w:szCs w:val="20"/>
              </w:rPr>
            </w:pPr>
            <w:r>
              <w:rPr>
                <w:rFonts w:cstheme="minorHAnsi"/>
                <w:sz w:val="20"/>
                <w:szCs w:val="20"/>
              </w:rPr>
              <w:t>6</w:t>
            </w:r>
            <w:r w:rsidRPr="002B30FD">
              <w:rPr>
                <w:rFonts w:cstheme="minorHAnsi"/>
                <w:sz w:val="20"/>
                <w:szCs w:val="20"/>
              </w:rPr>
              <w:t>.</w:t>
            </w:r>
          </w:p>
        </w:tc>
        <w:tc>
          <w:tcPr>
            <w:tcW w:w="2977" w:type="dxa"/>
            <w:vAlign w:val="center"/>
          </w:tcPr>
          <w:p w14:paraId="27EEB051" w14:textId="77777777" w:rsidR="00C4175F" w:rsidRPr="002B30FD" w:rsidRDefault="00C4175F" w:rsidP="00EA50AF">
            <w:pPr>
              <w:spacing w:before="60" w:after="60"/>
              <w:rPr>
                <w:rFonts w:cstheme="minorHAnsi"/>
                <w:i/>
                <w:color w:val="000000"/>
                <w:sz w:val="20"/>
                <w:szCs w:val="20"/>
              </w:rPr>
            </w:pPr>
            <w:r w:rsidRPr="00553F4E">
              <w:rPr>
                <w:rFonts w:cstheme="minorHAnsi"/>
                <w:i/>
                <w:color w:val="000000"/>
                <w:sz w:val="20"/>
                <w:szCs w:val="20"/>
              </w:rPr>
              <w:t>Ludność́ objęta projektami w ramach strategii zintegrowanego rozwoju terytorialnego</w:t>
            </w:r>
          </w:p>
        </w:tc>
        <w:tc>
          <w:tcPr>
            <w:tcW w:w="1276" w:type="dxa"/>
            <w:vAlign w:val="center"/>
          </w:tcPr>
          <w:p w14:paraId="0AEECC86" w14:textId="77777777" w:rsidR="00C4175F" w:rsidRPr="002B30FD" w:rsidRDefault="00C4175F" w:rsidP="00EA50AF">
            <w:pPr>
              <w:spacing w:before="60" w:after="60"/>
              <w:jc w:val="center"/>
              <w:rPr>
                <w:rFonts w:eastAsia="Times New Roman" w:cstheme="minorHAnsi"/>
                <w:sz w:val="20"/>
                <w:szCs w:val="20"/>
              </w:rPr>
            </w:pPr>
            <w:r>
              <w:rPr>
                <w:rFonts w:eastAsia="Times New Roman" w:cstheme="minorHAnsi"/>
                <w:sz w:val="20"/>
                <w:szCs w:val="20"/>
              </w:rPr>
              <w:t>osoby</w:t>
            </w:r>
          </w:p>
        </w:tc>
        <w:tc>
          <w:tcPr>
            <w:tcW w:w="1276" w:type="dxa"/>
            <w:vAlign w:val="center"/>
          </w:tcPr>
          <w:p w14:paraId="0628F3E5" w14:textId="77777777" w:rsidR="00C4175F" w:rsidRPr="00C2323D" w:rsidRDefault="00C4175F" w:rsidP="00EA50AF">
            <w:pPr>
              <w:spacing w:before="60" w:after="60"/>
              <w:jc w:val="center"/>
              <w:rPr>
                <w:rFonts w:cstheme="minorHAnsi"/>
                <w:sz w:val="20"/>
                <w:szCs w:val="20"/>
              </w:rPr>
            </w:pPr>
            <w:r w:rsidRPr="00C2323D">
              <w:rPr>
                <w:rFonts w:cstheme="minorHAnsi"/>
                <w:sz w:val="20"/>
                <w:szCs w:val="20"/>
              </w:rPr>
              <w:t>produkt</w:t>
            </w:r>
          </w:p>
        </w:tc>
        <w:tc>
          <w:tcPr>
            <w:tcW w:w="1417" w:type="dxa"/>
            <w:vAlign w:val="center"/>
          </w:tcPr>
          <w:p w14:paraId="6C21490B"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kluczowy</w:t>
            </w:r>
          </w:p>
        </w:tc>
        <w:tc>
          <w:tcPr>
            <w:tcW w:w="1418" w:type="dxa"/>
            <w:vAlign w:val="center"/>
          </w:tcPr>
          <w:p w14:paraId="53FC1552"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w:t>
            </w:r>
          </w:p>
        </w:tc>
        <w:tc>
          <w:tcPr>
            <w:tcW w:w="5670" w:type="dxa"/>
            <w:vAlign w:val="center"/>
          </w:tcPr>
          <w:p w14:paraId="08CABB0A" w14:textId="77777777" w:rsidR="00C4175F" w:rsidRPr="002B30FD" w:rsidRDefault="00C4175F" w:rsidP="00EA50AF">
            <w:pPr>
              <w:spacing w:before="60" w:after="60"/>
              <w:jc w:val="both"/>
              <w:rPr>
                <w:rFonts w:cstheme="minorHAnsi"/>
                <w:i/>
                <w:color w:val="C00000"/>
                <w:sz w:val="20"/>
                <w:szCs w:val="20"/>
              </w:rPr>
            </w:pPr>
            <w:r w:rsidRPr="00553F4E">
              <w:rPr>
                <w:rFonts w:cstheme="minorHAnsi"/>
                <w:i/>
                <w:sz w:val="20"/>
                <w:szCs w:val="20"/>
              </w:rPr>
              <w:t>Liczba osób objętych projektami wspieranymi przez fundusze w ramach strategii zintegrowanego rozwoju terytorialnego.</w:t>
            </w:r>
          </w:p>
        </w:tc>
      </w:tr>
      <w:tr w:rsidR="00C4175F" w:rsidRPr="000F4CA9" w14:paraId="34A4B270" w14:textId="77777777" w:rsidTr="00EA50AF">
        <w:tc>
          <w:tcPr>
            <w:tcW w:w="552" w:type="dxa"/>
            <w:vAlign w:val="center"/>
          </w:tcPr>
          <w:p w14:paraId="261DDA48" w14:textId="77777777" w:rsidR="00C4175F" w:rsidRPr="002B30FD" w:rsidRDefault="00C4175F" w:rsidP="00EA50AF">
            <w:pPr>
              <w:spacing w:before="60" w:after="60"/>
              <w:rPr>
                <w:rFonts w:cstheme="minorHAnsi"/>
                <w:sz w:val="20"/>
                <w:szCs w:val="20"/>
              </w:rPr>
            </w:pPr>
            <w:r>
              <w:rPr>
                <w:rFonts w:cstheme="minorHAnsi"/>
                <w:sz w:val="20"/>
                <w:szCs w:val="20"/>
              </w:rPr>
              <w:t>7</w:t>
            </w:r>
            <w:r w:rsidRPr="002B30FD">
              <w:rPr>
                <w:rFonts w:cstheme="minorHAnsi"/>
                <w:sz w:val="20"/>
                <w:szCs w:val="20"/>
              </w:rPr>
              <w:t>.</w:t>
            </w:r>
          </w:p>
        </w:tc>
        <w:tc>
          <w:tcPr>
            <w:tcW w:w="2977" w:type="dxa"/>
            <w:vAlign w:val="center"/>
          </w:tcPr>
          <w:p w14:paraId="624BC0CA" w14:textId="77777777" w:rsidR="00C4175F" w:rsidRPr="002B30FD" w:rsidRDefault="00C4175F" w:rsidP="00EA50AF">
            <w:pPr>
              <w:spacing w:before="60" w:after="60"/>
              <w:rPr>
                <w:rFonts w:eastAsia="Times New Roman" w:cstheme="minorHAnsi"/>
                <w:i/>
                <w:sz w:val="20"/>
                <w:szCs w:val="20"/>
              </w:rPr>
            </w:pPr>
            <w:r w:rsidRPr="00553F4E">
              <w:rPr>
                <w:rFonts w:eastAsia="Times New Roman" w:cstheme="minorHAnsi"/>
                <w:i/>
                <w:sz w:val="20"/>
                <w:szCs w:val="20"/>
              </w:rPr>
              <w:t>Wspierane strategie zintegrowanego rozwoju terytorialnego</w:t>
            </w:r>
          </w:p>
        </w:tc>
        <w:tc>
          <w:tcPr>
            <w:tcW w:w="1276" w:type="dxa"/>
            <w:vAlign w:val="center"/>
          </w:tcPr>
          <w:p w14:paraId="0F2FEDE9" w14:textId="77777777" w:rsidR="00C4175F" w:rsidRPr="002B30FD" w:rsidRDefault="00C4175F" w:rsidP="00EA50AF">
            <w:pPr>
              <w:spacing w:before="60" w:after="60"/>
              <w:jc w:val="center"/>
              <w:rPr>
                <w:rFonts w:eastAsia="Times New Roman" w:cstheme="minorHAnsi"/>
                <w:sz w:val="20"/>
                <w:szCs w:val="20"/>
              </w:rPr>
            </w:pPr>
            <w:r>
              <w:rPr>
                <w:rFonts w:eastAsia="Times New Roman" w:cstheme="minorHAnsi"/>
                <w:sz w:val="20"/>
                <w:szCs w:val="20"/>
              </w:rPr>
              <w:t xml:space="preserve">Szt. </w:t>
            </w:r>
          </w:p>
        </w:tc>
        <w:tc>
          <w:tcPr>
            <w:tcW w:w="1276" w:type="dxa"/>
            <w:vAlign w:val="center"/>
          </w:tcPr>
          <w:p w14:paraId="3CC6C608" w14:textId="77777777" w:rsidR="00C4175F" w:rsidRPr="00C2323D" w:rsidRDefault="00C4175F" w:rsidP="00EA50AF">
            <w:pPr>
              <w:spacing w:before="60" w:after="60"/>
              <w:jc w:val="center"/>
              <w:rPr>
                <w:rFonts w:cstheme="minorHAnsi"/>
                <w:sz w:val="20"/>
                <w:szCs w:val="20"/>
              </w:rPr>
            </w:pPr>
            <w:r w:rsidRPr="00C2323D">
              <w:rPr>
                <w:rFonts w:cstheme="minorHAnsi"/>
                <w:sz w:val="20"/>
                <w:szCs w:val="20"/>
              </w:rPr>
              <w:t>produkt</w:t>
            </w:r>
          </w:p>
        </w:tc>
        <w:tc>
          <w:tcPr>
            <w:tcW w:w="1417" w:type="dxa"/>
            <w:vAlign w:val="center"/>
          </w:tcPr>
          <w:p w14:paraId="30A7F833"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kluczowy</w:t>
            </w:r>
          </w:p>
        </w:tc>
        <w:tc>
          <w:tcPr>
            <w:tcW w:w="1418" w:type="dxa"/>
            <w:vAlign w:val="center"/>
          </w:tcPr>
          <w:p w14:paraId="36E98775"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w:t>
            </w:r>
          </w:p>
        </w:tc>
        <w:tc>
          <w:tcPr>
            <w:tcW w:w="5670" w:type="dxa"/>
            <w:vAlign w:val="center"/>
          </w:tcPr>
          <w:p w14:paraId="37FE5F8F" w14:textId="77777777" w:rsidR="00C4175F" w:rsidRPr="002B30FD" w:rsidRDefault="00C4175F" w:rsidP="00EA50AF">
            <w:pPr>
              <w:spacing w:before="60" w:after="60"/>
              <w:jc w:val="both"/>
              <w:rPr>
                <w:rFonts w:cstheme="minorHAnsi"/>
                <w:color w:val="C00000"/>
                <w:sz w:val="20"/>
                <w:szCs w:val="20"/>
              </w:rPr>
            </w:pPr>
            <w:r w:rsidRPr="00553F4E">
              <w:rPr>
                <w:rFonts w:cstheme="minorHAnsi"/>
                <w:sz w:val="20"/>
                <w:szCs w:val="20"/>
              </w:rPr>
              <w:t>Liczba wkładów w strategie zintegrowanego rozwoju terytorialnego zgłoszonych według każdego celu szczegółowego wnoszonych z funduszy zgodnie z art. 28 lit. a) i c) CPR.   Wartości wskaźnika uwzględniają zatem, na poziomie celu szczegółowego, oddzielną liczbę wkładów finansowych w strategie terytorialne.   Wskaźnik ten nie obejmuje strategii RLKS, które są liczone w ramach RCO80.</w:t>
            </w:r>
          </w:p>
        </w:tc>
      </w:tr>
      <w:tr w:rsidR="00C4175F" w:rsidRPr="000F4CA9" w14:paraId="1D13012C" w14:textId="77777777" w:rsidTr="00EA50AF">
        <w:trPr>
          <w:trHeight w:val="63"/>
        </w:trPr>
        <w:tc>
          <w:tcPr>
            <w:tcW w:w="552" w:type="dxa"/>
            <w:tcBorders>
              <w:top w:val="single" w:sz="8" w:space="0" w:color="33CC33"/>
              <w:bottom w:val="single" w:sz="8" w:space="0" w:color="33CC33"/>
            </w:tcBorders>
            <w:vAlign w:val="center"/>
          </w:tcPr>
          <w:p w14:paraId="2D5E4316" w14:textId="77777777" w:rsidR="00C4175F" w:rsidRPr="002B30FD" w:rsidRDefault="00C4175F" w:rsidP="00EA50AF">
            <w:pPr>
              <w:spacing w:before="60" w:after="60"/>
              <w:rPr>
                <w:rFonts w:cstheme="minorHAnsi"/>
                <w:sz w:val="20"/>
                <w:szCs w:val="20"/>
              </w:rPr>
            </w:pPr>
            <w:r>
              <w:rPr>
                <w:rFonts w:cstheme="minorHAnsi"/>
                <w:sz w:val="20"/>
                <w:szCs w:val="20"/>
              </w:rPr>
              <w:t>8</w:t>
            </w:r>
            <w:r w:rsidRPr="002B30FD">
              <w:rPr>
                <w:rFonts w:cstheme="minorHAnsi"/>
                <w:sz w:val="20"/>
                <w:szCs w:val="20"/>
              </w:rPr>
              <w:t>.</w:t>
            </w:r>
          </w:p>
        </w:tc>
        <w:tc>
          <w:tcPr>
            <w:tcW w:w="2977" w:type="dxa"/>
            <w:tcBorders>
              <w:top w:val="single" w:sz="8" w:space="0" w:color="33CC33"/>
              <w:bottom w:val="single" w:sz="8" w:space="0" w:color="33CC33"/>
            </w:tcBorders>
            <w:vAlign w:val="center"/>
          </w:tcPr>
          <w:p w14:paraId="14407903" w14:textId="77777777" w:rsidR="00C4175F" w:rsidRPr="002B30FD" w:rsidRDefault="00C4175F" w:rsidP="00EA50AF">
            <w:pPr>
              <w:autoSpaceDE w:val="0"/>
              <w:autoSpaceDN w:val="0"/>
              <w:adjustRightInd w:val="0"/>
              <w:rPr>
                <w:rFonts w:cstheme="minorHAnsi"/>
                <w:i/>
                <w:sz w:val="20"/>
                <w:szCs w:val="20"/>
              </w:rPr>
            </w:pPr>
            <w:r w:rsidRPr="00553F4E">
              <w:rPr>
                <w:rFonts w:cstheme="minorHAnsi"/>
                <w:i/>
                <w:sz w:val="20"/>
                <w:szCs w:val="20"/>
              </w:rPr>
              <w:t>Wspierana infrastruktura rowerowa</w:t>
            </w:r>
          </w:p>
        </w:tc>
        <w:tc>
          <w:tcPr>
            <w:tcW w:w="1276" w:type="dxa"/>
            <w:tcBorders>
              <w:top w:val="single" w:sz="8" w:space="0" w:color="33CC33"/>
              <w:bottom w:val="single" w:sz="8" w:space="0" w:color="33CC33"/>
            </w:tcBorders>
            <w:vAlign w:val="center"/>
          </w:tcPr>
          <w:p w14:paraId="086F2FA6" w14:textId="77777777" w:rsidR="00C4175F" w:rsidRPr="002B30FD" w:rsidRDefault="00C4175F" w:rsidP="00EA50AF">
            <w:pPr>
              <w:spacing w:before="60" w:after="60"/>
              <w:jc w:val="center"/>
              <w:rPr>
                <w:rFonts w:cstheme="minorHAnsi"/>
                <w:sz w:val="20"/>
                <w:szCs w:val="20"/>
              </w:rPr>
            </w:pPr>
            <w:r>
              <w:rPr>
                <w:rFonts w:cstheme="minorHAnsi"/>
                <w:sz w:val="20"/>
                <w:szCs w:val="20"/>
              </w:rPr>
              <w:t>km</w:t>
            </w:r>
          </w:p>
        </w:tc>
        <w:tc>
          <w:tcPr>
            <w:tcW w:w="1276" w:type="dxa"/>
            <w:tcBorders>
              <w:top w:val="single" w:sz="8" w:space="0" w:color="33CC33"/>
              <w:bottom w:val="single" w:sz="8" w:space="0" w:color="33CC33"/>
            </w:tcBorders>
            <w:vAlign w:val="center"/>
          </w:tcPr>
          <w:p w14:paraId="2C83B8B1"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5451196B"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464903C6"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7A229DF7" w14:textId="77777777" w:rsidR="00C4175F" w:rsidRPr="002B30FD" w:rsidRDefault="00C4175F" w:rsidP="00EA50AF">
            <w:pPr>
              <w:autoSpaceDE w:val="0"/>
              <w:autoSpaceDN w:val="0"/>
              <w:adjustRightInd w:val="0"/>
              <w:spacing w:before="80" w:after="40"/>
              <w:jc w:val="both"/>
              <w:rPr>
                <w:rFonts w:cstheme="minorHAnsi"/>
                <w:sz w:val="20"/>
                <w:szCs w:val="20"/>
              </w:rPr>
            </w:pPr>
            <w:r w:rsidRPr="00553F4E">
              <w:rPr>
                <w:rFonts w:cstheme="minorHAnsi"/>
                <w:sz w:val="20"/>
                <w:szCs w:val="20"/>
              </w:rPr>
              <w:t xml:space="preserve">Długość nowo wybudowanej lub znacznie zmodernizowanej dedykowanej infrastruktury rowerowej w ramach projektów objętych wsparciem. Infrastruktura rowerowa obejmuje obiekty rowerowe oddzielone od dróg dla ruchu drogowego lub innych części tej samej drogi środkami konstrukcyjnymi (krawężnikami, </w:t>
            </w:r>
            <w:r w:rsidRPr="00553F4E">
              <w:rPr>
                <w:rFonts w:cstheme="minorHAnsi"/>
                <w:sz w:val="20"/>
                <w:szCs w:val="20"/>
              </w:rPr>
              <w:lastRenderedPageBreak/>
              <w:t>barierkami), ulice rowerowe, tunele rowerowe itp. W przypadku infrastruktury rowerowej z wydzielonymi jednokierunkowymi pasami (np. z każdej strony drogi) mierzona jest długość pasa ruchu.</w:t>
            </w:r>
          </w:p>
        </w:tc>
      </w:tr>
      <w:tr w:rsidR="00C4175F" w:rsidRPr="000F4CA9" w14:paraId="64D88A6D" w14:textId="77777777" w:rsidTr="00EA50AF">
        <w:trPr>
          <w:trHeight w:val="63"/>
        </w:trPr>
        <w:tc>
          <w:tcPr>
            <w:tcW w:w="552" w:type="dxa"/>
            <w:tcBorders>
              <w:top w:val="single" w:sz="8" w:space="0" w:color="33CC33"/>
              <w:bottom w:val="single" w:sz="8" w:space="0" w:color="33CC33"/>
            </w:tcBorders>
            <w:vAlign w:val="center"/>
          </w:tcPr>
          <w:p w14:paraId="7D20B2F2" w14:textId="77777777" w:rsidR="00C4175F" w:rsidRDefault="00C4175F" w:rsidP="00EA50AF">
            <w:pPr>
              <w:spacing w:before="60" w:after="60"/>
              <w:rPr>
                <w:rFonts w:cstheme="minorHAnsi"/>
                <w:sz w:val="20"/>
                <w:szCs w:val="20"/>
              </w:rPr>
            </w:pPr>
            <w:r>
              <w:rPr>
                <w:rFonts w:cstheme="minorHAnsi"/>
                <w:sz w:val="20"/>
                <w:szCs w:val="20"/>
              </w:rPr>
              <w:lastRenderedPageBreak/>
              <w:t>9.</w:t>
            </w:r>
          </w:p>
        </w:tc>
        <w:tc>
          <w:tcPr>
            <w:tcW w:w="2977" w:type="dxa"/>
            <w:tcBorders>
              <w:top w:val="single" w:sz="8" w:space="0" w:color="33CC33"/>
              <w:bottom w:val="single" w:sz="8" w:space="0" w:color="33CC33"/>
            </w:tcBorders>
            <w:vAlign w:val="center"/>
          </w:tcPr>
          <w:p w14:paraId="6A7DF66E" w14:textId="77777777" w:rsidR="00C4175F" w:rsidRPr="002968AA" w:rsidRDefault="00C4175F" w:rsidP="00EA50AF">
            <w:pPr>
              <w:autoSpaceDE w:val="0"/>
              <w:autoSpaceDN w:val="0"/>
              <w:adjustRightInd w:val="0"/>
              <w:rPr>
                <w:rFonts w:cstheme="minorHAnsi"/>
                <w:i/>
                <w:sz w:val="20"/>
                <w:szCs w:val="20"/>
              </w:rPr>
            </w:pPr>
            <w:r w:rsidRPr="002968AA">
              <w:rPr>
                <w:rFonts w:cstheme="minorHAnsi"/>
                <w:i/>
                <w:sz w:val="20"/>
                <w:szCs w:val="20"/>
              </w:rPr>
              <w:t>Liczba wspartych obiektów „parkuj i jedź”</w:t>
            </w:r>
          </w:p>
        </w:tc>
        <w:tc>
          <w:tcPr>
            <w:tcW w:w="1276" w:type="dxa"/>
            <w:tcBorders>
              <w:top w:val="single" w:sz="8" w:space="0" w:color="33CC33"/>
              <w:bottom w:val="single" w:sz="8" w:space="0" w:color="33CC33"/>
            </w:tcBorders>
            <w:vAlign w:val="center"/>
          </w:tcPr>
          <w:p w14:paraId="7D63D85D"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szt.</w:t>
            </w:r>
          </w:p>
        </w:tc>
        <w:tc>
          <w:tcPr>
            <w:tcW w:w="1276" w:type="dxa"/>
            <w:tcBorders>
              <w:top w:val="single" w:sz="8" w:space="0" w:color="33CC33"/>
              <w:bottom w:val="single" w:sz="8" w:space="0" w:color="33CC33"/>
            </w:tcBorders>
            <w:vAlign w:val="center"/>
          </w:tcPr>
          <w:p w14:paraId="7A705208"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4207ECA0"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450D895F" w14:textId="77777777" w:rsidR="00C4175F" w:rsidRPr="002B30FD" w:rsidRDefault="00C4175F" w:rsidP="00EA50AF">
            <w:pPr>
              <w:spacing w:before="80" w:after="80"/>
              <w:jc w:val="center"/>
              <w:rPr>
                <w:rFonts w:cstheme="minorHAnsi"/>
                <w:sz w:val="20"/>
                <w:szCs w:val="20"/>
              </w:rPr>
            </w:pPr>
            <w:r>
              <w:rPr>
                <w:rFonts w:cstheme="minorHAnsi"/>
                <w:sz w:val="20"/>
                <w:szCs w:val="20"/>
              </w:rPr>
              <w:t>Agregat wskaźników nr 10, 11 i 12</w:t>
            </w:r>
          </w:p>
        </w:tc>
        <w:tc>
          <w:tcPr>
            <w:tcW w:w="5670" w:type="dxa"/>
            <w:tcBorders>
              <w:top w:val="single" w:sz="8" w:space="0" w:color="33CC33"/>
              <w:bottom w:val="single" w:sz="8" w:space="0" w:color="33CC33"/>
            </w:tcBorders>
            <w:vAlign w:val="center"/>
          </w:tcPr>
          <w:p w14:paraId="335BD3C9" w14:textId="77777777" w:rsidR="00C4175F" w:rsidRPr="002968AA" w:rsidRDefault="00C4175F" w:rsidP="00EA50AF">
            <w:pPr>
              <w:autoSpaceDE w:val="0"/>
              <w:autoSpaceDN w:val="0"/>
              <w:adjustRightInd w:val="0"/>
              <w:spacing w:before="80" w:after="40"/>
              <w:jc w:val="both"/>
              <w:rPr>
                <w:rFonts w:cstheme="minorHAnsi"/>
                <w:sz w:val="20"/>
                <w:szCs w:val="20"/>
              </w:rPr>
            </w:pPr>
            <w:r w:rsidRPr="002968AA">
              <w:rPr>
                <w:rFonts w:cstheme="minorHAnsi"/>
                <w:sz w:val="20"/>
                <w:szCs w:val="20"/>
              </w:rPr>
              <w:t xml:space="preserve">Wskaźnik mierzy liczbę wybudowanych, przebudowanych i doposażonych parkingów w </w:t>
            </w:r>
            <w:proofErr w:type="spellStart"/>
            <w:r w:rsidRPr="002968AA">
              <w:rPr>
                <w:rFonts w:cstheme="minorHAnsi"/>
                <w:sz w:val="20"/>
                <w:szCs w:val="20"/>
              </w:rPr>
              <w:t>wystemie</w:t>
            </w:r>
            <w:proofErr w:type="spellEnd"/>
            <w:r w:rsidRPr="002968AA">
              <w:rPr>
                <w:rFonts w:cstheme="minorHAnsi"/>
                <w:sz w:val="20"/>
                <w:szCs w:val="20"/>
              </w:rPr>
              <w:t xml:space="preserve"> „parkuj i jedź”, umożliwiających skorzystanie z transportu zbiorowego.    Parking </w:t>
            </w:r>
            <w:proofErr w:type="spellStart"/>
            <w:r w:rsidRPr="002968AA">
              <w:rPr>
                <w:rFonts w:cstheme="minorHAnsi"/>
                <w:sz w:val="20"/>
                <w:szCs w:val="20"/>
              </w:rPr>
              <w:t>Park&amp;Ride</w:t>
            </w:r>
            <w:proofErr w:type="spellEnd"/>
            <w:r w:rsidRPr="002968AA">
              <w:rPr>
                <w:rFonts w:cstheme="minorHAnsi"/>
                <w:sz w:val="20"/>
                <w:szCs w:val="20"/>
              </w:rPr>
              <w:t xml:space="preserve"> (Parkuj i Jedź) rozumiany jest jako parking pełniący funkcję przesiadkową, umożliwiający kontynuację podróży środkami komunikacji zbiorowej.</w:t>
            </w:r>
          </w:p>
        </w:tc>
      </w:tr>
      <w:tr w:rsidR="00C4175F" w:rsidRPr="000F4CA9" w14:paraId="242883CF" w14:textId="77777777" w:rsidTr="00EA50AF">
        <w:trPr>
          <w:trHeight w:val="63"/>
        </w:trPr>
        <w:tc>
          <w:tcPr>
            <w:tcW w:w="552" w:type="dxa"/>
            <w:tcBorders>
              <w:top w:val="single" w:sz="8" w:space="0" w:color="33CC33"/>
              <w:bottom w:val="single" w:sz="8" w:space="0" w:color="33CC33"/>
            </w:tcBorders>
            <w:vAlign w:val="center"/>
          </w:tcPr>
          <w:p w14:paraId="62437194" w14:textId="77777777" w:rsidR="00C4175F" w:rsidRPr="002B30FD" w:rsidRDefault="00C4175F" w:rsidP="00EA50AF">
            <w:pPr>
              <w:spacing w:before="60" w:after="60"/>
              <w:rPr>
                <w:rFonts w:cstheme="minorHAnsi"/>
                <w:sz w:val="20"/>
                <w:szCs w:val="20"/>
              </w:rPr>
            </w:pPr>
            <w:r>
              <w:rPr>
                <w:rFonts w:cstheme="minorHAnsi"/>
                <w:sz w:val="20"/>
                <w:szCs w:val="20"/>
              </w:rPr>
              <w:t>10.</w:t>
            </w:r>
          </w:p>
        </w:tc>
        <w:tc>
          <w:tcPr>
            <w:tcW w:w="2977" w:type="dxa"/>
            <w:tcBorders>
              <w:top w:val="single" w:sz="8" w:space="0" w:color="33CC33"/>
              <w:bottom w:val="single" w:sz="8" w:space="0" w:color="33CC33"/>
            </w:tcBorders>
            <w:vAlign w:val="center"/>
          </w:tcPr>
          <w:p w14:paraId="50692FE1" w14:textId="77777777" w:rsidR="00C4175F" w:rsidRPr="002B30FD" w:rsidRDefault="00C4175F" w:rsidP="00EA50AF">
            <w:pPr>
              <w:autoSpaceDE w:val="0"/>
              <w:autoSpaceDN w:val="0"/>
              <w:adjustRightInd w:val="0"/>
              <w:rPr>
                <w:rFonts w:cstheme="minorHAnsi"/>
                <w:i/>
                <w:sz w:val="20"/>
                <w:szCs w:val="20"/>
              </w:rPr>
            </w:pPr>
            <w:r w:rsidRPr="002968AA">
              <w:rPr>
                <w:rFonts w:cstheme="minorHAnsi"/>
                <w:i/>
                <w:sz w:val="20"/>
                <w:szCs w:val="20"/>
              </w:rPr>
              <w:t>Liczba wybudowanych obiektów „parkuj i jedź"</w:t>
            </w:r>
          </w:p>
        </w:tc>
        <w:tc>
          <w:tcPr>
            <w:tcW w:w="1276" w:type="dxa"/>
            <w:tcBorders>
              <w:top w:val="single" w:sz="8" w:space="0" w:color="33CC33"/>
              <w:bottom w:val="single" w:sz="8" w:space="0" w:color="33CC33"/>
            </w:tcBorders>
            <w:vAlign w:val="center"/>
          </w:tcPr>
          <w:p w14:paraId="6E5EA0E7"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szt.</w:t>
            </w:r>
          </w:p>
        </w:tc>
        <w:tc>
          <w:tcPr>
            <w:tcW w:w="1276" w:type="dxa"/>
            <w:tcBorders>
              <w:top w:val="single" w:sz="8" w:space="0" w:color="33CC33"/>
              <w:bottom w:val="single" w:sz="8" w:space="0" w:color="33CC33"/>
            </w:tcBorders>
            <w:vAlign w:val="center"/>
          </w:tcPr>
          <w:p w14:paraId="3F4FB9C6"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7096C482"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62FD986D"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35CD6856" w14:textId="77777777" w:rsidR="00C4175F" w:rsidRPr="002B30FD" w:rsidRDefault="00C4175F" w:rsidP="00EA50AF">
            <w:pPr>
              <w:autoSpaceDE w:val="0"/>
              <w:autoSpaceDN w:val="0"/>
              <w:adjustRightInd w:val="0"/>
              <w:spacing w:before="80" w:after="40"/>
              <w:jc w:val="both"/>
              <w:rPr>
                <w:rFonts w:cstheme="minorHAnsi"/>
                <w:sz w:val="20"/>
                <w:szCs w:val="20"/>
              </w:rPr>
            </w:pPr>
            <w:r w:rsidRPr="002968AA">
              <w:rPr>
                <w:rFonts w:cstheme="minorHAnsi"/>
                <w:sz w:val="20"/>
                <w:szCs w:val="20"/>
              </w:rPr>
              <w:t>Liczba wybudowanych parkingów w systemie „parkuj i jedź” (</w:t>
            </w:r>
            <w:proofErr w:type="spellStart"/>
            <w:r w:rsidRPr="002968AA">
              <w:rPr>
                <w:rFonts w:cstheme="minorHAnsi"/>
                <w:sz w:val="20"/>
                <w:szCs w:val="20"/>
              </w:rPr>
              <w:t>Park&amp;Ride</w:t>
            </w:r>
            <w:proofErr w:type="spellEnd"/>
            <w:r w:rsidRPr="002968AA">
              <w:rPr>
                <w:rFonts w:cstheme="minorHAnsi"/>
                <w:sz w:val="20"/>
                <w:szCs w:val="20"/>
              </w:rPr>
              <w:t xml:space="preserve">), umożliwiających skorzystanie z transportu zbiorowego.    Parking </w:t>
            </w:r>
            <w:proofErr w:type="spellStart"/>
            <w:r w:rsidRPr="002968AA">
              <w:rPr>
                <w:rFonts w:cstheme="minorHAnsi"/>
                <w:sz w:val="20"/>
                <w:szCs w:val="20"/>
              </w:rPr>
              <w:t>Park&amp;Ride</w:t>
            </w:r>
            <w:proofErr w:type="spellEnd"/>
            <w:r w:rsidRPr="002968AA">
              <w:rPr>
                <w:rFonts w:cstheme="minorHAnsi"/>
                <w:sz w:val="20"/>
                <w:szCs w:val="20"/>
              </w:rPr>
              <w:t xml:space="preserve"> (Parkuj i Jedź) rozumiany jest jako parking pełniący funkcję przesiadkową, umożliwiający kontynuację podróży środkami komunikacji zbiorowej.</w:t>
            </w:r>
          </w:p>
        </w:tc>
      </w:tr>
      <w:tr w:rsidR="00C4175F" w:rsidRPr="000F4CA9" w14:paraId="0CF1EC12" w14:textId="77777777" w:rsidTr="00EA50AF">
        <w:trPr>
          <w:trHeight w:val="63"/>
        </w:trPr>
        <w:tc>
          <w:tcPr>
            <w:tcW w:w="552" w:type="dxa"/>
            <w:tcBorders>
              <w:top w:val="single" w:sz="8" w:space="0" w:color="33CC33"/>
              <w:bottom w:val="single" w:sz="8" w:space="0" w:color="33CC33"/>
            </w:tcBorders>
            <w:vAlign w:val="center"/>
          </w:tcPr>
          <w:p w14:paraId="41556A80" w14:textId="77777777" w:rsidR="00C4175F" w:rsidRPr="002B30FD" w:rsidRDefault="00C4175F" w:rsidP="00EA50AF">
            <w:pPr>
              <w:spacing w:before="60" w:after="60"/>
              <w:rPr>
                <w:rFonts w:cstheme="minorHAnsi"/>
                <w:sz w:val="20"/>
                <w:szCs w:val="20"/>
              </w:rPr>
            </w:pPr>
            <w:r>
              <w:rPr>
                <w:rFonts w:cstheme="minorHAnsi"/>
                <w:sz w:val="20"/>
                <w:szCs w:val="20"/>
              </w:rPr>
              <w:t>11</w:t>
            </w:r>
            <w:r w:rsidRPr="002B30FD">
              <w:rPr>
                <w:rFonts w:cstheme="minorHAnsi"/>
                <w:sz w:val="20"/>
                <w:szCs w:val="20"/>
              </w:rPr>
              <w:t>.</w:t>
            </w:r>
          </w:p>
        </w:tc>
        <w:tc>
          <w:tcPr>
            <w:tcW w:w="2977" w:type="dxa"/>
            <w:tcBorders>
              <w:top w:val="single" w:sz="8" w:space="0" w:color="33CC33"/>
              <w:bottom w:val="single" w:sz="8" w:space="0" w:color="33CC33"/>
            </w:tcBorders>
            <w:vAlign w:val="center"/>
          </w:tcPr>
          <w:p w14:paraId="04E3833A" w14:textId="77777777" w:rsidR="00C4175F" w:rsidRPr="002B30FD" w:rsidRDefault="00C4175F" w:rsidP="00EA50AF">
            <w:pPr>
              <w:autoSpaceDE w:val="0"/>
              <w:autoSpaceDN w:val="0"/>
              <w:adjustRightInd w:val="0"/>
              <w:rPr>
                <w:rFonts w:cstheme="minorHAnsi"/>
                <w:i/>
                <w:sz w:val="20"/>
                <w:szCs w:val="20"/>
              </w:rPr>
            </w:pPr>
            <w:r w:rsidRPr="002968AA">
              <w:rPr>
                <w:rFonts w:cstheme="minorHAnsi"/>
                <w:i/>
                <w:sz w:val="20"/>
                <w:szCs w:val="20"/>
              </w:rPr>
              <w:t>Liczba przebudowanych obiektów „parkuj i jedź"</w:t>
            </w:r>
          </w:p>
        </w:tc>
        <w:tc>
          <w:tcPr>
            <w:tcW w:w="1276" w:type="dxa"/>
            <w:tcBorders>
              <w:top w:val="single" w:sz="8" w:space="0" w:color="33CC33"/>
              <w:bottom w:val="single" w:sz="8" w:space="0" w:color="33CC33"/>
            </w:tcBorders>
            <w:vAlign w:val="center"/>
          </w:tcPr>
          <w:p w14:paraId="272DE991"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szt.</w:t>
            </w:r>
          </w:p>
        </w:tc>
        <w:tc>
          <w:tcPr>
            <w:tcW w:w="1276" w:type="dxa"/>
            <w:tcBorders>
              <w:top w:val="single" w:sz="8" w:space="0" w:color="33CC33"/>
              <w:bottom w:val="single" w:sz="8" w:space="0" w:color="33CC33"/>
            </w:tcBorders>
            <w:vAlign w:val="center"/>
          </w:tcPr>
          <w:p w14:paraId="27661A92"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1316240A"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537154AB"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3DCA1770" w14:textId="77777777" w:rsidR="00C4175F" w:rsidRPr="002B30FD" w:rsidRDefault="00C4175F" w:rsidP="00EA50AF">
            <w:pPr>
              <w:autoSpaceDE w:val="0"/>
              <w:autoSpaceDN w:val="0"/>
              <w:adjustRightInd w:val="0"/>
              <w:spacing w:before="80" w:after="40"/>
              <w:jc w:val="both"/>
              <w:rPr>
                <w:rFonts w:cstheme="minorHAnsi"/>
                <w:sz w:val="20"/>
                <w:szCs w:val="20"/>
              </w:rPr>
            </w:pPr>
            <w:r w:rsidRPr="002968AA">
              <w:rPr>
                <w:rFonts w:cstheme="minorHAnsi"/>
                <w:sz w:val="20"/>
                <w:szCs w:val="20"/>
              </w:rPr>
              <w:t>Liczba przebudowanych parkingów w systemie „parkuj i jedź” (</w:t>
            </w:r>
            <w:proofErr w:type="spellStart"/>
            <w:r w:rsidRPr="002968AA">
              <w:rPr>
                <w:rFonts w:cstheme="minorHAnsi"/>
                <w:sz w:val="20"/>
                <w:szCs w:val="20"/>
              </w:rPr>
              <w:t>Park&amp;Ride</w:t>
            </w:r>
            <w:proofErr w:type="spellEnd"/>
            <w:r w:rsidRPr="002968AA">
              <w:rPr>
                <w:rFonts w:cstheme="minorHAnsi"/>
                <w:sz w:val="20"/>
                <w:szCs w:val="20"/>
              </w:rPr>
              <w:t xml:space="preserve">), umożliwiających skorzystanie z transportu zbiorowego.    Parking </w:t>
            </w:r>
            <w:proofErr w:type="spellStart"/>
            <w:r w:rsidRPr="002968AA">
              <w:rPr>
                <w:rFonts w:cstheme="minorHAnsi"/>
                <w:sz w:val="20"/>
                <w:szCs w:val="20"/>
              </w:rPr>
              <w:t>Park&amp;Ride</w:t>
            </w:r>
            <w:proofErr w:type="spellEnd"/>
            <w:r w:rsidRPr="002968AA">
              <w:rPr>
                <w:rFonts w:cstheme="minorHAnsi"/>
                <w:sz w:val="20"/>
                <w:szCs w:val="20"/>
              </w:rPr>
              <w:t xml:space="preserve"> (Parkuj i Jedź) rozumiany jest jako parking pełniący funkcję przesiadkową, umożliwiający kontynuację podróży środkami komunikacji zbiorowej.</w:t>
            </w:r>
          </w:p>
        </w:tc>
      </w:tr>
      <w:tr w:rsidR="00C4175F" w:rsidRPr="000F4CA9" w14:paraId="171F97D7" w14:textId="77777777" w:rsidTr="00EA50AF">
        <w:trPr>
          <w:trHeight w:val="63"/>
        </w:trPr>
        <w:tc>
          <w:tcPr>
            <w:tcW w:w="552" w:type="dxa"/>
            <w:tcBorders>
              <w:top w:val="single" w:sz="8" w:space="0" w:color="33CC33"/>
              <w:bottom w:val="single" w:sz="8" w:space="0" w:color="33CC33"/>
            </w:tcBorders>
            <w:vAlign w:val="center"/>
          </w:tcPr>
          <w:p w14:paraId="37FA33D9" w14:textId="77777777" w:rsidR="00C4175F" w:rsidRPr="002B30FD" w:rsidRDefault="00C4175F" w:rsidP="00EA50AF">
            <w:pPr>
              <w:spacing w:before="60" w:after="60"/>
              <w:rPr>
                <w:rFonts w:cstheme="minorHAnsi"/>
                <w:sz w:val="20"/>
                <w:szCs w:val="20"/>
              </w:rPr>
            </w:pPr>
            <w:r>
              <w:rPr>
                <w:rFonts w:cstheme="minorHAnsi"/>
                <w:sz w:val="20"/>
                <w:szCs w:val="20"/>
              </w:rPr>
              <w:t>12</w:t>
            </w:r>
            <w:r w:rsidRPr="002B30FD">
              <w:rPr>
                <w:rFonts w:cstheme="minorHAnsi"/>
                <w:sz w:val="20"/>
                <w:szCs w:val="20"/>
              </w:rPr>
              <w:t>.</w:t>
            </w:r>
          </w:p>
        </w:tc>
        <w:tc>
          <w:tcPr>
            <w:tcW w:w="2977" w:type="dxa"/>
            <w:tcBorders>
              <w:top w:val="single" w:sz="8" w:space="0" w:color="33CC33"/>
              <w:bottom w:val="single" w:sz="8" w:space="0" w:color="33CC33"/>
            </w:tcBorders>
            <w:vAlign w:val="center"/>
          </w:tcPr>
          <w:p w14:paraId="14A3E659" w14:textId="77777777" w:rsidR="00C4175F" w:rsidRPr="002B30FD" w:rsidRDefault="00C4175F" w:rsidP="00EA50AF">
            <w:pPr>
              <w:autoSpaceDE w:val="0"/>
              <w:autoSpaceDN w:val="0"/>
              <w:adjustRightInd w:val="0"/>
              <w:rPr>
                <w:rFonts w:cstheme="minorHAnsi"/>
                <w:i/>
                <w:sz w:val="20"/>
                <w:szCs w:val="20"/>
              </w:rPr>
            </w:pPr>
            <w:r w:rsidRPr="002968AA">
              <w:rPr>
                <w:rFonts w:cstheme="minorHAnsi"/>
                <w:i/>
                <w:sz w:val="20"/>
                <w:szCs w:val="20"/>
              </w:rPr>
              <w:t>Liczba doposażonych obiektów „parkuj i jedź"</w:t>
            </w:r>
          </w:p>
        </w:tc>
        <w:tc>
          <w:tcPr>
            <w:tcW w:w="1276" w:type="dxa"/>
            <w:tcBorders>
              <w:top w:val="single" w:sz="8" w:space="0" w:color="33CC33"/>
              <w:bottom w:val="single" w:sz="8" w:space="0" w:color="33CC33"/>
            </w:tcBorders>
            <w:vAlign w:val="center"/>
          </w:tcPr>
          <w:p w14:paraId="6EC8A7FD" w14:textId="77777777" w:rsidR="00C4175F" w:rsidRPr="002B30FD" w:rsidRDefault="00C4175F" w:rsidP="00EA50AF">
            <w:pPr>
              <w:spacing w:before="60" w:after="60"/>
              <w:jc w:val="center"/>
              <w:rPr>
                <w:rFonts w:cstheme="minorHAnsi"/>
                <w:sz w:val="20"/>
                <w:szCs w:val="20"/>
              </w:rPr>
            </w:pPr>
            <w:r w:rsidRPr="002B30FD">
              <w:rPr>
                <w:rFonts w:cstheme="minorHAnsi"/>
                <w:sz w:val="20"/>
                <w:szCs w:val="20"/>
              </w:rPr>
              <w:t>szt.</w:t>
            </w:r>
          </w:p>
        </w:tc>
        <w:tc>
          <w:tcPr>
            <w:tcW w:w="1276" w:type="dxa"/>
            <w:tcBorders>
              <w:top w:val="single" w:sz="8" w:space="0" w:color="33CC33"/>
              <w:bottom w:val="single" w:sz="8" w:space="0" w:color="33CC33"/>
            </w:tcBorders>
            <w:vAlign w:val="center"/>
          </w:tcPr>
          <w:p w14:paraId="22E195F0"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4341E9EF"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52B8562E"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04CF132F" w14:textId="77777777" w:rsidR="00C4175F" w:rsidRPr="002B30FD" w:rsidRDefault="00C4175F" w:rsidP="00EA50AF">
            <w:pPr>
              <w:autoSpaceDE w:val="0"/>
              <w:autoSpaceDN w:val="0"/>
              <w:adjustRightInd w:val="0"/>
              <w:spacing w:before="80" w:after="40"/>
              <w:jc w:val="both"/>
              <w:rPr>
                <w:rFonts w:cstheme="minorHAnsi"/>
                <w:sz w:val="20"/>
                <w:szCs w:val="20"/>
              </w:rPr>
            </w:pPr>
            <w:r w:rsidRPr="002968AA">
              <w:rPr>
                <w:rFonts w:cstheme="minorHAnsi"/>
                <w:sz w:val="20"/>
                <w:szCs w:val="20"/>
              </w:rPr>
              <w:t xml:space="preserve">Wskaźnik obejmuje liczbę wspartych publicznych systemów wypożyczania samochodów w oparciu o systemy </w:t>
            </w:r>
            <w:proofErr w:type="spellStart"/>
            <w:r w:rsidRPr="002968AA">
              <w:rPr>
                <w:rFonts w:cstheme="minorHAnsi"/>
                <w:sz w:val="20"/>
                <w:szCs w:val="20"/>
              </w:rPr>
              <w:t>bezemisyjne</w:t>
            </w:r>
            <w:proofErr w:type="spellEnd"/>
            <w:r w:rsidRPr="002968AA">
              <w:rPr>
                <w:rFonts w:cstheme="minorHAnsi"/>
                <w:sz w:val="20"/>
                <w:szCs w:val="20"/>
              </w:rPr>
              <w:t xml:space="preserve">. Przez system </w:t>
            </w:r>
            <w:proofErr w:type="spellStart"/>
            <w:r w:rsidRPr="002968AA">
              <w:rPr>
                <w:rFonts w:cstheme="minorHAnsi"/>
                <w:sz w:val="20"/>
                <w:szCs w:val="20"/>
              </w:rPr>
              <w:t>bezemisyjne</w:t>
            </w:r>
            <w:proofErr w:type="spellEnd"/>
            <w:r w:rsidRPr="002968AA">
              <w:rPr>
                <w:rFonts w:cstheme="minorHAnsi"/>
                <w:sz w:val="20"/>
                <w:szCs w:val="20"/>
              </w:rPr>
              <w:t xml:space="preserve"> rozumie się wypożyczalnię samochodów </w:t>
            </w:r>
            <w:proofErr w:type="spellStart"/>
            <w:r w:rsidRPr="002968AA">
              <w:rPr>
                <w:rFonts w:cstheme="minorHAnsi"/>
                <w:sz w:val="20"/>
                <w:szCs w:val="20"/>
              </w:rPr>
              <w:t>bezemisyjnych</w:t>
            </w:r>
            <w:proofErr w:type="spellEnd"/>
          </w:p>
        </w:tc>
      </w:tr>
      <w:tr w:rsidR="00C4175F" w:rsidRPr="000F4CA9" w14:paraId="633D9518" w14:textId="77777777" w:rsidTr="00EA50AF">
        <w:trPr>
          <w:trHeight w:val="63"/>
        </w:trPr>
        <w:tc>
          <w:tcPr>
            <w:tcW w:w="552" w:type="dxa"/>
            <w:tcBorders>
              <w:top w:val="single" w:sz="8" w:space="0" w:color="33CC33"/>
              <w:bottom w:val="single" w:sz="8" w:space="0" w:color="33CC33"/>
            </w:tcBorders>
            <w:vAlign w:val="center"/>
          </w:tcPr>
          <w:p w14:paraId="3210DB90" w14:textId="77777777" w:rsidR="00C4175F" w:rsidRPr="002B30FD" w:rsidRDefault="00C4175F" w:rsidP="00EA50AF">
            <w:pPr>
              <w:spacing w:before="60" w:after="60"/>
              <w:rPr>
                <w:rFonts w:cstheme="minorHAnsi"/>
                <w:sz w:val="20"/>
                <w:szCs w:val="20"/>
              </w:rPr>
            </w:pPr>
            <w:r>
              <w:rPr>
                <w:rFonts w:cstheme="minorHAnsi"/>
                <w:sz w:val="20"/>
                <w:szCs w:val="20"/>
              </w:rPr>
              <w:t>13</w:t>
            </w:r>
            <w:r w:rsidRPr="002B30FD">
              <w:rPr>
                <w:rFonts w:cstheme="minorHAnsi"/>
                <w:sz w:val="20"/>
                <w:szCs w:val="20"/>
              </w:rPr>
              <w:t>.</w:t>
            </w:r>
          </w:p>
        </w:tc>
        <w:tc>
          <w:tcPr>
            <w:tcW w:w="2977" w:type="dxa"/>
            <w:tcBorders>
              <w:top w:val="single" w:sz="8" w:space="0" w:color="33CC33"/>
              <w:bottom w:val="single" w:sz="8" w:space="0" w:color="33CC33"/>
            </w:tcBorders>
            <w:vAlign w:val="center"/>
          </w:tcPr>
          <w:p w14:paraId="4BC3EF97" w14:textId="77777777" w:rsidR="00C4175F" w:rsidRPr="002B30FD" w:rsidRDefault="00C4175F" w:rsidP="00EA50AF">
            <w:pPr>
              <w:autoSpaceDE w:val="0"/>
              <w:autoSpaceDN w:val="0"/>
              <w:adjustRightInd w:val="0"/>
              <w:rPr>
                <w:rFonts w:cstheme="minorHAnsi"/>
                <w:i/>
                <w:sz w:val="20"/>
                <w:szCs w:val="20"/>
              </w:rPr>
            </w:pPr>
            <w:r w:rsidRPr="002968AA">
              <w:rPr>
                <w:rFonts w:cstheme="minorHAnsi"/>
                <w:i/>
                <w:sz w:val="20"/>
                <w:szCs w:val="20"/>
              </w:rPr>
              <w:t>Liczba miejsc postojowych dla osób z niepełnosprawnościami w wybudowanych / przebudowanych lub doposażonych obiektach „parkuj i jedź”</w:t>
            </w:r>
          </w:p>
        </w:tc>
        <w:tc>
          <w:tcPr>
            <w:tcW w:w="1276" w:type="dxa"/>
            <w:tcBorders>
              <w:top w:val="single" w:sz="8" w:space="0" w:color="33CC33"/>
              <w:bottom w:val="single" w:sz="8" w:space="0" w:color="33CC33"/>
            </w:tcBorders>
            <w:vAlign w:val="center"/>
          </w:tcPr>
          <w:p w14:paraId="36CB4A40" w14:textId="77777777" w:rsidR="00C4175F" w:rsidRPr="002B30FD" w:rsidRDefault="00C4175F" w:rsidP="00EA50AF">
            <w:pPr>
              <w:spacing w:before="60" w:after="60"/>
              <w:jc w:val="center"/>
              <w:rPr>
                <w:rFonts w:cstheme="minorHAnsi"/>
                <w:sz w:val="20"/>
                <w:szCs w:val="20"/>
              </w:rPr>
            </w:pPr>
            <w:r>
              <w:rPr>
                <w:rFonts w:cstheme="minorHAnsi"/>
                <w:sz w:val="20"/>
                <w:szCs w:val="20"/>
              </w:rPr>
              <w:t>szt.</w:t>
            </w:r>
          </w:p>
        </w:tc>
        <w:tc>
          <w:tcPr>
            <w:tcW w:w="1276" w:type="dxa"/>
            <w:tcBorders>
              <w:top w:val="single" w:sz="8" w:space="0" w:color="33CC33"/>
              <w:bottom w:val="single" w:sz="8" w:space="0" w:color="33CC33"/>
            </w:tcBorders>
            <w:vAlign w:val="center"/>
          </w:tcPr>
          <w:p w14:paraId="2FEC3D49"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14F7F0AA"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06D866C1"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36EAA80C" w14:textId="77777777" w:rsidR="00C4175F" w:rsidRPr="002B30FD" w:rsidRDefault="00C4175F" w:rsidP="00EA50AF">
            <w:pPr>
              <w:autoSpaceDE w:val="0"/>
              <w:autoSpaceDN w:val="0"/>
              <w:adjustRightInd w:val="0"/>
              <w:spacing w:before="80" w:after="40"/>
              <w:jc w:val="both"/>
              <w:rPr>
                <w:rFonts w:cstheme="minorHAnsi"/>
                <w:sz w:val="20"/>
                <w:szCs w:val="20"/>
              </w:rPr>
            </w:pPr>
            <w:r w:rsidRPr="002968AA">
              <w:rPr>
                <w:rFonts w:cstheme="minorHAnsi"/>
                <w:sz w:val="20"/>
                <w:szCs w:val="20"/>
              </w:rPr>
              <w:t>Wskaźnik mierzy liczbę nowych stanowisk dla osób z niepełnosprawnościami przeznaczonych do postoju samochodów osobowych, znajdujących się na terenie parkingu w systemie „parkuj i jedź” (</w:t>
            </w:r>
            <w:proofErr w:type="spellStart"/>
            <w:r w:rsidRPr="002968AA">
              <w:rPr>
                <w:rFonts w:cstheme="minorHAnsi"/>
                <w:sz w:val="20"/>
                <w:szCs w:val="20"/>
              </w:rPr>
              <w:t>Park&amp;Ride</w:t>
            </w:r>
            <w:proofErr w:type="spellEnd"/>
            <w:r w:rsidRPr="002968AA">
              <w:rPr>
                <w:rFonts w:cstheme="minorHAnsi"/>
                <w:sz w:val="20"/>
                <w:szCs w:val="20"/>
              </w:rPr>
              <w:t>).</w:t>
            </w:r>
          </w:p>
        </w:tc>
      </w:tr>
      <w:tr w:rsidR="00C4175F" w:rsidRPr="000F4CA9" w14:paraId="449B7BBF" w14:textId="77777777" w:rsidTr="00EA50AF">
        <w:trPr>
          <w:trHeight w:val="63"/>
        </w:trPr>
        <w:tc>
          <w:tcPr>
            <w:tcW w:w="552" w:type="dxa"/>
            <w:tcBorders>
              <w:top w:val="single" w:sz="8" w:space="0" w:color="33CC33"/>
              <w:bottom w:val="single" w:sz="8" w:space="0" w:color="33CC33"/>
            </w:tcBorders>
            <w:vAlign w:val="center"/>
          </w:tcPr>
          <w:p w14:paraId="4C8DB786" w14:textId="77777777" w:rsidR="00C4175F" w:rsidRPr="002B30FD" w:rsidRDefault="00C4175F" w:rsidP="00EA50AF">
            <w:pPr>
              <w:spacing w:before="60" w:after="60"/>
              <w:rPr>
                <w:rFonts w:cstheme="minorHAnsi"/>
                <w:sz w:val="20"/>
                <w:szCs w:val="20"/>
              </w:rPr>
            </w:pPr>
            <w:r>
              <w:rPr>
                <w:rFonts w:cstheme="minorHAnsi"/>
                <w:sz w:val="20"/>
                <w:szCs w:val="20"/>
              </w:rPr>
              <w:lastRenderedPageBreak/>
              <w:t>14</w:t>
            </w:r>
            <w:r w:rsidRPr="002B30FD">
              <w:rPr>
                <w:rFonts w:cstheme="minorHAnsi"/>
                <w:sz w:val="20"/>
                <w:szCs w:val="20"/>
              </w:rPr>
              <w:t>.</w:t>
            </w:r>
          </w:p>
        </w:tc>
        <w:tc>
          <w:tcPr>
            <w:tcW w:w="2977" w:type="dxa"/>
            <w:tcBorders>
              <w:top w:val="single" w:sz="8" w:space="0" w:color="33CC33"/>
              <w:bottom w:val="single" w:sz="8" w:space="0" w:color="33CC33"/>
            </w:tcBorders>
            <w:vAlign w:val="center"/>
          </w:tcPr>
          <w:p w14:paraId="73C6688B" w14:textId="77777777" w:rsidR="00C4175F" w:rsidRPr="002B30FD" w:rsidRDefault="00C4175F" w:rsidP="00EA50AF">
            <w:pPr>
              <w:autoSpaceDE w:val="0"/>
              <w:autoSpaceDN w:val="0"/>
              <w:adjustRightInd w:val="0"/>
              <w:rPr>
                <w:rFonts w:cstheme="minorHAnsi"/>
                <w:i/>
                <w:sz w:val="20"/>
                <w:szCs w:val="20"/>
              </w:rPr>
            </w:pPr>
            <w:r w:rsidRPr="002968AA">
              <w:rPr>
                <w:rFonts w:cstheme="minorHAnsi"/>
                <w:i/>
                <w:sz w:val="20"/>
                <w:szCs w:val="20"/>
              </w:rPr>
              <w:t>Liczba wybudowanych obiektów „</w:t>
            </w:r>
            <w:proofErr w:type="spellStart"/>
            <w:r w:rsidRPr="002968AA">
              <w:rPr>
                <w:rFonts w:cstheme="minorHAnsi"/>
                <w:i/>
                <w:sz w:val="20"/>
                <w:szCs w:val="20"/>
              </w:rPr>
              <w:t>Bike&amp;Ride</w:t>
            </w:r>
            <w:proofErr w:type="spellEnd"/>
            <w:r w:rsidRPr="002968AA">
              <w:rPr>
                <w:rFonts w:cstheme="minorHAnsi"/>
                <w:i/>
                <w:sz w:val="20"/>
                <w:szCs w:val="20"/>
              </w:rPr>
              <w:t>”</w:t>
            </w:r>
          </w:p>
        </w:tc>
        <w:tc>
          <w:tcPr>
            <w:tcW w:w="1276" w:type="dxa"/>
            <w:tcBorders>
              <w:top w:val="single" w:sz="8" w:space="0" w:color="33CC33"/>
              <w:bottom w:val="single" w:sz="8" w:space="0" w:color="33CC33"/>
            </w:tcBorders>
            <w:vAlign w:val="center"/>
          </w:tcPr>
          <w:p w14:paraId="1DA586AC" w14:textId="77777777" w:rsidR="00C4175F" w:rsidRPr="002B30FD" w:rsidRDefault="00C4175F" w:rsidP="00EA50AF">
            <w:pPr>
              <w:spacing w:before="60" w:after="60"/>
              <w:jc w:val="center"/>
              <w:rPr>
                <w:rFonts w:cstheme="minorHAnsi"/>
                <w:sz w:val="20"/>
                <w:szCs w:val="20"/>
              </w:rPr>
            </w:pPr>
            <w:r>
              <w:rPr>
                <w:rFonts w:cstheme="minorHAnsi"/>
                <w:sz w:val="20"/>
                <w:szCs w:val="20"/>
              </w:rPr>
              <w:t>szt.</w:t>
            </w:r>
          </w:p>
        </w:tc>
        <w:tc>
          <w:tcPr>
            <w:tcW w:w="1276" w:type="dxa"/>
            <w:tcBorders>
              <w:top w:val="single" w:sz="8" w:space="0" w:color="33CC33"/>
              <w:bottom w:val="single" w:sz="8" w:space="0" w:color="33CC33"/>
            </w:tcBorders>
            <w:vAlign w:val="center"/>
          </w:tcPr>
          <w:p w14:paraId="722C36CB"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253F006F"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7D00715F"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150A3B8E" w14:textId="77777777" w:rsidR="00C4175F" w:rsidRPr="002B30FD" w:rsidRDefault="00C4175F" w:rsidP="00EA50AF">
            <w:pPr>
              <w:autoSpaceDE w:val="0"/>
              <w:autoSpaceDN w:val="0"/>
              <w:adjustRightInd w:val="0"/>
              <w:spacing w:before="80" w:after="40"/>
              <w:jc w:val="both"/>
              <w:rPr>
                <w:rFonts w:cstheme="minorHAnsi"/>
                <w:sz w:val="20"/>
                <w:szCs w:val="20"/>
              </w:rPr>
            </w:pPr>
            <w:r w:rsidRPr="002968AA">
              <w:rPr>
                <w:rFonts w:cstheme="minorHAnsi"/>
                <w:sz w:val="20"/>
                <w:szCs w:val="20"/>
              </w:rPr>
              <w:t>Liczba wybudowanych parkingów przeznaczonych do pozostawiania rowerów, umożliwiających skorzystanie z transportu zbiorowego.</w:t>
            </w:r>
          </w:p>
        </w:tc>
      </w:tr>
      <w:tr w:rsidR="00C4175F" w:rsidRPr="000F4CA9" w14:paraId="7A79D0C5" w14:textId="77777777" w:rsidTr="00EA50AF">
        <w:trPr>
          <w:trHeight w:val="63"/>
        </w:trPr>
        <w:tc>
          <w:tcPr>
            <w:tcW w:w="552" w:type="dxa"/>
            <w:tcBorders>
              <w:top w:val="single" w:sz="8" w:space="0" w:color="33CC33"/>
              <w:bottom w:val="single" w:sz="8" w:space="0" w:color="33CC33"/>
            </w:tcBorders>
            <w:vAlign w:val="center"/>
          </w:tcPr>
          <w:p w14:paraId="1BE71AF7" w14:textId="77777777" w:rsidR="00C4175F" w:rsidRPr="002B30FD" w:rsidRDefault="00C4175F" w:rsidP="00EA50AF">
            <w:pPr>
              <w:spacing w:before="60" w:after="60"/>
              <w:rPr>
                <w:rFonts w:cstheme="minorHAnsi"/>
                <w:sz w:val="20"/>
                <w:szCs w:val="20"/>
              </w:rPr>
            </w:pPr>
            <w:r>
              <w:rPr>
                <w:rFonts w:cstheme="minorHAnsi"/>
                <w:sz w:val="20"/>
                <w:szCs w:val="20"/>
              </w:rPr>
              <w:t>15</w:t>
            </w:r>
            <w:r w:rsidRPr="002B30FD">
              <w:rPr>
                <w:rFonts w:cstheme="minorHAnsi"/>
                <w:sz w:val="20"/>
                <w:szCs w:val="20"/>
              </w:rPr>
              <w:t>.</w:t>
            </w:r>
          </w:p>
        </w:tc>
        <w:tc>
          <w:tcPr>
            <w:tcW w:w="2977" w:type="dxa"/>
            <w:tcBorders>
              <w:top w:val="single" w:sz="8" w:space="0" w:color="33CC33"/>
              <w:bottom w:val="single" w:sz="8" w:space="0" w:color="33CC33"/>
            </w:tcBorders>
            <w:vAlign w:val="center"/>
          </w:tcPr>
          <w:p w14:paraId="0C0241A3" w14:textId="77777777" w:rsidR="00C4175F" w:rsidRPr="002B30FD" w:rsidRDefault="00C4175F" w:rsidP="00EA50AF">
            <w:pPr>
              <w:autoSpaceDE w:val="0"/>
              <w:autoSpaceDN w:val="0"/>
              <w:adjustRightInd w:val="0"/>
              <w:rPr>
                <w:rFonts w:cstheme="minorHAnsi"/>
                <w:i/>
                <w:sz w:val="20"/>
                <w:szCs w:val="20"/>
              </w:rPr>
            </w:pPr>
            <w:r w:rsidRPr="004433A4">
              <w:rPr>
                <w:rFonts w:cstheme="minorHAnsi"/>
                <w:i/>
                <w:sz w:val="20"/>
                <w:szCs w:val="20"/>
              </w:rPr>
              <w:t>Liczba stanowisk postojowych w wybudowanych obiektach „</w:t>
            </w:r>
            <w:proofErr w:type="spellStart"/>
            <w:r w:rsidRPr="004433A4">
              <w:rPr>
                <w:rFonts w:cstheme="minorHAnsi"/>
                <w:i/>
                <w:sz w:val="20"/>
                <w:szCs w:val="20"/>
              </w:rPr>
              <w:t>Bike&amp;Ride</w:t>
            </w:r>
            <w:proofErr w:type="spellEnd"/>
            <w:r w:rsidRPr="004433A4">
              <w:rPr>
                <w:rFonts w:cstheme="minorHAnsi"/>
                <w:i/>
                <w:sz w:val="20"/>
                <w:szCs w:val="20"/>
              </w:rPr>
              <w:t>”</w:t>
            </w:r>
          </w:p>
        </w:tc>
        <w:tc>
          <w:tcPr>
            <w:tcW w:w="1276" w:type="dxa"/>
            <w:tcBorders>
              <w:top w:val="single" w:sz="8" w:space="0" w:color="33CC33"/>
              <w:bottom w:val="single" w:sz="8" w:space="0" w:color="33CC33"/>
            </w:tcBorders>
            <w:vAlign w:val="center"/>
          </w:tcPr>
          <w:p w14:paraId="4D9CBDC4" w14:textId="77777777" w:rsidR="00C4175F" w:rsidRPr="002B30FD" w:rsidRDefault="00C4175F" w:rsidP="00EA50AF">
            <w:pPr>
              <w:spacing w:before="60" w:after="60"/>
              <w:jc w:val="center"/>
              <w:rPr>
                <w:rFonts w:cstheme="minorHAnsi"/>
                <w:sz w:val="20"/>
                <w:szCs w:val="20"/>
              </w:rPr>
            </w:pPr>
            <w:r>
              <w:rPr>
                <w:rFonts w:cstheme="minorHAnsi"/>
                <w:sz w:val="20"/>
                <w:szCs w:val="20"/>
              </w:rPr>
              <w:t>szt.</w:t>
            </w:r>
          </w:p>
        </w:tc>
        <w:tc>
          <w:tcPr>
            <w:tcW w:w="1276" w:type="dxa"/>
            <w:tcBorders>
              <w:top w:val="single" w:sz="8" w:space="0" w:color="33CC33"/>
              <w:bottom w:val="single" w:sz="8" w:space="0" w:color="33CC33"/>
            </w:tcBorders>
            <w:vAlign w:val="center"/>
          </w:tcPr>
          <w:p w14:paraId="1128E0D9"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684693BC"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769E8842"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3ADE3A92" w14:textId="77777777" w:rsidR="00C4175F" w:rsidRPr="002B30FD" w:rsidRDefault="00C4175F" w:rsidP="00EA50AF">
            <w:pPr>
              <w:autoSpaceDE w:val="0"/>
              <w:autoSpaceDN w:val="0"/>
              <w:adjustRightInd w:val="0"/>
              <w:spacing w:before="80" w:after="40"/>
              <w:jc w:val="both"/>
              <w:rPr>
                <w:rFonts w:cstheme="minorHAnsi"/>
                <w:sz w:val="20"/>
                <w:szCs w:val="20"/>
              </w:rPr>
            </w:pPr>
            <w:r w:rsidRPr="004433A4">
              <w:rPr>
                <w:rFonts w:cstheme="minorHAnsi"/>
                <w:sz w:val="20"/>
                <w:szCs w:val="20"/>
              </w:rPr>
              <w:t>Liczba stanowisk przeznaczonych do przyczepienia roweru, znajdujących się na terenie parkingu przeznaczonego do pozostawiania rowerów.</w:t>
            </w:r>
          </w:p>
        </w:tc>
      </w:tr>
      <w:tr w:rsidR="00C4175F" w:rsidRPr="000F4CA9" w14:paraId="0D565DD2" w14:textId="77777777" w:rsidTr="00EA50AF">
        <w:trPr>
          <w:trHeight w:val="63"/>
        </w:trPr>
        <w:tc>
          <w:tcPr>
            <w:tcW w:w="552" w:type="dxa"/>
            <w:tcBorders>
              <w:top w:val="single" w:sz="8" w:space="0" w:color="33CC33"/>
              <w:bottom w:val="single" w:sz="8" w:space="0" w:color="33CC33"/>
            </w:tcBorders>
            <w:vAlign w:val="center"/>
          </w:tcPr>
          <w:p w14:paraId="2E4B1EB0" w14:textId="77777777" w:rsidR="00C4175F" w:rsidRPr="002B30FD" w:rsidRDefault="00C4175F" w:rsidP="00EA50AF">
            <w:pPr>
              <w:spacing w:before="60" w:after="60"/>
              <w:rPr>
                <w:rFonts w:cstheme="minorHAnsi"/>
                <w:sz w:val="20"/>
                <w:szCs w:val="20"/>
              </w:rPr>
            </w:pPr>
            <w:r>
              <w:rPr>
                <w:rFonts w:cstheme="minorHAnsi"/>
                <w:sz w:val="20"/>
                <w:szCs w:val="20"/>
              </w:rPr>
              <w:t>16</w:t>
            </w:r>
            <w:r w:rsidRPr="002B30FD">
              <w:rPr>
                <w:rFonts w:cstheme="minorHAnsi"/>
                <w:sz w:val="20"/>
                <w:szCs w:val="20"/>
              </w:rPr>
              <w:t>.</w:t>
            </w:r>
          </w:p>
        </w:tc>
        <w:tc>
          <w:tcPr>
            <w:tcW w:w="2977" w:type="dxa"/>
            <w:tcBorders>
              <w:top w:val="single" w:sz="8" w:space="0" w:color="33CC33"/>
              <w:bottom w:val="single" w:sz="8" w:space="0" w:color="33CC33"/>
            </w:tcBorders>
            <w:vAlign w:val="center"/>
          </w:tcPr>
          <w:p w14:paraId="12E50900" w14:textId="77777777" w:rsidR="00C4175F" w:rsidRPr="002B30FD" w:rsidRDefault="00C4175F" w:rsidP="00EA50AF">
            <w:pPr>
              <w:autoSpaceDE w:val="0"/>
              <w:autoSpaceDN w:val="0"/>
              <w:adjustRightInd w:val="0"/>
              <w:rPr>
                <w:rFonts w:cstheme="minorHAnsi"/>
                <w:i/>
                <w:sz w:val="20"/>
                <w:szCs w:val="20"/>
              </w:rPr>
            </w:pPr>
            <w:r w:rsidRPr="004433A4">
              <w:rPr>
                <w:rFonts w:cstheme="minorHAnsi"/>
                <w:i/>
                <w:sz w:val="20"/>
                <w:szCs w:val="20"/>
              </w:rPr>
              <w:t>Infrastruktura paliw alternatywnych (punkty tankowania/ładowania)</w:t>
            </w:r>
          </w:p>
        </w:tc>
        <w:tc>
          <w:tcPr>
            <w:tcW w:w="1276" w:type="dxa"/>
            <w:tcBorders>
              <w:top w:val="single" w:sz="8" w:space="0" w:color="33CC33"/>
              <w:bottom w:val="single" w:sz="8" w:space="0" w:color="33CC33"/>
            </w:tcBorders>
            <w:vAlign w:val="center"/>
          </w:tcPr>
          <w:p w14:paraId="77970E47" w14:textId="77777777" w:rsidR="00C4175F" w:rsidRPr="002B30FD" w:rsidRDefault="00C4175F" w:rsidP="00EA50AF">
            <w:pPr>
              <w:spacing w:before="60" w:after="60"/>
              <w:jc w:val="center"/>
              <w:rPr>
                <w:rFonts w:cstheme="minorHAnsi"/>
                <w:sz w:val="20"/>
                <w:szCs w:val="20"/>
              </w:rPr>
            </w:pPr>
            <w:r>
              <w:rPr>
                <w:rFonts w:cstheme="minorHAnsi"/>
                <w:sz w:val="20"/>
                <w:szCs w:val="20"/>
              </w:rPr>
              <w:t>szt.</w:t>
            </w:r>
          </w:p>
        </w:tc>
        <w:tc>
          <w:tcPr>
            <w:tcW w:w="1276" w:type="dxa"/>
            <w:tcBorders>
              <w:top w:val="single" w:sz="8" w:space="0" w:color="33CC33"/>
              <w:bottom w:val="single" w:sz="8" w:space="0" w:color="33CC33"/>
            </w:tcBorders>
            <w:vAlign w:val="center"/>
          </w:tcPr>
          <w:p w14:paraId="790BAC5B" w14:textId="77777777" w:rsidR="00C4175F" w:rsidRPr="00C2323D" w:rsidRDefault="00C4175F" w:rsidP="00EA50AF">
            <w:pPr>
              <w:spacing w:before="80" w:after="80"/>
              <w:jc w:val="center"/>
              <w:rPr>
                <w:rFonts w:cstheme="minorHAnsi"/>
                <w:sz w:val="20"/>
                <w:szCs w:val="20"/>
              </w:rPr>
            </w:pPr>
            <w:r w:rsidRPr="00C2323D">
              <w:rPr>
                <w:rFonts w:cstheme="minorHAnsi"/>
                <w:sz w:val="20"/>
                <w:szCs w:val="20"/>
              </w:rPr>
              <w:t>produkt</w:t>
            </w:r>
          </w:p>
        </w:tc>
        <w:tc>
          <w:tcPr>
            <w:tcW w:w="1417" w:type="dxa"/>
            <w:tcBorders>
              <w:top w:val="single" w:sz="8" w:space="0" w:color="33CC33"/>
              <w:bottom w:val="single" w:sz="8" w:space="0" w:color="33CC33"/>
            </w:tcBorders>
            <w:vAlign w:val="center"/>
          </w:tcPr>
          <w:p w14:paraId="4FE014EC"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628F70EF"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33EC5A71" w14:textId="77777777" w:rsidR="00C4175F" w:rsidRPr="002B30FD" w:rsidRDefault="00C4175F" w:rsidP="00EA50AF">
            <w:pPr>
              <w:autoSpaceDE w:val="0"/>
              <w:autoSpaceDN w:val="0"/>
              <w:adjustRightInd w:val="0"/>
              <w:spacing w:before="80" w:after="40"/>
              <w:jc w:val="both"/>
              <w:rPr>
                <w:rFonts w:cstheme="minorHAnsi"/>
                <w:sz w:val="20"/>
                <w:szCs w:val="20"/>
              </w:rPr>
            </w:pPr>
            <w:r w:rsidRPr="004433A4">
              <w:rPr>
                <w:rFonts w:cstheme="minorHAnsi"/>
                <w:sz w:val="20"/>
                <w:szCs w:val="20"/>
              </w:rPr>
              <w:t>Liczba punktów tankowania/ładowania (nowych lub zmodernizowanych) dla ekologicznie czystych pojazdów finansowanych w ramach projektów objętych wsparciem.   Punkt ładowania oznacza urządzenie, które umożliwia ładowanie pojedynczego pojazdu elektrycznego lub wymianę akumulatora pojedynczego pojazdu elektrycznego. Punkt tankowania odnosi się do stanowiska tankowania dostarczającego paliwa alternatywnego za pomocą instalacji stałej lub ruchomej.   Paliwo alternatywne oznacza paliwo lub źródło energii, które służy, przynajmniej częściowo, jako substytut dla pochodzących z surowej ropy naftowej źródeł energii w transporcie i które może potencjalnie przyczynić się do dekarbonizacji transportu i poprawy ekologiczności sektora transportu.</w:t>
            </w:r>
          </w:p>
        </w:tc>
      </w:tr>
      <w:tr w:rsidR="00C4175F" w:rsidRPr="000F4CA9" w14:paraId="0E22F80B" w14:textId="77777777" w:rsidTr="00EA50AF">
        <w:trPr>
          <w:trHeight w:val="63"/>
        </w:trPr>
        <w:tc>
          <w:tcPr>
            <w:tcW w:w="552" w:type="dxa"/>
            <w:tcBorders>
              <w:top w:val="single" w:sz="8" w:space="0" w:color="33CC33"/>
              <w:bottom w:val="single" w:sz="8" w:space="0" w:color="33CC33"/>
            </w:tcBorders>
            <w:vAlign w:val="center"/>
          </w:tcPr>
          <w:p w14:paraId="455A00AE" w14:textId="77777777" w:rsidR="00C4175F" w:rsidRPr="002B30FD" w:rsidRDefault="00C4175F" w:rsidP="00EA50AF">
            <w:pPr>
              <w:spacing w:before="60" w:after="60"/>
              <w:rPr>
                <w:rFonts w:cstheme="minorHAnsi"/>
                <w:sz w:val="20"/>
                <w:szCs w:val="20"/>
              </w:rPr>
            </w:pPr>
            <w:r>
              <w:rPr>
                <w:rFonts w:cstheme="minorHAnsi"/>
                <w:sz w:val="20"/>
                <w:szCs w:val="20"/>
              </w:rPr>
              <w:t>17.</w:t>
            </w:r>
          </w:p>
        </w:tc>
        <w:tc>
          <w:tcPr>
            <w:tcW w:w="2977" w:type="dxa"/>
            <w:tcBorders>
              <w:top w:val="single" w:sz="8" w:space="0" w:color="33CC33"/>
              <w:bottom w:val="single" w:sz="8" w:space="0" w:color="33CC33"/>
            </w:tcBorders>
            <w:vAlign w:val="center"/>
          </w:tcPr>
          <w:p w14:paraId="28D8E050" w14:textId="77777777" w:rsidR="00C4175F" w:rsidRPr="002B30FD" w:rsidRDefault="00C4175F" w:rsidP="00EA50AF">
            <w:pPr>
              <w:autoSpaceDE w:val="0"/>
              <w:autoSpaceDN w:val="0"/>
              <w:adjustRightInd w:val="0"/>
              <w:rPr>
                <w:rFonts w:cstheme="minorHAnsi"/>
                <w:i/>
                <w:sz w:val="20"/>
                <w:szCs w:val="20"/>
              </w:rPr>
            </w:pPr>
            <w:r w:rsidRPr="004433A4">
              <w:rPr>
                <w:rFonts w:cstheme="minorHAnsi"/>
                <w:i/>
                <w:sz w:val="20"/>
                <w:szCs w:val="20"/>
              </w:rPr>
              <w:t>Roczna liczba użytkowników nowego lub zmodernizowanego transportu publicznego</w:t>
            </w:r>
          </w:p>
        </w:tc>
        <w:tc>
          <w:tcPr>
            <w:tcW w:w="1276" w:type="dxa"/>
            <w:tcBorders>
              <w:top w:val="single" w:sz="8" w:space="0" w:color="33CC33"/>
              <w:bottom w:val="single" w:sz="8" w:space="0" w:color="33CC33"/>
            </w:tcBorders>
            <w:vAlign w:val="center"/>
          </w:tcPr>
          <w:p w14:paraId="23223362" w14:textId="77777777" w:rsidR="00C4175F" w:rsidRPr="002B30FD" w:rsidRDefault="00C4175F" w:rsidP="00EA50AF">
            <w:pPr>
              <w:spacing w:before="60" w:after="60"/>
              <w:jc w:val="center"/>
              <w:rPr>
                <w:rFonts w:cstheme="minorHAnsi"/>
                <w:sz w:val="20"/>
                <w:szCs w:val="20"/>
              </w:rPr>
            </w:pPr>
            <w:r w:rsidRPr="004433A4">
              <w:rPr>
                <w:rFonts w:cstheme="minorHAnsi"/>
                <w:sz w:val="20"/>
                <w:szCs w:val="20"/>
              </w:rPr>
              <w:t>użytkownicy/rok</w:t>
            </w:r>
          </w:p>
        </w:tc>
        <w:tc>
          <w:tcPr>
            <w:tcW w:w="1276" w:type="dxa"/>
            <w:tcBorders>
              <w:top w:val="single" w:sz="8" w:space="0" w:color="33CC33"/>
              <w:bottom w:val="single" w:sz="8" w:space="0" w:color="33CC33"/>
            </w:tcBorders>
            <w:vAlign w:val="center"/>
          </w:tcPr>
          <w:p w14:paraId="7219F3AA"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rezultat</w:t>
            </w:r>
          </w:p>
        </w:tc>
        <w:tc>
          <w:tcPr>
            <w:tcW w:w="1417" w:type="dxa"/>
            <w:tcBorders>
              <w:top w:val="single" w:sz="8" w:space="0" w:color="33CC33"/>
              <w:bottom w:val="single" w:sz="8" w:space="0" w:color="33CC33"/>
            </w:tcBorders>
            <w:vAlign w:val="center"/>
          </w:tcPr>
          <w:p w14:paraId="68A5C262"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3A1F0CBB"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w:t>
            </w:r>
          </w:p>
        </w:tc>
        <w:tc>
          <w:tcPr>
            <w:tcW w:w="5670" w:type="dxa"/>
            <w:tcBorders>
              <w:top w:val="single" w:sz="8" w:space="0" w:color="33CC33"/>
              <w:bottom w:val="single" w:sz="8" w:space="0" w:color="33CC33"/>
            </w:tcBorders>
            <w:vAlign w:val="center"/>
          </w:tcPr>
          <w:p w14:paraId="543847AF" w14:textId="77777777" w:rsidR="00C4175F" w:rsidRPr="002B30FD" w:rsidRDefault="00C4175F" w:rsidP="00EA50AF">
            <w:pPr>
              <w:autoSpaceDE w:val="0"/>
              <w:autoSpaceDN w:val="0"/>
              <w:adjustRightInd w:val="0"/>
              <w:spacing w:before="80" w:after="40"/>
              <w:jc w:val="both"/>
              <w:rPr>
                <w:rFonts w:cstheme="minorHAnsi"/>
                <w:sz w:val="20"/>
                <w:szCs w:val="20"/>
              </w:rPr>
            </w:pPr>
            <w:r w:rsidRPr="004433A4">
              <w:rPr>
                <w:rFonts w:cstheme="minorHAnsi"/>
                <w:sz w:val="20"/>
                <w:szCs w:val="20"/>
              </w:rPr>
              <w:t xml:space="preserve">Roczna liczba użytkowników nowego lub zmodernizowanego transportu publicznego finansowanego w ramach projektów objętych wsparciem. Transport publiczny obejmuje transport miejski i podmiejski, taki jak autobusy, trolejbusy, linie autobusów wodnych (które nie są tramwajami, metrem – zob. RCR63). Modernizacja transportu publicznego odnosi się do znacznych ulepszeń w zakresie infrastruktury oraz dostępu i jakości usług.   Wartość bazowa wskaźnika szacowana jest jako liczba użytkowników usługi transportowej w roku poprzedzającym rozpoczęcie interwencji i wynosi zero w przypadku nowych usług.   Osiągniętą wartość szacuje się ex post jako liczbę użytkowników </w:t>
            </w:r>
            <w:r w:rsidRPr="004433A4">
              <w:rPr>
                <w:rFonts w:cstheme="minorHAnsi"/>
                <w:sz w:val="20"/>
                <w:szCs w:val="20"/>
              </w:rPr>
              <w:lastRenderedPageBreak/>
              <w:t>usługi transportowej w roku następującym po fizycznym zakończeniu interwencji.</w:t>
            </w:r>
          </w:p>
        </w:tc>
      </w:tr>
      <w:tr w:rsidR="00C4175F" w:rsidRPr="000F4CA9" w14:paraId="124A6727" w14:textId="77777777" w:rsidTr="00EA50AF">
        <w:trPr>
          <w:trHeight w:val="63"/>
        </w:trPr>
        <w:tc>
          <w:tcPr>
            <w:tcW w:w="552" w:type="dxa"/>
            <w:tcBorders>
              <w:top w:val="single" w:sz="8" w:space="0" w:color="33CC33"/>
              <w:bottom w:val="single" w:sz="8" w:space="0" w:color="33CC33"/>
            </w:tcBorders>
            <w:vAlign w:val="center"/>
          </w:tcPr>
          <w:p w14:paraId="6E926DF3" w14:textId="77777777" w:rsidR="00C4175F" w:rsidRDefault="00C4175F" w:rsidP="00EA50AF">
            <w:pPr>
              <w:spacing w:before="60" w:after="60"/>
              <w:rPr>
                <w:rFonts w:cstheme="minorHAnsi"/>
                <w:sz w:val="20"/>
                <w:szCs w:val="20"/>
              </w:rPr>
            </w:pPr>
            <w:r>
              <w:rPr>
                <w:rFonts w:cstheme="minorHAnsi"/>
                <w:sz w:val="20"/>
                <w:szCs w:val="20"/>
              </w:rPr>
              <w:lastRenderedPageBreak/>
              <w:t>18.</w:t>
            </w:r>
          </w:p>
        </w:tc>
        <w:tc>
          <w:tcPr>
            <w:tcW w:w="2977" w:type="dxa"/>
            <w:tcBorders>
              <w:top w:val="single" w:sz="8" w:space="0" w:color="33CC33"/>
              <w:bottom w:val="single" w:sz="8" w:space="0" w:color="33CC33"/>
            </w:tcBorders>
            <w:vAlign w:val="center"/>
          </w:tcPr>
          <w:p w14:paraId="0290E6B6" w14:textId="77777777" w:rsidR="00C4175F" w:rsidRPr="002B30FD" w:rsidRDefault="00C4175F" w:rsidP="00EA50AF">
            <w:pPr>
              <w:autoSpaceDE w:val="0"/>
              <w:autoSpaceDN w:val="0"/>
              <w:adjustRightInd w:val="0"/>
              <w:rPr>
                <w:rFonts w:cstheme="minorHAnsi"/>
                <w:i/>
                <w:sz w:val="20"/>
                <w:szCs w:val="20"/>
              </w:rPr>
            </w:pPr>
            <w:r w:rsidRPr="004433A4">
              <w:rPr>
                <w:rFonts w:cstheme="minorHAnsi"/>
                <w:i/>
                <w:sz w:val="20"/>
                <w:szCs w:val="20"/>
              </w:rPr>
              <w:t>Szacowana emisja gazów cieplarnianych</w:t>
            </w:r>
          </w:p>
        </w:tc>
        <w:tc>
          <w:tcPr>
            <w:tcW w:w="1276" w:type="dxa"/>
            <w:tcBorders>
              <w:top w:val="single" w:sz="8" w:space="0" w:color="33CC33"/>
              <w:bottom w:val="single" w:sz="8" w:space="0" w:color="33CC33"/>
            </w:tcBorders>
            <w:vAlign w:val="center"/>
          </w:tcPr>
          <w:p w14:paraId="0BEF8918" w14:textId="77777777" w:rsidR="00C4175F" w:rsidRPr="002B30FD" w:rsidRDefault="00C4175F" w:rsidP="00EA50AF">
            <w:pPr>
              <w:spacing w:before="60" w:after="60"/>
              <w:jc w:val="center"/>
              <w:rPr>
                <w:rFonts w:cstheme="minorHAnsi"/>
                <w:sz w:val="20"/>
                <w:szCs w:val="20"/>
              </w:rPr>
            </w:pPr>
            <w:r w:rsidRPr="004433A4">
              <w:rPr>
                <w:rFonts w:cstheme="minorHAnsi"/>
                <w:sz w:val="20"/>
                <w:szCs w:val="20"/>
              </w:rPr>
              <w:t>tony równoważnika CO2/rok</w:t>
            </w:r>
          </w:p>
        </w:tc>
        <w:tc>
          <w:tcPr>
            <w:tcW w:w="1276" w:type="dxa"/>
            <w:tcBorders>
              <w:top w:val="single" w:sz="8" w:space="0" w:color="33CC33"/>
              <w:bottom w:val="single" w:sz="8" w:space="0" w:color="33CC33"/>
            </w:tcBorders>
            <w:vAlign w:val="center"/>
          </w:tcPr>
          <w:p w14:paraId="7F6B214E"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rezultat</w:t>
            </w:r>
          </w:p>
        </w:tc>
        <w:tc>
          <w:tcPr>
            <w:tcW w:w="1417" w:type="dxa"/>
            <w:tcBorders>
              <w:top w:val="single" w:sz="8" w:space="0" w:color="33CC33"/>
              <w:bottom w:val="single" w:sz="8" w:space="0" w:color="33CC33"/>
            </w:tcBorders>
            <w:vAlign w:val="center"/>
          </w:tcPr>
          <w:p w14:paraId="4BE99806"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5B7A020F" w14:textId="77777777" w:rsidR="00C4175F" w:rsidRPr="002B30FD" w:rsidRDefault="00C4175F" w:rsidP="00EA50AF">
            <w:pPr>
              <w:spacing w:before="80" w:after="80"/>
              <w:jc w:val="center"/>
              <w:rPr>
                <w:rFonts w:cstheme="minorHAnsi"/>
                <w:sz w:val="20"/>
                <w:szCs w:val="20"/>
              </w:rPr>
            </w:pPr>
            <w:r>
              <w:rPr>
                <w:rFonts w:cstheme="minorHAnsi"/>
                <w:sz w:val="20"/>
                <w:szCs w:val="20"/>
              </w:rPr>
              <w:t>-</w:t>
            </w:r>
          </w:p>
        </w:tc>
        <w:tc>
          <w:tcPr>
            <w:tcW w:w="5670" w:type="dxa"/>
            <w:tcBorders>
              <w:top w:val="single" w:sz="8" w:space="0" w:color="33CC33"/>
              <w:bottom w:val="single" w:sz="8" w:space="0" w:color="33CC33"/>
            </w:tcBorders>
            <w:vAlign w:val="center"/>
          </w:tcPr>
          <w:p w14:paraId="52CAB378" w14:textId="77777777" w:rsidR="00E63F16" w:rsidRDefault="00C4175F" w:rsidP="00EA50AF">
            <w:pPr>
              <w:autoSpaceDE w:val="0"/>
              <w:autoSpaceDN w:val="0"/>
              <w:adjustRightInd w:val="0"/>
              <w:spacing w:before="80" w:after="40"/>
              <w:jc w:val="both"/>
              <w:rPr>
                <w:rFonts w:cstheme="minorHAnsi"/>
                <w:sz w:val="20"/>
                <w:szCs w:val="20"/>
              </w:rPr>
            </w:pPr>
            <w:r w:rsidRPr="004433A4">
              <w:rPr>
                <w:rFonts w:cstheme="minorHAnsi"/>
                <w:sz w:val="20"/>
                <w:szCs w:val="20"/>
              </w:rPr>
              <w:t xml:space="preserve">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t>
            </w:r>
          </w:p>
          <w:p w14:paraId="15551F57" w14:textId="77777777" w:rsidR="00E63F16" w:rsidRPr="00E00265" w:rsidRDefault="00E63F16" w:rsidP="00E63F16">
            <w:pPr>
              <w:autoSpaceDE w:val="0"/>
              <w:autoSpaceDN w:val="0"/>
              <w:adjustRightInd w:val="0"/>
              <w:rPr>
                <w:rFonts w:ascii="Calibri" w:hAnsi="Calibri" w:cs="Calibri"/>
                <w:color w:val="000000"/>
                <w:sz w:val="20"/>
                <w:szCs w:val="20"/>
              </w:rPr>
            </w:pPr>
            <w:r w:rsidRPr="00D6413D">
              <w:rPr>
                <w:rFonts w:cstheme="minorHAnsi"/>
                <w:sz w:val="20"/>
                <w:szCs w:val="20"/>
              </w:rPr>
              <w:t xml:space="preserve">Sugeruje się, aby przy szacowaniu wartości bazowej i docelowej </w:t>
            </w:r>
            <w:r w:rsidRPr="00E00265">
              <w:rPr>
                <w:rFonts w:ascii="Calibri" w:hAnsi="Calibri" w:cs="Calibri"/>
                <w:color w:val="000000"/>
                <w:sz w:val="20"/>
                <w:szCs w:val="20"/>
              </w:rPr>
              <w:t xml:space="preserve">korzystać z metod przedstawionych w </w:t>
            </w:r>
            <w:r w:rsidRPr="00E00265">
              <w:rPr>
                <w:rFonts w:ascii="Calibri-Italic" w:hAnsi="Calibri-Italic" w:cs="Calibri-Italic"/>
                <w:i/>
                <w:iCs/>
                <w:color w:val="000000"/>
                <w:sz w:val="20"/>
                <w:szCs w:val="20"/>
              </w:rPr>
              <w:t xml:space="preserve">Niebieskich Księgach </w:t>
            </w:r>
            <w:r w:rsidRPr="00E00265">
              <w:rPr>
                <w:rFonts w:ascii="Calibri" w:hAnsi="Calibri" w:cs="Calibri"/>
                <w:color w:val="000000"/>
                <w:sz w:val="20"/>
                <w:szCs w:val="20"/>
              </w:rPr>
              <w:t xml:space="preserve">(Blue </w:t>
            </w:r>
            <w:proofErr w:type="spellStart"/>
            <w:r w:rsidRPr="00E00265">
              <w:rPr>
                <w:rFonts w:ascii="Calibri" w:hAnsi="Calibri" w:cs="Calibri"/>
                <w:color w:val="000000"/>
                <w:sz w:val="20"/>
                <w:szCs w:val="20"/>
              </w:rPr>
              <w:t>Books</w:t>
            </w:r>
            <w:proofErr w:type="spellEnd"/>
            <w:r w:rsidRPr="00E00265">
              <w:rPr>
                <w:rFonts w:ascii="Calibri" w:hAnsi="Calibri" w:cs="Calibri"/>
                <w:color w:val="000000"/>
                <w:sz w:val="20"/>
                <w:szCs w:val="20"/>
              </w:rPr>
              <w:t xml:space="preserve">), przygotowanych przez inicjatywę JASPERS (Joint Assistance to </w:t>
            </w:r>
            <w:proofErr w:type="spellStart"/>
            <w:r w:rsidRPr="00E00265">
              <w:rPr>
                <w:rFonts w:ascii="Calibri" w:hAnsi="Calibri" w:cs="Calibri"/>
                <w:color w:val="000000"/>
                <w:sz w:val="20"/>
                <w:szCs w:val="20"/>
              </w:rPr>
              <w:t>Support</w:t>
            </w:r>
            <w:proofErr w:type="spellEnd"/>
            <w:r w:rsidRPr="00E00265">
              <w:rPr>
                <w:rFonts w:ascii="Calibri" w:hAnsi="Calibri" w:cs="Calibri"/>
                <w:color w:val="000000"/>
                <w:sz w:val="20"/>
                <w:szCs w:val="20"/>
              </w:rPr>
              <w:t xml:space="preserve"> </w:t>
            </w:r>
            <w:proofErr w:type="spellStart"/>
            <w:r w:rsidRPr="00E00265">
              <w:rPr>
                <w:rFonts w:ascii="Calibri" w:hAnsi="Calibri" w:cs="Calibri"/>
                <w:color w:val="000000"/>
                <w:sz w:val="20"/>
                <w:szCs w:val="20"/>
              </w:rPr>
              <w:t>Projects</w:t>
            </w:r>
            <w:proofErr w:type="spellEnd"/>
            <w:r w:rsidRPr="00E00265">
              <w:rPr>
                <w:rFonts w:ascii="Calibri" w:hAnsi="Calibri" w:cs="Calibri"/>
                <w:color w:val="000000"/>
                <w:sz w:val="20"/>
                <w:szCs w:val="20"/>
              </w:rPr>
              <w:t xml:space="preserve"> in </w:t>
            </w:r>
            <w:proofErr w:type="spellStart"/>
            <w:r w:rsidRPr="00E00265">
              <w:rPr>
                <w:rFonts w:ascii="Calibri" w:hAnsi="Calibri" w:cs="Calibri"/>
                <w:color w:val="000000"/>
                <w:sz w:val="20"/>
                <w:szCs w:val="20"/>
              </w:rPr>
              <w:t>European</w:t>
            </w:r>
            <w:proofErr w:type="spellEnd"/>
            <w:r w:rsidRPr="00E00265">
              <w:rPr>
                <w:rFonts w:ascii="Calibri" w:hAnsi="Calibri" w:cs="Calibri"/>
                <w:color w:val="000000"/>
                <w:sz w:val="20"/>
                <w:szCs w:val="20"/>
              </w:rPr>
              <w:t xml:space="preserve"> Regions).</w:t>
            </w:r>
            <w:r>
              <w:rPr>
                <w:rFonts w:ascii="Calibri" w:hAnsi="Calibri" w:cs="Calibri"/>
                <w:color w:val="000000"/>
                <w:sz w:val="20"/>
                <w:szCs w:val="20"/>
              </w:rPr>
              <w:t xml:space="preserve"> </w:t>
            </w:r>
            <w:r w:rsidRPr="00E00265">
              <w:rPr>
                <w:rFonts w:ascii="Calibri" w:hAnsi="Calibri" w:cs="Calibri"/>
                <w:color w:val="000000"/>
                <w:sz w:val="20"/>
                <w:szCs w:val="20"/>
              </w:rPr>
              <w:t>Opracowania te są dostępne na stronie internetowej Centrum Unijnych Projektów Transportowych</w:t>
            </w:r>
          </w:p>
          <w:p w14:paraId="72ADD828" w14:textId="3C606561" w:rsidR="00C4175F" w:rsidRPr="00C90618" w:rsidRDefault="00E63F16" w:rsidP="00C90618">
            <w:pPr>
              <w:autoSpaceDE w:val="0"/>
              <w:autoSpaceDN w:val="0"/>
              <w:adjustRightInd w:val="0"/>
              <w:rPr>
                <w:rFonts w:ascii="Calibri" w:hAnsi="Calibri" w:cs="Calibri"/>
                <w:color w:val="000000"/>
                <w:sz w:val="20"/>
                <w:szCs w:val="20"/>
              </w:rPr>
            </w:pPr>
            <w:r w:rsidRPr="00E00265">
              <w:rPr>
                <w:rFonts w:ascii="Calibri" w:hAnsi="Calibri" w:cs="Calibri"/>
                <w:color w:val="000000"/>
                <w:sz w:val="20"/>
                <w:szCs w:val="20"/>
              </w:rPr>
              <w:t>(</w:t>
            </w:r>
            <w:hyperlink r:id="rId9" w:history="1">
              <w:r w:rsidRPr="00E00265">
                <w:rPr>
                  <w:rStyle w:val="Hipercze"/>
                  <w:sz w:val="20"/>
                  <w:szCs w:val="20"/>
                </w:rPr>
                <w:t>https://www.cupt.gov.pl/strefa-beneficjenta/wdrazanie-projektow/analiza-kosztow-ikorzysci/metodyka-analizy-kosztow-i-korzysci/niebieskie-ksiegi-2021-2027/</w:t>
              </w:r>
            </w:hyperlink>
            <w:r w:rsidRPr="00E00265">
              <w:rPr>
                <w:rFonts w:ascii="Calibri" w:hAnsi="Calibri" w:cs="Calibri"/>
                <w:color w:val="000000"/>
                <w:sz w:val="20"/>
                <w:szCs w:val="20"/>
              </w:rPr>
              <w:t>).</w:t>
            </w:r>
          </w:p>
        </w:tc>
      </w:tr>
      <w:tr w:rsidR="00C4175F" w:rsidRPr="000F4CA9" w14:paraId="3C457186" w14:textId="77777777" w:rsidTr="00EA50AF">
        <w:trPr>
          <w:trHeight w:val="63"/>
        </w:trPr>
        <w:tc>
          <w:tcPr>
            <w:tcW w:w="552" w:type="dxa"/>
            <w:tcBorders>
              <w:top w:val="single" w:sz="8" w:space="0" w:color="33CC33"/>
              <w:bottom w:val="single" w:sz="8" w:space="0" w:color="33CC33"/>
            </w:tcBorders>
            <w:vAlign w:val="center"/>
          </w:tcPr>
          <w:p w14:paraId="4B63F6F1" w14:textId="77777777" w:rsidR="00C4175F" w:rsidRDefault="00C4175F" w:rsidP="00EA50AF">
            <w:pPr>
              <w:spacing w:before="60" w:after="60"/>
              <w:rPr>
                <w:rFonts w:cstheme="minorHAnsi"/>
                <w:sz w:val="20"/>
                <w:szCs w:val="20"/>
              </w:rPr>
            </w:pPr>
            <w:r>
              <w:rPr>
                <w:rFonts w:cstheme="minorHAnsi"/>
                <w:sz w:val="20"/>
                <w:szCs w:val="20"/>
              </w:rPr>
              <w:t>19.</w:t>
            </w:r>
          </w:p>
        </w:tc>
        <w:tc>
          <w:tcPr>
            <w:tcW w:w="2977" w:type="dxa"/>
            <w:tcBorders>
              <w:top w:val="single" w:sz="8" w:space="0" w:color="33CC33"/>
              <w:bottom w:val="single" w:sz="8" w:space="0" w:color="33CC33"/>
            </w:tcBorders>
            <w:vAlign w:val="center"/>
          </w:tcPr>
          <w:p w14:paraId="55056918" w14:textId="77777777" w:rsidR="00C4175F" w:rsidRPr="004433A4" w:rsidRDefault="00C4175F" w:rsidP="00EA50AF">
            <w:pPr>
              <w:autoSpaceDE w:val="0"/>
              <w:autoSpaceDN w:val="0"/>
              <w:adjustRightInd w:val="0"/>
              <w:rPr>
                <w:rFonts w:cstheme="minorHAnsi"/>
                <w:i/>
                <w:sz w:val="20"/>
                <w:szCs w:val="20"/>
              </w:rPr>
            </w:pPr>
            <w:r w:rsidRPr="004433A4">
              <w:rPr>
                <w:rFonts w:cstheme="minorHAnsi"/>
                <w:i/>
                <w:sz w:val="20"/>
                <w:szCs w:val="20"/>
              </w:rPr>
              <w:t>Liczba pojazdów korzystających z miejsc postojowych w wybudowanych, przebudowanych lub doposażonych obiektach „parkuj i jedź”</w:t>
            </w:r>
          </w:p>
        </w:tc>
        <w:tc>
          <w:tcPr>
            <w:tcW w:w="1276" w:type="dxa"/>
            <w:tcBorders>
              <w:top w:val="single" w:sz="8" w:space="0" w:color="33CC33"/>
              <w:bottom w:val="single" w:sz="8" w:space="0" w:color="33CC33"/>
            </w:tcBorders>
            <w:vAlign w:val="center"/>
          </w:tcPr>
          <w:p w14:paraId="4B9DACFD" w14:textId="77777777" w:rsidR="00C4175F" w:rsidRPr="004433A4" w:rsidRDefault="00C4175F" w:rsidP="00EA50AF">
            <w:pPr>
              <w:spacing w:before="60" w:after="60"/>
              <w:jc w:val="center"/>
              <w:rPr>
                <w:rFonts w:cstheme="minorHAnsi"/>
                <w:sz w:val="20"/>
                <w:szCs w:val="20"/>
              </w:rPr>
            </w:pPr>
            <w:r>
              <w:rPr>
                <w:rFonts w:cstheme="minorHAnsi"/>
                <w:sz w:val="20"/>
                <w:szCs w:val="20"/>
              </w:rPr>
              <w:t xml:space="preserve">szt. </w:t>
            </w:r>
          </w:p>
        </w:tc>
        <w:tc>
          <w:tcPr>
            <w:tcW w:w="1276" w:type="dxa"/>
            <w:tcBorders>
              <w:top w:val="single" w:sz="8" w:space="0" w:color="33CC33"/>
              <w:bottom w:val="single" w:sz="8" w:space="0" w:color="33CC33"/>
            </w:tcBorders>
            <w:vAlign w:val="center"/>
          </w:tcPr>
          <w:p w14:paraId="7B0235A1"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rezultat</w:t>
            </w:r>
          </w:p>
        </w:tc>
        <w:tc>
          <w:tcPr>
            <w:tcW w:w="1417" w:type="dxa"/>
            <w:tcBorders>
              <w:top w:val="single" w:sz="8" w:space="0" w:color="33CC33"/>
              <w:bottom w:val="single" w:sz="8" w:space="0" w:color="33CC33"/>
            </w:tcBorders>
            <w:vAlign w:val="center"/>
          </w:tcPr>
          <w:p w14:paraId="1ED06BE2" w14:textId="77777777" w:rsidR="00C4175F" w:rsidRPr="002B30FD" w:rsidRDefault="00C4175F" w:rsidP="00EA50AF">
            <w:pPr>
              <w:spacing w:before="80" w:after="80"/>
              <w:jc w:val="center"/>
              <w:rPr>
                <w:rFonts w:cstheme="minorHAnsi"/>
                <w:sz w:val="20"/>
                <w:szCs w:val="20"/>
              </w:rPr>
            </w:pPr>
            <w:r w:rsidRPr="002B30FD">
              <w:rPr>
                <w:rFonts w:cstheme="minorHAnsi"/>
                <w:sz w:val="20"/>
                <w:szCs w:val="20"/>
              </w:rPr>
              <w:t>kluczowy</w:t>
            </w:r>
          </w:p>
        </w:tc>
        <w:tc>
          <w:tcPr>
            <w:tcW w:w="1418" w:type="dxa"/>
            <w:tcBorders>
              <w:top w:val="single" w:sz="8" w:space="0" w:color="33CC33"/>
              <w:bottom w:val="single" w:sz="8" w:space="0" w:color="33CC33"/>
            </w:tcBorders>
            <w:vAlign w:val="center"/>
          </w:tcPr>
          <w:p w14:paraId="3CC78376" w14:textId="77777777" w:rsidR="00C4175F" w:rsidRDefault="00C4175F" w:rsidP="00EA50AF">
            <w:pPr>
              <w:spacing w:before="80" w:after="80"/>
              <w:jc w:val="center"/>
              <w:rPr>
                <w:rFonts w:cstheme="minorHAnsi"/>
                <w:sz w:val="20"/>
                <w:szCs w:val="20"/>
              </w:rPr>
            </w:pPr>
            <w:r>
              <w:rPr>
                <w:rFonts w:cstheme="minorHAnsi"/>
                <w:sz w:val="20"/>
                <w:szCs w:val="20"/>
              </w:rPr>
              <w:t>-</w:t>
            </w:r>
          </w:p>
        </w:tc>
        <w:tc>
          <w:tcPr>
            <w:tcW w:w="5670" w:type="dxa"/>
            <w:tcBorders>
              <w:top w:val="single" w:sz="8" w:space="0" w:color="33CC33"/>
              <w:bottom w:val="single" w:sz="8" w:space="0" w:color="33CC33"/>
            </w:tcBorders>
            <w:vAlign w:val="center"/>
          </w:tcPr>
          <w:p w14:paraId="4D0B0ED9" w14:textId="77777777" w:rsidR="00C4175F" w:rsidRPr="004433A4" w:rsidRDefault="00C4175F" w:rsidP="00EA50AF">
            <w:pPr>
              <w:autoSpaceDE w:val="0"/>
              <w:autoSpaceDN w:val="0"/>
              <w:adjustRightInd w:val="0"/>
              <w:spacing w:before="80" w:after="40"/>
              <w:jc w:val="both"/>
              <w:rPr>
                <w:rFonts w:cstheme="minorHAnsi"/>
                <w:sz w:val="20"/>
                <w:szCs w:val="20"/>
              </w:rPr>
            </w:pPr>
            <w:r w:rsidRPr="004433A4">
              <w:rPr>
                <w:rFonts w:cstheme="minorHAnsi"/>
                <w:sz w:val="20"/>
                <w:szCs w:val="20"/>
              </w:rPr>
              <w:t>Wskaźnik mierzy liczbę samochodów, jednośladów, które skorzystały z miejsc postojowych na terenie parkingu w systemie „parkuj i jedź” („</w:t>
            </w:r>
            <w:proofErr w:type="spellStart"/>
            <w:r w:rsidRPr="004433A4">
              <w:rPr>
                <w:rFonts w:cstheme="minorHAnsi"/>
                <w:sz w:val="20"/>
                <w:szCs w:val="20"/>
              </w:rPr>
              <w:t>Park&amp;Ride</w:t>
            </w:r>
            <w:proofErr w:type="spellEnd"/>
            <w:r w:rsidRPr="004433A4">
              <w:rPr>
                <w:rFonts w:cstheme="minorHAnsi"/>
                <w:sz w:val="20"/>
                <w:szCs w:val="20"/>
              </w:rPr>
              <w:t>”) w ciągu pełnego roku od zakończenia realizacji projektu.</w:t>
            </w:r>
            <w:r>
              <w:rPr>
                <w:rFonts w:cstheme="minorHAnsi"/>
                <w:sz w:val="20"/>
                <w:szCs w:val="20"/>
              </w:rPr>
              <w:t xml:space="preserve"> </w:t>
            </w:r>
            <w:r w:rsidRPr="004433A4">
              <w:rPr>
                <w:rFonts w:cstheme="minorHAnsi"/>
                <w:sz w:val="20"/>
                <w:szCs w:val="20"/>
              </w:rPr>
              <w:t>Do wartości wskaźnika należy wliczyć każde skorzystanie z parkingu (wjazd-wyjazd) przez samochód, jednoślad, nawet jeżeli ten sam samochód, jednoślad skorzystał w danym dniu (dobie) więcej niż raz z parkingu.</w:t>
            </w:r>
          </w:p>
        </w:tc>
      </w:tr>
    </w:tbl>
    <w:p w14:paraId="69453700" w14:textId="77777777" w:rsidR="005B09B9" w:rsidRPr="00483DA1" w:rsidRDefault="005B09B9" w:rsidP="00E01179">
      <w:pPr>
        <w:spacing w:after="0"/>
        <w:rPr>
          <w:rFonts w:ascii="Arial" w:eastAsiaTheme="minorEastAsia" w:hAnsi="Arial" w:cs="Arial"/>
          <w:sz w:val="18"/>
          <w:szCs w:val="18"/>
          <w:lang w:eastAsia="pl-PL"/>
        </w:rPr>
      </w:pPr>
    </w:p>
    <w:p w14:paraId="27DBEE86" w14:textId="686D0448" w:rsidR="00BE377C" w:rsidRPr="00483DA1" w:rsidRDefault="00BE377C" w:rsidP="00870BF6">
      <w:pPr>
        <w:spacing w:after="0"/>
        <w:ind w:hanging="142"/>
        <w:rPr>
          <w:rFonts w:ascii="Arial" w:hAnsi="Arial" w:cs="Arial"/>
          <w:i/>
          <w:sz w:val="18"/>
          <w:szCs w:val="18"/>
        </w:rPr>
      </w:pPr>
    </w:p>
    <w:p w14:paraId="2CB61CC5" w14:textId="1CE3384B" w:rsidR="00102FB7" w:rsidRPr="00483DA1" w:rsidRDefault="00102FB7">
      <w:pPr>
        <w:tabs>
          <w:tab w:val="left" w:pos="3402"/>
          <w:tab w:val="left" w:pos="5103"/>
        </w:tabs>
        <w:ind w:left="-709"/>
        <w:jc w:val="both"/>
        <w:rPr>
          <w:rFonts w:ascii="Arial" w:hAnsi="Arial" w:cs="Arial"/>
          <w:sz w:val="18"/>
          <w:szCs w:val="18"/>
        </w:rPr>
      </w:pPr>
    </w:p>
    <w:sectPr w:rsidR="00102FB7" w:rsidRPr="00483DA1" w:rsidSect="002271F7">
      <w:headerReference w:type="default" r:id="rId10"/>
      <w:footerReference w:type="default" r:id="rId11"/>
      <w:headerReference w:type="first" r:id="rId12"/>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2680" w14:textId="77777777" w:rsidR="00EC2A2C" w:rsidRDefault="00EC2A2C" w:rsidP="00A11280">
      <w:pPr>
        <w:spacing w:after="0" w:line="240" w:lineRule="auto"/>
      </w:pPr>
      <w:r>
        <w:separator/>
      </w:r>
    </w:p>
  </w:endnote>
  <w:endnote w:type="continuationSeparator" w:id="0">
    <w:p w14:paraId="1190A0BB" w14:textId="77777777" w:rsidR="00EC2A2C" w:rsidRDefault="00EC2A2C"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Italic">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79469"/>
      <w:docPartObj>
        <w:docPartGallery w:val="Page Numbers (Bottom of Page)"/>
        <w:docPartUnique/>
      </w:docPartObj>
    </w:sdtPr>
    <w:sdtEndPr/>
    <w:sdtContent>
      <w:p w14:paraId="2376BAA3" w14:textId="77777777" w:rsidR="005B09B9" w:rsidRDefault="005B09B9">
        <w:pPr>
          <w:pStyle w:val="Stopka"/>
          <w:jc w:val="center"/>
        </w:pPr>
        <w:r>
          <w:fldChar w:fldCharType="begin"/>
        </w:r>
        <w:r>
          <w:instrText>PAGE   \* MERGEFORMAT</w:instrText>
        </w:r>
        <w:r>
          <w:fldChar w:fldCharType="separate"/>
        </w:r>
        <w:r w:rsidR="00CF0350">
          <w:rPr>
            <w:noProof/>
          </w:rPr>
          <w:t>13</w:t>
        </w:r>
        <w:r>
          <w:rPr>
            <w:noProof/>
          </w:rPr>
          <w:fldChar w:fldCharType="end"/>
        </w:r>
      </w:p>
    </w:sdtContent>
  </w:sdt>
  <w:p w14:paraId="1CE2B7A3" w14:textId="77777777" w:rsidR="005B09B9" w:rsidRDefault="005B09B9"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C9ADE" w14:textId="77777777" w:rsidR="00EC2A2C" w:rsidRDefault="00EC2A2C" w:rsidP="00A11280">
      <w:pPr>
        <w:spacing w:after="0" w:line="240" w:lineRule="auto"/>
      </w:pPr>
      <w:r>
        <w:separator/>
      </w:r>
    </w:p>
  </w:footnote>
  <w:footnote w:type="continuationSeparator" w:id="0">
    <w:p w14:paraId="25EB4E6E" w14:textId="77777777" w:rsidR="00EC2A2C" w:rsidRDefault="00EC2A2C" w:rsidP="00A1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EB11" w14:textId="27E7CEF0" w:rsidR="00421306" w:rsidRPr="00421306" w:rsidRDefault="00421306" w:rsidP="00421306">
    <w:pPr>
      <w:pStyle w:val="Nagwek"/>
      <w:jc w:val="right"/>
    </w:pPr>
    <w:r w:rsidRPr="00CE09D0">
      <w:rPr>
        <w:b/>
        <w:bCs/>
        <w:iCs/>
        <w:sz w:val="24"/>
        <w:szCs w:val="24"/>
      </w:rPr>
      <w:t xml:space="preserve">Załącznik nr </w:t>
    </w:r>
    <w:r w:rsidR="00770B4E">
      <w:rPr>
        <w:b/>
        <w:bCs/>
        <w:iCs/>
        <w:sz w:val="24"/>
        <w:szCs w:val="24"/>
      </w:rPr>
      <w:t>9</w:t>
    </w:r>
    <w:r>
      <w:rPr>
        <w:b/>
        <w:bCs/>
        <w:i/>
        <w:iCs/>
        <w:sz w:val="24"/>
        <w:szCs w:val="24"/>
      </w:rPr>
      <w:t xml:space="preserve"> </w:t>
    </w:r>
    <w:r>
      <w:rPr>
        <w:iCs/>
        <w:sz w:val="24"/>
        <w:szCs w:val="24"/>
      </w:rPr>
      <w:t xml:space="preserve">do Regulaminu wyboru projektów </w:t>
    </w:r>
    <w:r>
      <w:rPr>
        <w:iCs/>
        <w:sz w:val="24"/>
        <w:szCs w:val="24"/>
      </w:rPr>
      <w:br/>
      <w:t>Działanie</w:t>
    </w:r>
    <w:r w:rsidRPr="00997575">
      <w:rPr>
        <w:iCs/>
        <w:sz w:val="24"/>
        <w:szCs w:val="24"/>
      </w:rPr>
      <w:t xml:space="preserve"> </w:t>
    </w:r>
    <w:r w:rsidR="001E14EA" w:rsidRPr="001E14EA">
      <w:rPr>
        <w:iCs/>
        <w:sz w:val="24"/>
        <w:szCs w:val="24"/>
      </w:rPr>
      <w:t xml:space="preserve">3.1 Mobilność miejska </w:t>
    </w:r>
    <w:r w:rsidRPr="007708E6">
      <w:rPr>
        <w:iCs/>
        <w:sz w:val="24"/>
        <w:szCs w:val="24"/>
      </w:rPr>
      <w:t>FEO 2021-2027</w:t>
    </w:r>
    <w:r>
      <w:rPr>
        <w:iCs/>
        <w:sz w:val="24"/>
        <w:szCs w:val="24"/>
      </w:rPr>
      <w:t xml:space="preserve"> </w:t>
    </w:r>
    <w:r>
      <w:rPr>
        <w:iCs/>
        <w:sz w:val="24"/>
        <w:szCs w:val="24"/>
      </w:rPr>
      <w:br/>
      <w:t>Wersja nr 1</w:t>
    </w:r>
    <w:r w:rsidRPr="00A32D21">
      <w:rPr>
        <w:iCs/>
        <w:sz w:val="24"/>
        <w:szCs w:val="24"/>
      </w:rPr>
      <w:t xml:space="preserve">, </w:t>
    </w:r>
    <w:r w:rsidR="001E14EA">
      <w:rPr>
        <w:iCs/>
        <w:sz w:val="24"/>
        <w:szCs w:val="24"/>
      </w:rPr>
      <w:t>ma</w:t>
    </w:r>
    <w:r w:rsidR="0012074E">
      <w:rPr>
        <w:iCs/>
        <w:sz w:val="24"/>
        <w:szCs w:val="24"/>
      </w:rPr>
      <w:t xml:space="preserve">j </w:t>
    </w:r>
    <w:r w:rsidR="002B48C2" w:rsidRPr="00A32D21">
      <w:rPr>
        <w:iCs/>
        <w:sz w:val="24"/>
        <w:szCs w:val="24"/>
      </w:rPr>
      <w:t xml:space="preserve">2024 </w:t>
    </w:r>
    <w:r w:rsidR="002B48C2" w:rsidRPr="002B48C2">
      <w:rPr>
        <w:iCs/>
        <w:sz w:val="24"/>
        <w:szCs w:val="24"/>
      </w:rPr>
      <w:t>r.</w:t>
    </w:r>
  </w:p>
  <w:p w14:paraId="357B97C4" w14:textId="77777777" w:rsidR="005B09B9" w:rsidRPr="00FC4C51" w:rsidRDefault="005B09B9" w:rsidP="00FC4C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BB29" w14:textId="00971566" w:rsidR="005B09B9" w:rsidRPr="00421306" w:rsidRDefault="00421306" w:rsidP="00421306">
    <w:pPr>
      <w:pStyle w:val="Nagwek"/>
      <w:jc w:val="right"/>
    </w:pPr>
    <w:r w:rsidRPr="00CE09D0">
      <w:rPr>
        <w:b/>
        <w:bCs/>
        <w:iCs/>
        <w:sz w:val="24"/>
        <w:szCs w:val="24"/>
      </w:rPr>
      <w:t xml:space="preserve">Załącznik nr </w:t>
    </w:r>
    <w:r w:rsidR="00770B4E">
      <w:rPr>
        <w:b/>
        <w:bCs/>
        <w:iCs/>
        <w:sz w:val="24"/>
        <w:szCs w:val="24"/>
      </w:rPr>
      <w:t>9</w:t>
    </w:r>
    <w:r>
      <w:rPr>
        <w:b/>
        <w:bCs/>
        <w:i/>
        <w:iCs/>
        <w:sz w:val="24"/>
        <w:szCs w:val="24"/>
      </w:rPr>
      <w:t xml:space="preserve"> </w:t>
    </w:r>
    <w:r>
      <w:rPr>
        <w:iCs/>
        <w:sz w:val="24"/>
        <w:szCs w:val="24"/>
      </w:rPr>
      <w:t xml:space="preserve">do Regulaminu wyboru projektów </w:t>
    </w:r>
    <w:r>
      <w:rPr>
        <w:iCs/>
        <w:sz w:val="24"/>
        <w:szCs w:val="24"/>
      </w:rPr>
      <w:br/>
      <w:t>Działanie</w:t>
    </w:r>
    <w:r w:rsidRPr="00997575">
      <w:rPr>
        <w:iCs/>
        <w:sz w:val="24"/>
        <w:szCs w:val="24"/>
      </w:rPr>
      <w:t xml:space="preserve"> </w:t>
    </w:r>
    <w:r w:rsidR="001E14EA" w:rsidRPr="001E14EA">
      <w:rPr>
        <w:iCs/>
        <w:sz w:val="24"/>
        <w:szCs w:val="24"/>
      </w:rPr>
      <w:t xml:space="preserve">3.1 Mobilność miejska </w:t>
    </w:r>
    <w:r w:rsidRPr="007708E6">
      <w:rPr>
        <w:iCs/>
        <w:sz w:val="24"/>
        <w:szCs w:val="24"/>
      </w:rPr>
      <w:t>FEO 2021-2027</w:t>
    </w:r>
    <w:r>
      <w:rPr>
        <w:iCs/>
        <w:sz w:val="24"/>
        <w:szCs w:val="24"/>
      </w:rPr>
      <w:t xml:space="preserve"> </w:t>
    </w:r>
    <w:r>
      <w:rPr>
        <w:iCs/>
        <w:sz w:val="24"/>
        <w:szCs w:val="24"/>
      </w:rPr>
      <w:br/>
      <w:t xml:space="preserve">Wersja nr 1, </w:t>
    </w:r>
    <w:r w:rsidR="001E14EA">
      <w:rPr>
        <w:iCs/>
        <w:sz w:val="24"/>
        <w:szCs w:val="24"/>
      </w:rPr>
      <w:t xml:space="preserve">maj </w:t>
    </w:r>
    <w:r w:rsidR="002B48C2" w:rsidRPr="00A32D21">
      <w:rPr>
        <w:iCs/>
        <w:sz w:val="24"/>
        <w:szCs w:val="24"/>
      </w:rPr>
      <w:t>2</w:t>
    </w:r>
    <w:r w:rsidR="002B48C2" w:rsidRPr="002B48C2">
      <w:rPr>
        <w:iCs/>
        <w:sz w:val="24"/>
        <w:szCs w:val="24"/>
      </w:rPr>
      <w:t>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0"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num w:numId="1" w16cid:durableId="1454522795">
    <w:abstractNumId w:val="22"/>
  </w:num>
  <w:num w:numId="2" w16cid:durableId="351305695">
    <w:abstractNumId w:val="40"/>
  </w:num>
  <w:num w:numId="3" w16cid:durableId="1502040570">
    <w:abstractNumId w:val="19"/>
  </w:num>
  <w:num w:numId="4" w16cid:durableId="451555477">
    <w:abstractNumId w:val="36"/>
  </w:num>
  <w:num w:numId="5" w16cid:durableId="1889030982">
    <w:abstractNumId w:val="16"/>
  </w:num>
  <w:num w:numId="6" w16cid:durableId="624623702">
    <w:abstractNumId w:val="35"/>
  </w:num>
  <w:num w:numId="7" w16cid:durableId="2010327956">
    <w:abstractNumId w:val="23"/>
  </w:num>
  <w:num w:numId="8" w16cid:durableId="1097218696">
    <w:abstractNumId w:val="29"/>
  </w:num>
  <w:num w:numId="9" w16cid:durableId="1148984746">
    <w:abstractNumId w:val="17"/>
  </w:num>
  <w:num w:numId="10" w16cid:durableId="946353595">
    <w:abstractNumId w:val="15"/>
  </w:num>
  <w:num w:numId="11" w16cid:durableId="145324299">
    <w:abstractNumId w:val="3"/>
  </w:num>
  <w:num w:numId="12" w16cid:durableId="1982688561">
    <w:abstractNumId w:val="8"/>
  </w:num>
  <w:num w:numId="13" w16cid:durableId="967320404">
    <w:abstractNumId w:val="12"/>
  </w:num>
  <w:num w:numId="14" w16cid:durableId="522672727">
    <w:abstractNumId w:val="11"/>
  </w:num>
  <w:num w:numId="15" w16cid:durableId="472868219">
    <w:abstractNumId w:val="38"/>
  </w:num>
  <w:num w:numId="16" w16cid:durableId="1158887349">
    <w:abstractNumId w:val="31"/>
  </w:num>
  <w:num w:numId="17" w16cid:durableId="1483038925">
    <w:abstractNumId w:val="2"/>
  </w:num>
  <w:num w:numId="18" w16cid:durableId="2053117129">
    <w:abstractNumId w:val="7"/>
  </w:num>
  <w:num w:numId="19" w16cid:durableId="1780103084">
    <w:abstractNumId w:val="33"/>
  </w:num>
  <w:num w:numId="20" w16cid:durableId="2112972756">
    <w:abstractNumId w:val="14"/>
  </w:num>
  <w:num w:numId="21" w16cid:durableId="371223673">
    <w:abstractNumId w:val="24"/>
  </w:num>
  <w:num w:numId="22" w16cid:durableId="51391285">
    <w:abstractNumId w:val="20"/>
  </w:num>
  <w:num w:numId="23" w16cid:durableId="1706557565">
    <w:abstractNumId w:val="41"/>
  </w:num>
  <w:num w:numId="24" w16cid:durableId="1044409493">
    <w:abstractNumId w:val="4"/>
  </w:num>
  <w:num w:numId="25" w16cid:durableId="2054884508">
    <w:abstractNumId w:val="21"/>
  </w:num>
  <w:num w:numId="26" w16cid:durableId="1524053811">
    <w:abstractNumId w:val="18"/>
  </w:num>
  <w:num w:numId="27" w16cid:durableId="1003892623">
    <w:abstractNumId w:val="34"/>
  </w:num>
  <w:num w:numId="28" w16cid:durableId="304431235">
    <w:abstractNumId w:val="28"/>
  </w:num>
  <w:num w:numId="29" w16cid:durableId="1837499734">
    <w:abstractNumId w:val="10"/>
  </w:num>
  <w:num w:numId="30" w16cid:durableId="589512347">
    <w:abstractNumId w:val="1"/>
  </w:num>
  <w:num w:numId="31" w16cid:durableId="468985706">
    <w:abstractNumId w:val="27"/>
  </w:num>
  <w:num w:numId="32" w16cid:durableId="1853181859">
    <w:abstractNumId w:val="13"/>
  </w:num>
  <w:num w:numId="33" w16cid:durableId="1567380324">
    <w:abstractNumId w:val="26"/>
  </w:num>
  <w:num w:numId="34" w16cid:durableId="914126096">
    <w:abstractNumId w:val="39"/>
  </w:num>
  <w:num w:numId="35" w16cid:durableId="1860505941">
    <w:abstractNumId w:val="6"/>
  </w:num>
  <w:num w:numId="36" w16cid:durableId="1202863642">
    <w:abstractNumId w:val="5"/>
  </w:num>
  <w:num w:numId="37" w16cid:durableId="534856915">
    <w:abstractNumId w:val="0"/>
  </w:num>
  <w:num w:numId="38" w16cid:durableId="1465462634">
    <w:abstractNumId w:val="42"/>
  </w:num>
  <w:num w:numId="39" w16cid:durableId="1031801972">
    <w:abstractNumId w:val="9"/>
  </w:num>
  <w:num w:numId="40" w16cid:durableId="453138477">
    <w:abstractNumId w:val="32"/>
  </w:num>
  <w:num w:numId="41" w16cid:durableId="1808014046">
    <w:abstractNumId w:val="37"/>
  </w:num>
  <w:num w:numId="42" w16cid:durableId="224948473">
    <w:abstractNumId w:val="25"/>
  </w:num>
  <w:num w:numId="43" w16cid:durableId="14427264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4F3C"/>
    <w:rsid w:val="00035C17"/>
    <w:rsid w:val="00036830"/>
    <w:rsid w:val="00040DFE"/>
    <w:rsid w:val="000419E2"/>
    <w:rsid w:val="00042F3A"/>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97710"/>
    <w:rsid w:val="000A0237"/>
    <w:rsid w:val="000A42C6"/>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28AA"/>
    <w:rsid w:val="00102FB7"/>
    <w:rsid w:val="00103B1B"/>
    <w:rsid w:val="00110626"/>
    <w:rsid w:val="001133C2"/>
    <w:rsid w:val="001148E1"/>
    <w:rsid w:val="00115072"/>
    <w:rsid w:val="0011616D"/>
    <w:rsid w:val="0012074E"/>
    <w:rsid w:val="001217A7"/>
    <w:rsid w:val="00125111"/>
    <w:rsid w:val="00131B88"/>
    <w:rsid w:val="00136D60"/>
    <w:rsid w:val="0014329F"/>
    <w:rsid w:val="001460B1"/>
    <w:rsid w:val="00152EEA"/>
    <w:rsid w:val="00160878"/>
    <w:rsid w:val="00161C3A"/>
    <w:rsid w:val="00163090"/>
    <w:rsid w:val="00163314"/>
    <w:rsid w:val="0016581B"/>
    <w:rsid w:val="00176A29"/>
    <w:rsid w:val="00177222"/>
    <w:rsid w:val="0018083F"/>
    <w:rsid w:val="00180987"/>
    <w:rsid w:val="00180A81"/>
    <w:rsid w:val="001811AE"/>
    <w:rsid w:val="00186FCC"/>
    <w:rsid w:val="001901EB"/>
    <w:rsid w:val="00191A19"/>
    <w:rsid w:val="001930AE"/>
    <w:rsid w:val="001957B3"/>
    <w:rsid w:val="00196A28"/>
    <w:rsid w:val="00196F2C"/>
    <w:rsid w:val="001A32D2"/>
    <w:rsid w:val="001A3780"/>
    <w:rsid w:val="001A72B1"/>
    <w:rsid w:val="001B2650"/>
    <w:rsid w:val="001B2C86"/>
    <w:rsid w:val="001C196A"/>
    <w:rsid w:val="001C4092"/>
    <w:rsid w:val="001C4381"/>
    <w:rsid w:val="001C4E95"/>
    <w:rsid w:val="001C55A8"/>
    <w:rsid w:val="001C5E23"/>
    <w:rsid w:val="001D103E"/>
    <w:rsid w:val="001D2DFD"/>
    <w:rsid w:val="001D330B"/>
    <w:rsid w:val="001D353F"/>
    <w:rsid w:val="001D3621"/>
    <w:rsid w:val="001D7CC3"/>
    <w:rsid w:val="001E01C8"/>
    <w:rsid w:val="001E14EA"/>
    <w:rsid w:val="001E3836"/>
    <w:rsid w:val="001E5516"/>
    <w:rsid w:val="001F1D54"/>
    <w:rsid w:val="00210D3C"/>
    <w:rsid w:val="00220524"/>
    <w:rsid w:val="002218B6"/>
    <w:rsid w:val="002233DD"/>
    <w:rsid w:val="002240BB"/>
    <w:rsid w:val="002244FF"/>
    <w:rsid w:val="00226060"/>
    <w:rsid w:val="002271F7"/>
    <w:rsid w:val="00233FAE"/>
    <w:rsid w:val="0023430F"/>
    <w:rsid w:val="0025473F"/>
    <w:rsid w:val="00254FF1"/>
    <w:rsid w:val="0025646D"/>
    <w:rsid w:val="00256682"/>
    <w:rsid w:val="00261722"/>
    <w:rsid w:val="00264831"/>
    <w:rsid w:val="002672D2"/>
    <w:rsid w:val="002821A1"/>
    <w:rsid w:val="00283239"/>
    <w:rsid w:val="00292CCE"/>
    <w:rsid w:val="002948C3"/>
    <w:rsid w:val="002979FE"/>
    <w:rsid w:val="002A099C"/>
    <w:rsid w:val="002A3184"/>
    <w:rsid w:val="002A3A9C"/>
    <w:rsid w:val="002A3FC9"/>
    <w:rsid w:val="002A4384"/>
    <w:rsid w:val="002B08C1"/>
    <w:rsid w:val="002B0DC4"/>
    <w:rsid w:val="002B17E2"/>
    <w:rsid w:val="002B294F"/>
    <w:rsid w:val="002B30FD"/>
    <w:rsid w:val="002B48C2"/>
    <w:rsid w:val="002B4B5A"/>
    <w:rsid w:val="002B5BE2"/>
    <w:rsid w:val="002B5D3A"/>
    <w:rsid w:val="002C1ECA"/>
    <w:rsid w:val="002C63EB"/>
    <w:rsid w:val="002C69A3"/>
    <w:rsid w:val="002C78D8"/>
    <w:rsid w:val="002D1FFD"/>
    <w:rsid w:val="002D4B7F"/>
    <w:rsid w:val="002D6BC5"/>
    <w:rsid w:val="002E2679"/>
    <w:rsid w:val="002E5267"/>
    <w:rsid w:val="002F26D3"/>
    <w:rsid w:val="00306C54"/>
    <w:rsid w:val="00314703"/>
    <w:rsid w:val="003159B0"/>
    <w:rsid w:val="00316A82"/>
    <w:rsid w:val="003178FB"/>
    <w:rsid w:val="00317964"/>
    <w:rsid w:val="0032277D"/>
    <w:rsid w:val="00326841"/>
    <w:rsid w:val="00327856"/>
    <w:rsid w:val="003350A1"/>
    <w:rsid w:val="0033677D"/>
    <w:rsid w:val="00340398"/>
    <w:rsid w:val="00343FA6"/>
    <w:rsid w:val="0034744E"/>
    <w:rsid w:val="00352B56"/>
    <w:rsid w:val="00356D8C"/>
    <w:rsid w:val="003660CD"/>
    <w:rsid w:val="0036612F"/>
    <w:rsid w:val="00370627"/>
    <w:rsid w:val="00372AC0"/>
    <w:rsid w:val="003744E5"/>
    <w:rsid w:val="0037457E"/>
    <w:rsid w:val="00375E59"/>
    <w:rsid w:val="00382AEC"/>
    <w:rsid w:val="00383C55"/>
    <w:rsid w:val="003841BA"/>
    <w:rsid w:val="0039273C"/>
    <w:rsid w:val="00393132"/>
    <w:rsid w:val="00395F5D"/>
    <w:rsid w:val="003976DA"/>
    <w:rsid w:val="003A545F"/>
    <w:rsid w:val="003A56B7"/>
    <w:rsid w:val="003A5E23"/>
    <w:rsid w:val="003A69AB"/>
    <w:rsid w:val="003B26CD"/>
    <w:rsid w:val="003B2744"/>
    <w:rsid w:val="003B4296"/>
    <w:rsid w:val="003B7E2A"/>
    <w:rsid w:val="003C02CA"/>
    <w:rsid w:val="003C27B4"/>
    <w:rsid w:val="003C2811"/>
    <w:rsid w:val="003C4BBB"/>
    <w:rsid w:val="003C6E68"/>
    <w:rsid w:val="003D02A0"/>
    <w:rsid w:val="003D06D9"/>
    <w:rsid w:val="003D14F8"/>
    <w:rsid w:val="003D1E49"/>
    <w:rsid w:val="003D4DB5"/>
    <w:rsid w:val="003E0589"/>
    <w:rsid w:val="003E274D"/>
    <w:rsid w:val="003E2E4B"/>
    <w:rsid w:val="003E5A0C"/>
    <w:rsid w:val="004052DD"/>
    <w:rsid w:val="004100BB"/>
    <w:rsid w:val="00411A37"/>
    <w:rsid w:val="00413B51"/>
    <w:rsid w:val="0042026D"/>
    <w:rsid w:val="00421306"/>
    <w:rsid w:val="00422357"/>
    <w:rsid w:val="00422A9B"/>
    <w:rsid w:val="0042514A"/>
    <w:rsid w:val="00425283"/>
    <w:rsid w:val="004253A5"/>
    <w:rsid w:val="00427357"/>
    <w:rsid w:val="00430732"/>
    <w:rsid w:val="00434BA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1B32"/>
    <w:rsid w:val="00482FB2"/>
    <w:rsid w:val="00483DA1"/>
    <w:rsid w:val="00483F5C"/>
    <w:rsid w:val="0048600E"/>
    <w:rsid w:val="00490085"/>
    <w:rsid w:val="004910A7"/>
    <w:rsid w:val="00495097"/>
    <w:rsid w:val="004A4C98"/>
    <w:rsid w:val="004A6BDC"/>
    <w:rsid w:val="004A6D13"/>
    <w:rsid w:val="004B69CE"/>
    <w:rsid w:val="004B7E7F"/>
    <w:rsid w:val="004C2768"/>
    <w:rsid w:val="004C3420"/>
    <w:rsid w:val="004C666D"/>
    <w:rsid w:val="004D39D2"/>
    <w:rsid w:val="004E17B4"/>
    <w:rsid w:val="004E3ACC"/>
    <w:rsid w:val="004E7A11"/>
    <w:rsid w:val="004F1B44"/>
    <w:rsid w:val="004F3C77"/>
    <w:rsid w:val="004F6BEF"/>
    <w:rsid w:val="00501A93"/>
    <w:rsid w:val="00501C83"/>
    <w:rsid w:val="005077F3"/>
    <w:rsid w:val="005102CC"/>
    <w:rsid w:val="005129C5"/>
    <w:rsid w:val="005156EF"/>
    <w:rsid w:val="00515E54"/>
    <w:rsid w:val="00521B3D"/>
    <w:rsid w:val="00525215"/>
    <w:rsid w:val="0052639C"/>
    <w:rsid w:val="00537297"/>
    <w:rsid w:val="005402FE"/>
    <w:rsid w:val="00543A97"/>
    <w:rsid w:val="0056602B"/>
    <w:rsid w:val="00567072"/>
    <w:rsid w:val="00570604"/>
    <w:rsid w:val="00573A93"/>
    <w:rsid w:val="00575F75"/>
    <w:rsid w:val="0058726C"/>
    <w:rsid w:val="00587F10"/>
    <w:rsid w:val="00596A58"/>
    <w:rsid w:val="00596D42"/>
    <w:rsid w:val="005A14AC"/>
    <w:rsid w:val="005A4085"/>
    <w:rsid w:val="005A7CB1"/>
    <w:rsid w:val="005B09B9"/>
    <w:rsid w:val="005B2FEA"/>
    <w:rsid w:val="005B504A"/>
    <w:rsid w:val="005C01D2"/>
    <w:rsid w:val="005D5F43"/>
    <w:rsid w:val="005E4353"/>
    <w:rsid w:val="005E54E5"/>
    <w:rsid w:val="005E63FE"/>
    <w:rsid w:val="005E6E72"/>
    <w:rsid w:val="005F1689"/>
    <w:rsid w:val="005F38DE"/>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10C"/>
    <w:rsid w:val="006613F3"/>
    <w:rsid w:val="00663223"/>
    <w:rsid w:val="006640B4"/>
    <w:rsid w:val="00666DC8"/>
    <w:rsid w:val="006674CF"/>
    <w:rsid w:val="00672CF7"/>
    <w:rsid w:val="00680775"/>
    <w:rsid w:val="0068478B"/>
    <w:rsid w:val="00694A28"/>
    <w:rsid w:val="006A2401"/>
    <w:rsid w:val="006A43A9"/>
    <w:rsid w:val="006A460D"/>
    <w:rsid w:val="006A579D"/>
    <w:rsid w:val="006A74EE"/>
    <w:rsid w:val="006B0295"/>
    <w:rsid w:val="006B1E28"/>
    <w:rsid w:val="006B6022"/>
    <w:rsid w:val="006B7DBF"/>
    <w:rsid w:val="006C44ED"/>
    <w:rsid w:val="006C77D9"/>
    <w:rsid w:val="006D2E34"/>
    <w:rsid w:val="006D356F"/>
    <w:rsid w:val="006D63E7"/>
    <w:rsid w:val="006E194D"/>
    <w:rsid w:val="006E2806"/>
    <w:rsid w:val="006E4410"/>
    <w:rsid w:val="006E54A6"/>
    <w:rsid w:val="006E5DC7"/>
    <w:rsid w:val="006E7529"/>
    <w:rsid w:val="006F18CC"/>
    <w:rsid w:val="006F1C8E"/>
    <w:rsid w:val="006F5F19"/>
    <w:rsid w:val="006F6464"/>
    <w:rsid w:val="006F6CF9"/>
    <w:rsid w:val="006F70FD"/>
    <w:rsid w:val="0070236E"/>
    <w:rsid w:val="00716992"/>
    <w:rsid w:val="007201CA"/>
    <w:rsid w:val="00720906"/>
    <w:rsid w:val="00720BEC"/>
    <w:rsid w:val="00723F91"/>
    <w:rsid w:val="007335DB"/>
    <w:rsid w:val="00735EAE"/>
    <w:rsid w:val="00736CD8"/>
    <w:rsid w:val="0074049A"/>
    <w:rsid w:val="00740C1F"/>
    <w:rsid w:val="00742D49"/>
    <w:rsid w:val="00747375"/>
    <w:rsid w:val="0075612E"/>
    <w:rsid w:val="00757A2D"/>
    <w:rsid w:val="00760B0C"/>
    <w:rsid w:val="00761D7C"/>
    <w:rsid w:val="00762BB5"/>
    <w:rsid w:val="00770B4E"/>
    <w:rsid w:val="00774FA1"/>
    <w:rsid w:val="007754AA"/>
    <w:rsid w:val="00775B56"/>
    <w:rsid w:val="00780302"/>
    <w:rsid w:val="0078060A"/>
    <w:rsid w:val="007815E2"/>
    <w:rsid w:val="007819E8"/>
    <w:rsid w:val="007832FF"/>
    <w:rsid w:val="00783A8E"/>
    <w:rsid w:val="00785F4C"/>
    <w:rsid w:val="00790A97"/>
    <w:rsid w:val="0079394C"/>
    <w:rsid w:val="007A27F7"/>
    <w:rsid w:val="007A69E4"/>
    <w:rsid w:val="007B0796"/>
    <w:rsid w:val="007B3E77"/>
    <w:rsid w:val="007C41F6"/>
    <w:rsid w:val="007D00DC"/>
    <w:rsid w:val="007D3E62"/>
    <w:rsid w:val="007D46E8"/>
    <w:rsid w:val="007D4C96"/>
    <w:rsid w:val="007D7F49"/>
    <w:rsid w:val="007E034D"/>
    <w:rsid w:val="007E1DB5"/>
    <w:rsid w:val="007F0A9C"/>
    <w:rsid w:val="007F1AC9"/>
    <w:rsid w:val="007F6DFA"/>
    <w:rsid w:val="008001AD"/>
    <w:rsid w:val="0080142A"/>
    <w:rsid w:val="00803AA7"/>
    <w:rsid w:val="00806531"/>
    <w:rsid w:val="00811CFE"/>
    <w:rsid w:val="00813ACE"/>
    <w:rsid w:val="008172D4"/>
    <w:rsid w:val="00817B12"/>
    <w:rsid w:val="00820327"/>
    <w:rsid w:val="008277E7"/>
    <w:rsid w:val="00831DA4"/>
    <w:rsid w:val="00833C84"/>
    <w:rsid w:val="0083699C"/>
    <w:rsid w:val="00840F98"/>
    <w:rsid w:val="008417F9"/>
    <w:rsid w:val="008428E9"/>
    <w:rsid w:val="0084387E"/>
    <w:rsid w:val="00852566"/>
    <w:rsid w:val="00861566"/>
    <w:rsid w:val="00861990"/>
    <w:rsid w:val="00862EA9"/>
    <w:rsid w:val="00864E42"/>
    <w:rsid w:val="00865157"/>
    <w:rsid w:val="00870998"/>
    <w:rsid w:val="00870BF6"/>
    <w:rsid w:val="008733AB"/>
    <w:rsid w:val="00874EED"/>
    <w:rsid w:val="00881689"/>
    <w:rsid w:val="008823AA"/>
    <w:rsid w:val="00883127"/>
    <w:rsid w:val="00884566"/>
    <w:rsid w:val="00886B5E"/>
    <w:rsid w:val="0089055E"/>
    <w:rsid w:val="00896181"/>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2971"/>
    <w:rsid w:val="009036F8"/>
    <w:rsid w:val="00904DDF"/>
    <w:rsid w:val="00905AC7"/>
    <w:rsid w:val="009119D4"/>
    <w:rsid w:val="00913370"/>
    <w:rsid w:val="00913791"/>
    <w:rsid w:val="00916534"/>
    <w:rsid w:val="0091660E"/>
    <w:rsid w:val="00917D52"/>
    <w:rsid w:val="00921408"/>
    <w:rsid w:val="00923DC2"/>
    <w:rsid w:val="0092434A"/>
    <w:rsid w:val="009246BE"/>
    <w:rsid w:val="00930C72"/>
    <w:rsid w:val="00931055"/>
    <w:rsid w:val="00944557"/>
    <w:rsid w:val="009458D9"/>
    <w:rsid w:val="0094668B"/>
    <w:rsid w:val="00953A2D"/>
    <w:rsid w:val="00957E5D"/>
    <w:rsid w:val="0096569F"/>
    <w:rsid w:val="0096700F"/>
    <w:rsid w:val="00970072"/>
    <w:rsid w:val="00974060"/>
    <w:rsid w:val="00975F71"/>
    <w:rsid w:val="00986C2B"/>
    <w:rsid w:val="0098771A"/>
    <w:rsid w:val="00991562"/>
    <w:rsid w:val="00992F45"/>
    <w:rsid w:val="00993E65"/>
    <w:rsid w:val="0099519F"/>
    <w:rsid w:val="00997070"/>
    <w:rsid w:val="009A0CEB"/>
    <w:rsid w:val="009A1C80"/>
    <w:rsid w:val="009A1F33"/>
    <w:rsid w:val="009B1AF2"/>
    <w:rsid w:val="009B1C1D"/>
    <w:rsid w:val="009B3E76"/>
    <w:rsid w:val="009B5198"/>
    <w:rsid w:val="009B6505"/>
    <w:rsid w:val="009C4F1B"/>
    <w:rsid w:val="009C6492"/>
    <w:rsid w:val="009D29FB"/>
    <w:rsid w:val="009D4EE9"/>
    <w:rsid w:val="009D760C"/>
    <w:rsid w:val="009E068A"/>
    <w:rsid w:val="009E1752"/>
    <w:rsid w:val="009E3594"/>
    <w:rsid w:val="009E3C4A"/>
    <w:rsid w:val="009F297D"/>
    <w:rsid w:val="009F441F"/>
    <w:rsid w:val="00A024A6"/>
    <w:rsid w:val="00A0678F"/>
    <w:rsid w:val="00A11280"/>
    <w:rsid w:val="00A12330"/>
    <w:rsid w:val="00A12854"/>
    <w:rsid w:val="00A13FD0"/>
    <w:rsid w:val="00A17925"/>
    <w:rsid w:val="00A21B4F"/>
    <w:rsid w:val="00A229B6"/>
    <w:rsid w:val="00A23168"/>
    <w:rsid w:val="00A23361"/>
    <w:rsid w:val="00A26F6A"/>
    <w:rsid w:val="00A32D21"/>
    <w:rsid w:val="00A37E09"/>
    <w:rsid w:val="00A406FE"/>
    <w:rsid w:val="00A4517A"/>
    <w:rsid w:val="00A55E0F"/>
    <w:rsid w:val="00A56DCC"/>
    <w:rsid w:val="00A64913"/>
    <w:rsid w:val="00A74993"/>
    <w:rsid w:val="00A7590E"/>
    <w:rsid w:val="00A75D3B"/>
    <w:rsid w:val="00A76BDD"/>
    <w:rsid w:val="00A81A9E"/>
    <w:rsid w:val="00A83DBA"/>
    <w:rsid w:val="00A85AB9"/>
    <w:rsid w:val="00A86243"/>
    <w:rsid w:val="00A91CD6"/>
    <w:rsid w:val="00A93672"/>
    <w:rsid w:val="00A967AC"/>
    <w:rsid w:val="00A96B60"/>
    <w:rsid w:val="00A97284"/>
    <w:rsid w:val="00A9780F"/>
    <w:rsid w:val="00AA43DC"/>
    <w:rsid w:val="00AB176A"/>
    <w:rsid w:val="00AB6726"/>
    <w:rsid w:val="00AC12E7"/>
    <w:rsid w:val="00AC22E3"/>
    <w:rsid w:val="00AC4C19"/>
    <w:rsid w:val="00AD244B"/>
    <w:rsid w:val="00AD497B"/>
    <w:rsid w:val="00AD69B8"/>
    <w:rsid w:val="00AD6A25"/>
    <w:rsid w:val="00AD7C6B"/>
    <w:rsid w:val="00AE1F0B"/>
    <w:rsid w:val="00AE2046"/>
    <w:rsid w:val="00AF2D17"/>
    <w:rsid w:val="00AF42AA"/>
    <w:rsid w:val="00AF7E93"/>
    <w:rsid w:val="00B118EC"/>
    <w:rsid w:val="00B12AE2"/>
    <w:rsid w:val="00B25DDC"/>
    <w:rsid w:val="00B26A50"/>
    <w:rsid w:val="00B26E9F"/>
    <w:rsid w:val="00B33396"/>
    <w:rsid w:val="00B4195E"/>
    <w:rsid w:val="00B43839"/>
    <w:rsid w:val="00B4493F"/>
    <w:rsid w:val="00B503CF"/>
    <w:rsid w:val="00B53551"/>
    <w:rsid w:val="00B60267"/>
    <w:rsid w:val="00B64A26"/>
    <w:rsid w:val="00B6688C"/>
    <w:rsid w:val="00B6775E"/>
    <w:rsid w:val="00B71412"/>
    <w:rsid w:val="00B73E4B"/>
    <w:rsid w:val="00B7446F"/>
    <w:rsid w:val="00B74748"/>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38E2"/>
    <w:rsid w:val="00BD4C56"/>
    <w:rsid w:val="00BD54E4"/>
    <w:rsid w:val="00BD5C87"/>
    <w:rsid w:val="00BD6CBC"/>
    <w:rsid w:val="00BD721D"/>
    <w:rsid w:val="00BE377C"/>
    <w:rsid w:val="00BE3D3B"/>
    <w:rsid w:val="00BE71DE"/>
    <w:rsid w:val="00BF2B8A"/>
    <w:rsid w:val="00BF36C7"/>
    <w:rsid w:val="00BF6876"/>
    <w:rsid w:val="00C16418"/>
    <w:rsid w:val="00C17C93"/>
    <w:rsid w:val="00C25BD5"/>
    <w:rsid w:val="00C3471A"/>
    <w:rsid w:val="00C36E39"/>
    <w:rsid w:val="00C374C2"/>
    <w:rsid w:val="00C37A8F"/>
    <w:rsid w:val="00C37E25"/>
    <w:rsid w:val="00C4175F"/>
    <w:rsid w:val="00C43ACD"/>
    <w:rsid w:val="00C44C0C"/>
    <w:rsid w:val="00C5569D"/>
    <w:rsid w:val="00C55929"/>
    <w:rsid w:val="00C56394"/>
    <w:rsid w:val="00C56BC1"/>
    <w:rsid w:val="00C73BC9"/>
    <w:rsid w:val="00C762FB"/>
    <w:rsid w:val="00C76AD4"/>
    <w:rsid w:val="00C83B73"/>
    <w:rsid w:val="00C845B1"/>
    <w:rsid w:val="00C90618"/>
    <w:rsid w:val="00C93A1D"/>
    <w:rsid w:val="00C9500E"/>
    <w:rsid w:val="00C953C5"/>
    <w:rsid w:val="00C95762"/>
    <w:rsid w:val="00C965FE"/>
    <w:rsid w:val="00CA1A8B"/>
    <w:rsid w:val="00CA4446"/>
    <w:rsid w:val="00CB2ACB"/>
    <w:rsid w:val="00CB2D0B"/>
    <w:rsid w:val="00CB7564"/>
    <w:rsid w:val="00CC7854"/>
    <w:rsid w:val="00CD1A35"/>
    <w:rsid w:val="00CD70FA"/>
    <w:rsid w:val="00CE040A"/>
    <w:rsid w:val="00CF0350"/>
    <w:rsid w:val="00CF0720"/>
    <w:rsid w:val="00CF1602"/>
    <w:rsid w:val="00CF558C"/>
    <w:rsid w:val="00CF7C96"/>
    <w:rsid w:val="00D01141"/>
    <w:rsid w:val="00D028C2"/>
    <w:rsid w:val="00D02C92"/>
    <w:rsid w:val="00D03DF0"/>
    <w:rsid w:val="00D07438"/>
    <w:rsid w:val="00D11990"/>
    <w:rsid w:val="00D12834"/>
    <w:rsid w:val="00D12DE8"/>
    <w:rsid w:val="00D40CD0"/>
    <w:rsid w:val="00D43689"/>
    <w:rsid w:val="00D509E2"/>
    <w:rsid w:val="00D5721C"/>
    <w:rsid w:val="00D67B61"/>
    <w:rsid w:val="00D708B3"/>
    <w:rsid w:val="00D73DC2"/>
    <w:rsid w:val="00D80AAE"/>
    <w:rsid w:val="00D822A7"/>
    <w:rsid w:val="00D8458B"/>
    <w:rsid w:val="00D862AA"/>
    <w:rsid w:val="00D957C4"/>
    <w:rsid w:val="00D95C70"/>
    <w:rsid w:val="00DA1AA6"/>
    <w:rsid w:val="00DA3986"/>
    <w:rsid w:val="00DA4D8E"/>
    <w:rsid w:val="00DC07D6"/>
    <w:rsid w:val="00DC1610"/>
    <w:rsid w:val="00DC1F31"/>
    <w:rsid w:val="00DC5A06"/>
    <w:rsid w:val="00DD5135"/>
    <w:rsid w:val="00DD52AA"/>
    <w:rsid w:val="00DD5A07"/>
    <w:rsid w:val="00DD5DAB"/>
    <w:rsid w:val="00DE2EBA"/>
    <w:rsid w:val="00DE4C96"/>
    <w:rsid w:val="00DE70F2"/>
    <w:rsid w:val="00DE7165"/>
    <w:rsid w:val="00DF17CF"/>
    <w:rsid w:val="00DF24B2"/>
    <w:rsid w:val="00E01179"/>
    <w:rsid w:val="00E02D65"/>
    <w:rsid w:val="00E05C71"/>
    <w:rsid w:val="00E073DF"/>
    <w:rsid w:val="00E12508"/>
    <w:rsid w:val="00E24B1E"/>
    <w:rsid w:val="00E2777E"/>
    <w:rsid w:val="00E347C4"/>
    <w:rsid w:val="00E40BB1"/>
    <w:rsid w:val="00E41845"/>
    <w:rsid w:val="00E506BB"/>
    <w:rsid w:val="00E5099E"/>
    <w:rsid w:val="00E57E0B"/>
    <w:rsid w:val="00E63F16"/>
    <w:rsid w:val="00E640C6"/>
    <w:rsid w:val="00E64D78"/>
    <w:rsid w:val="00E65FED"/>
    <w:rsid w:val="00E71757"/>
    <w:rsid w:val="00E73D82"/>
    <w:rsid w:val="00E76A86"/>
    <w:rsid w:val="00E82132"/>
    <w:rsid w:val="00E86251"/>
    <w:rsid w:val="00E924B5"/>
    <w:rsid w:val="00E92D8C"/>
    <w:rsid w:val="00EA0342"/>
    <w:rsid w:val="00EA42DB"/>
    <w:rsid w:val="00EA5A7F"/>
    <w:rsid w:val="00EB2C78"/>
    <w:rsid w:val="00EB4C55"/>
    <w:rsid w:val="00EB68E4"/>
    <w:rsid w:val="00EC045E"/>
    <w:rsid w:val="00EC22EC"/>
    <w:rsid w:val="00EC2A2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37B"/>
    <w:rsid w:val="00F46F9E"/>
    <w:rsid w:val="00F4759C"/>
    <w:rsid w:val="00F50AA2"/>
    <w:rsid w:val="00F53B6A"/>
    <w:rsid w:val="00F54C3D"/>
    <w:rsid w:val="00F6180E"/>
    <w:rsid w:val="00F65847"/>
    <w:rsid w:val="00F74401"/>
    <w:rsid w:val="00F74BA2"/>
    <w:rsid w:val="00F75B93"/>
    <w:rsid w:val="00F85A76"/>
    <w:rsid w:val="00F91A40"/>
    <w:rsid w:val="00F95885"/>
    <w:rsid w:val="00FA05CA"/>
    <w:rsid w:val="00FA1FFA"/>
    <w:rsid w:val="00FA2FFB"/>
    <w:rsid w:val="00FA6B10"/>
    <w:rsid w:val="00FB2D95"/>
    <w:rsid w:val="00FC01D2"/>
    <w:rsid w:val="00FC4736"/>
    <w:rsid w:val="00FC4B31"/>
    <w:rsid w:val="00FC4C51"/>
    <w:rsid w:val="00FC63DC"/>
    <w:rsid w:val="00FD0483"/>
    <w:rsid w:val="00FD1A2C"/>
    <w:rsid w:val="00FD3BF5"/>
    <w:rsid w:val="00FD464C"/>
    <w:rsid w:val="00FD69C6"/>
    <w:rsid w:val="00FE2349"/>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7FF7"/>
  </w:style>
  <w:style w:type="paragraph" w:styleId="Nagwek1">
    <w:name w:val="heading 1"/>
    <w:basedOn w:val="Normalny"/>
    <w:next w:val="Normalny"/>
    <w:link w:val="Nagwek1Znak"/>
    <w:uiPriority w:val="9"/>
    <w:qFormat/>
    <w:rsid w:val="00694A2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694A2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7666">
      <w:bodyDiv w:val="1"/>
      <w:marLeft w:val="0"/>
      <w:marRight w:val="0"/>
      <w:marTop w:val="0"/>
      <w:marBottom w:val="0"/>
      <w:divBdr>
        <w:top w:val="none" w:sz="0" w:space="0" w:color="auto"/>
        <w:left w:val="none" w:sz="0" w:space="0" w:color="auto"/>
        <w:bottom w:val="none" w:sz="0" w:space="0" w:color="auto"/>
        <w:right w:val="none" w:sz="0" w:space="0" w:color="auto"/>
      </w:divBdr>
    </w:div>
    <w:div w:id="75127388">
      <w:bodyDiv w:val="1"/>
      <w:marLeft w:val="0"/>
      <w:marRight w:val="0"/>
      <w:marTop w:val="0"/>
      <w:marBottom w:val="0"/>
      <w:divBdr>
        <w:top w:val="none" w:sz="0" w:space="0" w:color="auto"/>
        <w:left w:val="none" w:sz="0" w:space="0" w:color="auto"/>
        <w:bottom w:val="none" w:sz="0" w:space="0" w:color="auto"/>
        <w:right w:val="none" w:sz="0" w:space="0" w:color="auto"/>
      </w:divBdr>
    </w:div>
    <w:div w:id="85152873">
      <w:bodyDiv w:val="1"/>
      <w:marLeft w:val="0"/>
      <w:marRight w:val="0"/>
      <w:marTop w:val="0"/>
      <w:marBottom w:val="0"/>
      <w:divBdr>
        <w:top w:val="none" w:sz="0" w:space="0" w:color="auto"/>
        <w:left w:val="none" w:sz="0" w:space="0" w:color="auto"/>
        <w:bottom w:val="none" w:sz="0" w:space="0" w:color="auto"/>
        <w:right w:val="none" w:sz="0" w:space="0" w:color="auto"/>
      </w:divBdr>
    </w:div>
    <w:div w:id="97916815">
      <w:bodyDiv w:val="1"/>
      <w:marLeft w:val="0"/>
      <w:marRight w:val="0"/>
      <w:marTop w:val="0"/>
      <w:marBottom w:val="0"/>
      <w:divBdr>
        <w:top w:val="none" w:sz="0" w:space="0" w:color="auto"/>
        <w:left w:val="none" w:sz="0" w:space="0" w:color="auto"/>
        <w:bottom w:val="none" w:sz="0" w:space="0" w:color="auto"/>
        <w:right w:val="none" w:sz="0" w:space="0" w:color="auto"/>
      </w:divBdr>
    </w:div>
    <w:div w:id="111674754">
      <w:bodyDiv w:val="1"/>
      <w:marLeft w:val="0"/>
      <w:marRight w:val="0"/>
      <w:marTop w:val="0"/>
      <w:marBottom w:val="0"/>
      <w:divBdr>
        <w:top w:val="none" w:sz="0" w:space="0" w:color="auto"/>
        <w:left w:val="none" w:sz="0" w:space="0" w:color="auto"/>
        <w:bottom w:val="none" w:sz="0" w:space="0" w:color="auto"/>
        <w:right w:val="none" w:sz="0" w:space="0" w:color="auto"/>
      </w:divBdr>
    </w:div>
    <w:div w:id="113450022">
      <w:bodyDiv w:val="1"/>
      <w:marLeft w:val="0"/>
      <w:marRight w:val="0"/>
      <w:marTop w:val="0"/>
      <w:marBottom w:val="0"/>
      <w:divBdr>
        <w:top w:val="none" w:sz="0" w:space="0" w:color="auto"/>
        <w:left w:val="none" w:sz="0" w:space="0" w:color="auto"/>
        <w:bottom w:val="none" w:sz="0" w:space="0" w:color="auto"/>
        <w:right w:val="none" w:sz="0" w:space="0" w:color="auto"/>
      </w:divBdr>
    </w:div>
    <w:div w:id="136608831">
      <w:bodyDiv w:val="1"/>
      <w:marLeft w:val="0"/>
      <w:marRight w:val="0"/>
      <w:marTop w:val="0"/>
      <w:marBottom w:val="0"/>
      <w:divBdr>
        <w:top w:val="none" w:sz="0" w:space="0" w:color="auto"/>
        <w:left w:val="none" w:sz="0" w:space="0" w:color="auto"/>
        <w:bottom w:val="none" w:sz="0" w:space="0" w:color="auto"/>
        <w:right w:val="none" w:sz="0" w:space="0" w:color="auto"/>
      </w:divBdr>
    </w:div>
    <w:div w:id="144589201">
      <w:bodyDiv w:val="1"/>
      <w:marLeft w:val="0"/>
      <w:marRight w:val="0"/>
      <w:marTop w:val="0"/>
      <w:marBottom w:val="0"/>
      <w:divBdr>
        <w:top w:val="none" w:sz="0" w:space="0" w:color="auto"/>
        <w:left w:val="none" w:sz="0" w:space="0" w:color="auto"/>
        <w:bottom w:val="none" w:sz="0" w:space="0" w:color="auto"/>
        <w:right w:val="none" w:sz="0" w:space="0" w:color="auto"/>
      </w:divBdr>
    </w:div>
    <w:div w:id="195192080">
      <w:bodyDiv w:val="1"/>
      <w:marLeft w:val="0"/>
      <w:marRight w:val="0"/>
      <w:marTop w:val="0"/>
      <w:marBottom w:val="0"/>
      <w:divBdr>
        <w:top w:val="none" w:sz="0" w:space="0" w:color="auto"/>
        <w:left w:val="none" w:sz="0" w:space="0" w:color="auto"/>
        <w:bottom w:val="none" w:sz="0" w:space="0" w:color="auto"/>
        <w:right w:val="none" w:sz="0" w:space="0" w:color="auto"/>
      </w:divBdr>
    </w:div>
    <w:div w:id="197395986">
      <w:bodyDiv w:val="1"/>
      <w:marLeft w:val="0"/>
      <w:marRight w:val="0"/>
      <w:marTop w:val="0"/>
      <w:marBottom w:val="0"/>
      <w:divBdr>
        <w:top w:val="none" w:sz="0" w:space="0" w:color="auto"/>
        <w:left w:val="none" w:sz="0" w:space="0" w:color="auto"/>
        <w:bottom w:val="none" w:sz="0" w:space="0" w:color="auto"/>
        <w:right w:val="none" w:sz="0" w:space="0" w:color="auto"/>
      </w:divBdr>
    </w:div>
    <w:div w:id="224460971">
      <w:bodyDiv w:val="1"/>
      <w:marLeft w:val="0"/>
      <w:marRight w:val="0"/>
      <w:marTop w:val="0"/>
      <w:marBottom w:val="0"/>
      <w:divBdr>
        <w:top w:val="none" w:sz="0" w:space="0" w:color="auto"/>
        <w:left w:val="none" w:sz="0" w:space="0" w:color="auto"/>
        <w:bottom w:val="none" w:sz="0" w:space="0" w:color="auto"/>
        <w:right w:val="none" w:sz="0" w:space="0" w:color="auto"/>
      </w:divBdr>
    </w:div>
    <w:div w:id="258569433">
      <w:bodyDiv w:val="1"/>
      <w:marLeft w:val="0"/>
      <w:marRight w:val="0"/>
      <w:marTop w:val="0"/>
      <w:marBottom w:val="0"/>
      <w:divBdr>
        <w:top w:val="none" w:sz="0" w:space="0" w:color="auto"/>
        <w:left w:val="none" w:sz="0" w:space="0" w:color="auto"/>
        <w:bottom w:val="none" w:sz="0" w:space="0" w:color="auto"/>
        <w:right w:val="none" w:sz="0" w:space="0" w:color="auto"/>
      </w:divBdr>
    </w:div>
    <w:div w:id="291206553">
      <w:bodyDiv w:val="1"/>
      <w:marLeft w:val="0"/>
      <w:marRight w:val="0"/>
      <w:marTop w:val="0"/>
      <w:marBottom w:val="0"/>
      <w:divBdr>
        <w:top w:val="none" w:sz="0" w:space="0" w:color="auto"/>
        <w:left w:val="none" w:sz="0" w:space="0" w:color="auto"/>
        <w:bottom w:val="none" w:sz="0" w:space="0" w:color="auto"/>
        <w:right w:val="none" w:sz="0" w:space="0" w:color="auto"/>
      </w:divBdr>
    </w:div>
    <w:div w:id="327682101">
      <w:bodyDiv w:val="1"/>
      <w:marLeft w:val="0"/>
      <w:marRight w:val="0"/>
      <w:marTop w:val="0"/>
      <w:marBottom w:val="0"/>
      <w:divBdr>
        <w:top w:val="none" w:sz="0" w:space="0" w:color="auto"/>
        <w:left w:val="none" w:sz="0" w:space="0" w:color="auto"/>
        <w:bottom w:val="none" w:sz="0" w:space="0" w:color="auto"/>
        <w:right w:val="none" w:sz="0" w:space="0" w:color="auto"/>
      </w:divBdr>
    </w:div>
    <w:div w:id="331417591">
      <w:bodyDiv w:val="1"/>
      <w:marLeft w:val="0"/>
      <w:marRight w:val="0"/>
      <w:marTop w:val="0"/>
      <w:marBottom w:val="0"/>
      <w:divBdr>
        <w:top w:val="none" w:sz="0" w:space="0" w:color="auto"/>
        <w:left w:val="none" w:sz="0" w:space="0" w:color="auto"/>
        <w:bottom w:val="none" w:sz="0" w:space="0" w:color="auto"/>
        <w:right w:val="none" w:sz="0" w:space="0" w:color="auto"/>
      </w:divBdr>
    </w:div>
    <w:div w:id="333537231">
      <w:bodyDiv w:val="1"/>
      <w:marLeft w:val="0"/>
      <w:marRight w:val="0"/>
      <w:marTop w:val="0"/>
      <w:marBottom w:val="0"/>
      <w:divBdr>
        <w:top w:val="none" w:sz="0" w:space="0" w:color="auto"/>
        <w:left w:val="none" w:sz="0" w:space="0" w:color="auto"/>
        <w:bottom w:val="none" w:sz="0" w:space="0" w:color="auto"/>
        <w:right w:val="none" w:sz="0" w:space="0" w:color="auto"/>
      </w:divBdr>
    </w:div>
    <w:div w:id="345984735">
      <w:bodyDiv w:val="1"/>
      <w:marLeft w:val="0"/>
      <w:marRight w:val="0"/>
      <w:marTop w:val="0"/>
      <w:marBottom w:val="0"/>
      <w:divBdr>
        <w:top w:val="none" w:sz="0" w:space="0" w:color="auto"/>
        <w:left w:val="none" w:sz="0" w:space="0" w:color="auto"/>
        <w:bottom w:val="none" w:sz="0" w:space="0" w:color="auto"/>
        <w:right w:val="none" w:sz="0" w:space="0" w:color="auto"/>
      </w:divBdr>
    </w:div>
    <w:div w:id="383910475">
      <w:bodyDiv w:val="1"/>
      <w:marLeft w:val="0"/>
      <w:marRight w:val="0"/>
      <w:marTop w:val="0"/>
      <w:marBottom w:val="0"/>
      <w:divBdr>
        <w:top w:val="none" w:sz="0" w:space="0" w:color="auto"/>
        <w:left w:val="none" w:sz="0" w:space="0" w:color="auto"/>
        <w:bottom w:val="none" w:sz="0" w:space="0" w:color="auto"/>
        <w:right w:val="none" w:sz="0" w:space="0" w:color="auto"/>
      </w:divBdr>
    </w:div>
    <w:div w:id="398794010">
      <w:bodyDiv w:val="1"/>
      <w:marLeft w:val="0"/>
      <w:marRight w:val="0"/>
      <w:marTop w:val="0"/>
      <w:marBottom w:val="0"/>
      <w:divBdr>
        <w:top w:val="none" w:sz="0" w:space="0" w:color="auto"/>
        <w:left w:val="none" w:sz="0" w:space="0" w:color="auto"/>
        <w:bottom w:val="none" w:sz="0" w:space="0" w:color="auto"/>
        <w:right w:val="none" w:sz="0" w:space="0" w:color="auto"/>
      </w:divBdr>
    </w:div>
    <w:div w:id="408036811">
      <w:bodyDiv w:val="1"/>
      <w:marLeft w:val="0"/>
      <w:marRight w:val="0"/>
      <w:marTop w:val="0"/>
      <w:marBottom w:val="0"/>
      <w:divBdr>
        <w:top w:val="none" w:sz="0" w:space="0" w:color="auto"/>
        <w:left w:val="none" w:sz="0" w:space="0" w:color="auto"/>
        <w:bottom w:val="none" w:sz="0" w:space="0" w:color="auto"/>
        <w:right w:val="none" w:sz="0" w:space="0" w:color="auto"/>
      </w:divBdr>
    </w:div>
    <w:div w:id="421604663">
      <w:bodyDiv w:val="1"/>
      <w:marLeft w:val="0"/>
      <w:marRight w:val="0"/>
      <w:marTop w:val="0"/>
      <w:marBottom w:val="0"/>
      <w:divBdr>
        <w:top w:val="none" w:sz="0" w:space="0" w:color="auto"/>
        <w:left w:val="none" w:sz="0" w:space="0" w:color="auto"/>
        <w:bottom w:val="none" w:sz="0" w:space="0" w:color="auto"/>
        <w:right w:val="none" w:sz="0" w:space="0" w:color="auto"/>
      </w:divBdr>
    </w:div>
    <w:div w:id="437214984">
      <w:bodyDiv w:val="1"/>
      <w:marLeft w:val="0"/>
      <w:marRight w:val="0"/>
      <w:marTop w:val="0"/>
      <w:marBottom w:val="0"/>
      <w:divBdr>
        <w:top w:val="none" w:sz="0" w:space="0" w:color="auto"/>
        <w:left w:val="none" w:sz="0" w:space="0" w:color="auto"/>
        <w:bottom w:val="none" w:sz="0" w:space="0" w:color="auto"/>
        <w:right w:val="none" w:sz="0" w:space="0" w:color="auto"/>
      </w:divBdr>
    </w:div>
    <w:div w:id="446774473">
      <w:bodyDiv w:val="1"/>
      <w:marLeft w:val="0"/>
      <w:marRight w:val="0"/>
      <w:marTop w:val="0"/>
      <w:marBottom w:val="0"/>
      <w:divBdr>
        <w:top w:val="none" w:sz="0" w:space="0" w:color="auto"/>
        <w:left w:val="none" w:sz="0" w:space="0" w:color="auto"/>
        <w:bottom w:val="none" w:sz="0" w:space="0" w:color="auto"/>
        <w:right w:val="none" w:sz="0" w:space="0" w:color="auto"/>
      </w:divBdr>
    </w:div>
    <w:div w:id="448742196">
      <w:bodyDiv w:val="1"/>
      <w:marLeft w:val="0"/>
      <w:marRight w:val="0"/>
      <w:marTop w:val="0"/>
      <w:marBottom w:val="0"/>
      <w:divBdr>
        <w:top w:val="none" w:sz="0" w:space="0" w:color="auto"/>
        <w:left w:val="none" w:sz="0" w:space="0" w:color="auto"/>
        <w:bottom w:val="none" w:sz="0" w:space="0" w:color="auto"/>
        <w:right w:val="none" w:sz="0" w:space="0" w:color="auto"/>
      </w:divBdr>
    </w:div>
    <w:div w:id="455638035">
      <w:bodyDiv w:val="1"/>
      <w:marLeft w:val="0"/>
      <w:marRight w:val="0"/>
      <w:marTop w:val="0"/>
      <w:marBottom w:val="0"/>
      <w:divBdr>
        <w:top w:val="none" w:sz="0" w:space="0" w:color="auto"/>
        <w:left w:val="none" w:sz="0" w:space="0" w:color="auto"/>
        <w:bottom w:val="none" w:sz="0" w:space="0" w:color="auto"/>
        <w:right w:val="none" w:sz="0" w:space="0" w:color="auto"/>
      </w:divBdr>
    </w:div>
    <w:div w:id="490026802">
      <w:bodyDiv w:val="1"/>
      <w:marLeft w:val="0"/>
      <w:marRight w:val="0"/>
      <w:marTop w:val="0"/>
      <w:marBottom w:val="0"/>
      <w:divBdr>
        <w:top w:val="none" w:sz="0" w:space="0" w:color="auto"/>
        <w:left w:val="none" w:sz="0" w:space="0" w:color="auto"/>
        <w:bottom w:val="none" w:sz="0" w:space="0" w:color="auto"/>
        <w:right w:val="none" w:sz="0" w:space="0" w:color="auto"/>
      </w:divBdr>
    </w:div>
    <w:div w:id="501238617">
      <w:bodyDiv w:val="1"/>
      <w:marLeft w:val="0"/>
      <w:marRight w:val="0"/>
      <w:marTop w:val="0"/>
      <w:marBottom w:val="0"/>
      <w:divBdr>
        <w:top w:val="none" w:sz="0" w:space="0" w:color="auto"/>
        <w:left w:val="none" w:sz="0" w:space="0" w:color="auto"/>
        <w:bottom w:val="none" w:sz="0" w:space="0" w:color="auto"/>
        <w:right w:val="none" w:sz="0" w:space="0" w:color="auto"/>
      </w:divBdr>
    </w:div>
    <w:div w:id="501700006">
      <w:bodyDiv w:val="1"/>
      <w:marLeft w:val="0"/>
      <w:marRight w:val="0"/>
      <w:marTop w:val="0"/>
      <w:marBottom w:val="0"/>
      <w:divBdr>
        <w:top w:val="none" w:sz="0" w:space="0" w:color="auto"/>
        <w:left w:val="none" w:sz="0" w:space="0" w:color="auto"/>
        <w:bottom w:val="none" w:sz="0" w:space="0" w:color="auto"/>
        <w:right w:val="none" w:sz="0" w:space="0" w:color="auto"/>
      </w:divBdr>
    </w:div>
    <w:div w:id="505554487">
      <w:bodyDiv w:val="1"/>
      <w:marLeft w:val="0"/>
      <w:marRight w:val="0"/>
      <w:marTop w:val="0"/>
      <w:marBottom w:val="0"/>
      <w:divBdr>
        <w:top w:val="none" w:sz="0" w:space="0" w:color="auto"/>
        <w:left w:val="none" w:sz="0" w:space="0" w:color="auto"/>
        <w:bottom w:val="none" w:sz="0" w:space="0" w:color="auto"/>
        <w:right w:val="none" w:sz="0" w:space="0" w:color="auto"/>
      </w:divBdr>
    </w:div>
    <w:div w:id="516385763">
      <w:bodyDiv w:val="1"/>
      <w:marLeft w:val="0"/>
      <w:marRight w:val="0"/>
      <w:marTop w:val="0"/>
      <w:marBottom w:val="0"/>
      <w:divBdr>
        <w:top w:val="none" w:sz="0" w:space="0" w:color="auto"/>
        <w:left w:val="none" w:sz="0" w:space="0" w:color="auto"/>
        <w:bottom w:val="none" w:sz="0" w:space="0" w:color="auto"/>
        <w:right w:val="none" w:sz="0" w:space="0" w:color="auto"/>
      </w:divBdr>
    </w:div>
    <w:div w:id="529269874">
      <w:bodyDiv w:val="1"/>
      <w:marLeft w:val="0"/>
      <w:marRight w:val="0"/>
      <w:marTop w:val="0"/>
      <w:marBottom w:val="0"/>
      <w:divBdr>
        <w:top w:val="none" w:sz="0" w:space="0" w:color="auto"/>
        <w:left w:val="none" w:sz="0" w:space="0" w:color="auto"/>
        <w:bottom w:val="none" w:sz="0" w:space="0" w:color="auto"/>
        <w:right w:val="none" w:sz="0" w:space="0" w:color="auto"/>
      </w:divBdr>
    </w:div>
    <w:div w:id="530580935">
      <w:bodyDiv w:val="1"/>
      <w:marLeft w:val="0"/>
      <w:marRight w:val="0"/>
      <w:marTop w:val="0"/>
      <w:marBottom w:val="0"/>
      <w:divBdr>
        <w:top w:val="none" w:sz="0" w:space="0" w:color="auto"/>
        <w:left w:val="none" w:sz="0" w:space="0" w:color="auto"/>
        <w:bottom w:val="none" w:sz="0" w:space="0" w:color="auto"/>
        <w:right w:val="none" w:sz="0" w:space="0" w:color="auto"/>
      </w:divBdr>
    </w:div>
    <w:div w:id="533856761">
      <w:bodyDiv w:val="1"/>
      <w:marLeft w:val="0"/>
      <w:marRight w:val="0"/>
      <w:marTop w:val="0"/>
      <w:marBottom w:val="0"/>
      <w:divBdr>
        <w:top w:val="none" w:sz="0" w:space="0" w:color="auto"/>
        <w:left w:val="none" w:sz="0" w:space="0" w:color="auto"/>
        <w:bottom w:val="none" w:sz="0" w:space="0" w:color="auto"/>
        <w:right w:val="none" w:sz="0" w:space="0" w:color="auto"/>
      </w:divBdr>
    </w:div>
    <w:div w:id="553274366">
      <w:bodyDiv w:val="1"/>
      <w:marLeft w:val="0"/>
      <w:marRight w:val="0"/>
      <w:marTop w:val="0"/>
      <w:marBottom w:val="0"/>
      <w:divBdr>
        <w:top w:val="none" w:sz="0" w:space="0" w:color="auto"/>
        <w:left w:val="none" w:sz="0" w:space="0" w:color="auto"/>
        <w:bottom w:val="none" w:sz="0" w:space="0" w:color="auto"/>
        <w:right w:val="none" w:sz="0" w:space="0" w:color="auto"/>
      </w:divBdr>
    </w:div>
    <w:div w:id="588659560">
      <w:bodyDiv w:val="1"/>
      <w:marLeft w:val="0"/>
      <w:marRight w:val="0"/>
      <w:marTop w:val="0"/>
      <w:marBottom w:val="0"/>
      <w:divBdr>
        <w:top w:val="none" w:sz="0" w:space="0" w:color="auto"/>
        <w:left w:val="none" w:sz="0" w:space="0" w:color="auto"/>
        <w:bottom w:val="none" w:sz="0" w:space="0" w:color="auto"/>
        <w:right w:val="none" w:sz="0" w:space="0" w:color="auto"/>
      </w:divBdr>
    </w:div>
    <w:div w:id="657685777">
      <w:bodyDiv w:val="1"/>
      <w:marLeft w:val="0"/>
      <w:marRight w:val="0"/>
      <w:marTop w:val="0"/>
      <w:marBottom w:val="0"/>
      <w:divBdr>
        <w:top w:val="none" w:sz="0" w:space="0" w:color="auto"/>
        <w:left w:val="none" w:sz="0" w:space="0" w:color="auto"/>
        <w:bottom w:val="none" w:sz="0" w:space="0" w:color="auto"/>
        <w:right w:val="none" w:sz="0" w:space="0" w:color="auto"/>
      </w:divBdr>
    </w:div>
    <w:div w:id="661159314">
      <w:bodyDiv w:val="1"/>
      <w:marLeft w:val="0"/>
      <w:marRight w:val="0"/>
      <w:marTop w:val="0"/>
      <w:marBottom w:val="0"/>
      <w:divBdr>
        <w:top w:val="none" w:sz="0" w:space="0" w:color="auto"/>
        <w:left w:val="none" w:sz="0" w:space="0" w:color="auto"/>
        <w:bottom w:val="none" w:sz="0" w:space="0" w:color="auto"/>
        <w:right w:val="none" w:sz="0" w:space="0" w:color="auto"/>
      </w:divBdr>
    </w:div>
    <w:div w:id="670570145">
      <w:bodyDiv w:val="1"/>
      <w:marLeft w:val="0"/>
      <w:marRight w:val="0"/>
      <w:marTop w:val="0"/>
      <w:marBottom w:val="0"/>
      <w:divBdr>
        <w:top w:val="none" w:sz="0" w:space="0" w:color="auto"/>
        <w:left w:val="none" w:sz="0" w:space="0" w:color="auto"/>
        <w:bottom w:val="none" w:sz="0" w:space="0" w:color="auto"/>
        <w:right w:val="none" w:sz="0" w:space="0" w:color="auto"/>
      </w:divBdr>
    </w:div>
    <w:div w:id="727922196">
      <w:bodyDiv w:val="1"/>
      <w:marLeft w:val="0"/>
      <w:marRight w:val="0"/>
      <w:marTop w:val="0"/>
      <w:marBottom w:val="0"/>
      <w:divBdr>
        <w:top w:val="none" w:sz="0" w:space="0" w:color="auto"/>
        <w:left w:val="none" w:sz="0" w:space="0" w:color="auto"/>
        <w:bottom w:val="none" w:sz="0" w:space="0" w:color="auto"/>
        <w:right w:val="none" w:sz="0" w:space="0" w:color="auto"/>
      </w:divBdr>
    </w:div>
    <w:div w:id="739061422">
      <w:bodyDiv w:val="1"/>
      <w:marLeft w:val="0"/>
      <w:marRight w:val="0"/>
      <w:marTop w:val="0"/>
      <w:marBottom w:val="0"/>
      <w:divBdr>
        <w:top w:val="none" w:sz="0" w:space="0" w:color="auto"/>
        <w:left w:val="none" w:sz="0" w:space="0" w:color="auto"/>
        <w:bottom w:val="none" w:sz="0" w:space="0" w:color="auto"/>
        <w:right w:val="none" w:sz="0" w:space="0" w:color="auto"/>
      </w:divBdr>
    </w:div>
    <w:div w:id="769818395">
      <w:bodyDiv w:val="1"/>
      <w:marLeft w:val="0"/>
      <w:marRight w:val="0"/>
      <w:marTop w:val="0"/>
      <w:marBottom w:val="0"/>
      <w:divBdr>
        <w:top w:val="none" w:sz="0" w:space="0" w:color="auto"/>
        <w:left w:val="none" w:sz="0" w:space="0" w:color="auto"/>
        <w:bottom w:val="none" w:sz="0" w:space="0" w:color="auto"/>
        <w:right w:val="none" w:sz="0" w:space="0" w:color="auto"/>
      </w:divBdr>
    </w:div>
    <w:div w:id="772018607">
      <w:bodyDiv w:val="1"/>
      <w:marLeft w:val="0"/>
      <w:marRight w:val="0"/>
      <w:marTop w:val="0"/>
      <w:marBottom w:val="0"/>
      <w:divBdr>
        <w:top w:val="none" w:sz="0" w:space="0" w:color="auto"/>
        <w:left w:val="none" w:sz="0" w:space="0" w:color="auto"/>
        <w:bottom w:val="none" w:sz="0" w:space="0" w:color="auto"/>
        <w:right w:val="none" w:sz="0" w:space="0" w:color="auto"/>
      </w:divBdr>
    </w:div>
    <w:div w:id="779301350">
      <w:bodyDiv w:val="1"/>
      <w:marLeft w:val="0"/>
      <w:marRight w:val="0"/>
      <w:marTop w:val="0"/>
      <w:marBottom w:val="0"/>
      <w:divBdr>
        <w:top w:val="none" w:sz="0" w:space="0" w:color="auto"/>
        <w:left w:val="none" w:sz="0" w:space="0" w:color="auto"/>
        <w:bottom w:val="none" w:sz="0" w:space="0" w:color="auto"/>
        <w:right w:val="none" w:sz="0" w:space="0" w:color="auto"/>
      </w:divBdr>
    </w:div>
    <w:div w:id="791435276">
      <w:bodyDiv w:val="1"/>
      <w:marLeft w:val="0"/>
      <w:marRight w:val="0"/>
      <w:marTop w:val="0"/>
      <w:marBottom w:val="0"/>
      <w:divBdr>
        <w:top w:val="none" w:sz="0" w:space="0" w:color="auto"/>
        <w:left w:val="none" w:sz="0" w:space="0" w:color="auto"/>
        <w:bottom w:val="none" w:sz="0" w:space="0" w:color="auto"/>
        <w:right w:val="none" w:sz="0" w:space="0" w:color="auto"/>
      </w:divBdr>
    </w:div>
    <w:div w:id="810294082">
      <w:bodyDiv w:val="1"/>
      <w:marLeft w:val="0"/>
      <w:marRight w:val="0"/>
      <w:marTop w:val="0"/>
      <w:marBottom w:val="0"/>
      <w:divBdr>
        <w:top w:val="none" w:sz="0" w:space="0" w:color="auto"/>
        <w:left w:val="none" w:sz="0" w:space="0" w:color="auto"/>
        <w:bottom w:val="none" w:sz="0" w:space="0" w:color="auto"/>
        <w:right w:val="none" w:sz="0" w:space="0" w:color="auto"/>
      </w:divBdr>
    </w:div>
    <w:div w:id="834538980">
      <w:bodyDiv w:val="1"/>
      <w:marLeft w:val="0"/>
      <w:marRight w:val="0"/>
      <w:marTop w:val="0"/>
      <w:marBottom w:val="0"/>
      <w:divBdr>
        <w:top w:val="none" w:sz="0" w:space="0" w:color="auto"/>
        <w:left w:val="none" w:sz="0" w:space="0" w:color="auto"/>
        <w:bottom w:val="none" w:sz="0" w:space="0" w:color="auto"/>
        <w:right w:val="none" w:sz="0" w:space="0" w:color="auto"/>
      </w:divBdr>
    </w:div>
    <w:div w:id="837691885">
      <w:bodyDiv w:val="1"/>
      <w:marLeft w:val="0"/>
      <w:marRight w:val="0"/>
      <w:marTop w:val="0"/>
      <w:marBottom w:val="0"/>
      <w:divBdr>
        <w:top w:val="none" w:sz="0" w:space="0" w:color="auto"/>
        <w:left w:val="none" w:sz="0" w:space="0" w:color="auto"/>
        <w:bottom w:val="none" w:sz="0" w:space="0" w:color="auto"/>
        <w:right w:val="none" w:sz="0" w:space="0" w:color="auto"/>
      </w:divBdr>
    </w:div>
    <w:div w:id="875194464">
      <w:bodyDiv w:val="1"/>
      <w:marLeft w:val="0"/>
      <w:marRight w:val="0"/>
      <w:marTop w:val="0"/>
      <w:marBottom w:val="0"/>
      <w:divBdr>
        <w:top w:val="none" w:sz="0" w:space="0" w:color="auto"/>
        <w:left w:val="none" w:sz="0" w:space="0" w:color="auto"/>
        <w:bottom w:val="none" w:sz="0" w:space="0" w:color="auto"/>
        <w:right w:val="none" w:sz="0" w:space="0" w:color="auto"/>
      </w:divBdr>
    </w:div>
    <w:div w:id="924338104">
      <w:bodyDiv w:val="1"/>
      <w:marLeft w:val="0"/>
      <w:marRight w:val="0"/>
      <w:marTop w:val="0"/>
      <w:marBottom w:val="0"/>
      <w:divBdr>
        <w:top w:val="none" w:sz="0" w:space="0" w:color="auto"/>
        <w:left w:val="none" w:sz="0" w:space="0" w:color="auto"/>
        <w:bottom w:val="none" w:sz="0" w:space="0" w:color="auto"/>
        <w:right w:val="none" w:sz="0" w:space="0" w:color="auto"/>
      </w:divBdr>
    </w:div>
    <w:div w:id="936444943">
      <w:bodyDiv w:val="1"/>
      <w:marLeft w:val="0"/>
      <w:marRight w:val="0"/>
      <w:marTop w:val="0"/>
      <w:marBottom w:val="0"/>
      <w:divBdr>
        <w:top w:val="none" w:sz="0" w:space="0" w:color="auto"/>
        <w:left w:val="none" w:sz="0" w:space="0" w:color="auto"/>
        <w:bottom w:val="none" w:sz="0" w:space="0" w:color="auto"/>
        <w:right w:val="none" w:sz="0" w:space="0" w:color="auto"/>
      </w:divBdr>
    </w:div>
    <w:div w:id="947547314">
      <w:bodyDiv w:val="1"/>
      <w:marLeft w:val="0"/>
      <w:marRight w:val="0"/>
      <w:marTop w:val="0"/>
      <w:marBottom w:val="0"/>
      <w:divBdr>
        <w:top w:val="none" w:sz="0" w:space="0" w:color="auto"/>
        <w:left w:val="none" w:sz="0" w:space="0" w:color="auto"/>
        <w:bottom w:val="none" w:sz="0" w:space="0" w:color="auto"/>
        <w:right w:val="none" w:sz="0" w:space="0" w:color="auto"/>
      </w:divBdr>
    </w:div>
    <w:div w:id="949355287">
      <w:bodyDiv w:val="1"/>
      <w:marLeft w:val="0"/>
      <w:marRight w:val="0"/>
      <w:marTop w:val="0"/>
      <w:marBottom w:val="0"/>
      <w:divBdr>
        <w:top w:val="none" w:sz="0" w:space="0" w:color="auto"/>
        <w:left w:val="none" w:sz="0" w:space="0" w:color="auto"/>
        <w:bottom w:val="none" w:sz="0" w:space="0" w:color="auto"/>
        <w:right w:val="none" w:sz="0" w:space="0" w:color="auto"/>
      </w:divBdr>
    </w:div>
    <w:div w:id="970356521">
      <w:bodyDiv w:val="1"/>
      <w:marLeft w:val="0"/>
      <w:marRight w:val="0"/>
      <w:marTop w:val="0"/>
      <w:marBottom w:val="0"/>
      <w:divBdr>
        <w:top w:val="none" w:sz="0" w:space="0" w:color="auto"/>
        <w:left w:val="none" w:sz="0" w:space="0" w:color="auto"/>
        <w:bottom w:val="none" w:sz="0" w:space="0" w:color="auto"/>
        <w:right w:val="none" w:sz="0" w:space="0" w:color="auto"/>
      </w:divBdr>
    </w:div>
    <w:div w:id="981230921">
      <w:bodyDiv w:val="1"/>
      <w:marLeft w:val="0"/>
      <w:marRight w:val="0"/>
      <w:marTop w:val="0"/>
      <w:marBottom w:val="0"/>
      <w:divBdr>
        <w:top w:val="none" w:sz="0" w:space="0" w:color="auto"/>
        <w:left w:val="none" w:sz="0" w:space="0" w:color="auto"/>
        <w:bottom w:val="none" w:sz="0" w:space="0" w:color="auto"/>
        <w:right w:val="none" w:sz="0" w:space="0" w:color="auto"/>
      </w:divBdr>
    </w:div>
    <w:div w:id="982124062">
      <w:bodyDiv w:val="1"/>
      <w:marLeft w:val="0"/>
      <w:marRight w:val="0"/>
      <w:marTop w:val="0"/>
      <w:marBottom w:val="0"/>
      <w:divBdr>
        <w:top w:val="none" w:sz="0" w:space="0" w:color="auto"/>
        <w:left w:val="none" w:sz="0" w:space="0" w:color="auto"/>
        <w:bottom w:val="none" w:sz="0" w:space="0" w:color="auto"/>
        <w:right w:val="none" w:sz="0" w:space="0" w:color="auto"/>
      </w:divBdr>
    </w:div>
    <w:div w:id="991248920">
      <w:bodyDiv w:val="1"/>
      <w:marLeft w:val="0"/>
      <w:marRight w:val="0"/>
      <w:marTop w:val="0"/>
      <w:marBottom w:val="0"/>
      <w:divBdr>
        <w:top w:val="none" w:sz="0" w:space="0" w:color="auto"/>
        <w:left w:val="none" w:sz="0" w:space="0" w:color="auto"/>
        <w:bottom w:val="none" w:sz="0" w:space="0" w:color="auto"/>
        <w:right w:val="none" w:sz="0" w:space="0" w:color="auto"/>
      </w:divBdr>
    </w:div>
    <w:div w:id="1014846483">
      <w:bodyDiv w:val="1"/>
      <w:marLeft w:val="0"/>
      <w:marRight w:val="0"/>
      <w:marTop w:val="0"/>
      <w:marBottom w:val="0"/>
      <w:divBdr>
        <w:top w:val="none" w:sz="0" w:space="0" w:color="auto"/>
        <w:left w:val="none" w:sz="0" w:space="0" w:color="auto"/>
        <w:bottom w:val="none" w:sz="0" w:space="0" w:color="auto"/>
        <w:right w:val="none" w:sz="0" w:space="0" w:color="auto"/>
      </w:divBdr>
    </w:div>
    <w:div w:id="1041248880">
      <w:bodyDiv w:val="1"/>
      <w:marLeft w:val="0"/>
      <w:marRight w:val="0"/>
      <w:marTop w:val="0"/>
      <w:marBottom w:val="0"/>
      <w:divBdr>
        <w:top w:val="none" w:sz="0" w:space="0" w:color="auto"/>
        <w:left w:val="none" w:sz="0" w:space="0" w:color="auto"/>
        <w:bottom w:val="none" w:sz="0" w:space="0" w:color="auto"/>
        <w:right w:val="none" w:sz="0" w:space="0" w:color="auto"/>
      </w:divBdr>
    </w:div>
    <w:div w:id="1059749588">
      <w:bodyDiv w:val="1"/>
      <w:marLeft w:val="0"/>
      <w:marRight w:val="0"/>
      <w:marTop w:val="0"/>
      <w:marBottom w:val="0"/>
      <w:divBdr>
        <w:top w:val="none" w:sz="0" w:space="0" w:color="auto"/>
        <w:left w:val="none" w:sz="0" w:space="0" w:color="auto"/>
        <w:bottom w:val="none" w:sz="0" w:space="0" w:color="auto"/>
        <w:right w:val="none" w:sz="0" w:space="0" w:color="auto"/>
      </w:divBdr>
    </w:div>
    <w:div w:id="1067650956">
      <w:bodyDiv w:val="1"/>
      <w:marLeft w:val="0"/>
      <w:marRight w:val="0"/>
      <w:marTop w:val="0"/>
      <w:marBottom w:val="0"/>
      <w:divBdr>
        <w:top w:val="none" w:sz="0" w:space="0" w:color="auto"/>
        <w:left w:val="none" w:sz="0" w:space="0" w:color="auto"/>
        <w:bottom w:val="none" w:sz="0" w:space="0" w:color="auto"/>
        <w:right w:val="none" w:sz="0" w:space="0" w:color="auto"/>
      </w:divBdr>
    </w:div>
    <w:div w:id="1075012451">
      <w:bodyDiv w:val="1"/>
      <w:marLeft w:val="0"/>
      <w:marRight w:val="0"/>
      <w:marTop w:val="0"/>
      <w:marBottom w:val="0"/>
      <w:divBdr>
        <w:top w:val="none" w:sz="0" w:space="0" w:color="auto"/>
        <w:left w:val="none" w:sz="0" w:space="0" w:color="auto"/>
        <w:bottom w:val="none" w:sz="0" w:space="0" w:color="auto"/>
        <w:right w:val="none" w:sz="0" w:space="0" w:color="auto"/>
      </w:divBdr>
    </w:div>
    <w:div w:id="1120493375">
      <w:bodyDiv w:val="1"/>
      <w:marLeft w:val="0"/>
      <w:marRight w:val="0"/>
      <w:marTop w:val="0"/>
      <w:marBottom w:val="0"/>
      <w:divBdr>
        <w:top w:val="none" w:sz="0" w:space="0" w:color="auto"/>
        <w:left w:val="none" w:sz="0" w:space="0" w:color="auto"/>
        <w:bottom w:val="none" w:sz="0" w:space="0" w:color="auto"/>
        <w:right w:val="none" w:sz="0" w:space="0" w:color="auto"/>
      </w:divBdr>
    </w:div>
    <w:div w:id="1122649790">
      <w:bodyDiv w:val="1"/>
      <w:marLeft w:val="0"/>
      <w:marRight w:val="0"/>
      <w:marTop w:val="0"/>
      <w:marBottom w:val="0"/>
      <w:divBdr>
        <w:top w:val="none" w:sz="0" w:space="0" w:color="auto"/>
        <w:left w:val="none" w:sz="0" w:space="0" w:color="auto"/>
        <w:bottom w:val="none" w:sz="0" w:space="0" w:color="auto"/>
        <w:right w:val="none" w:sz="0" w:space="0" w:color="auto"/>
      </w:divBdr>
    </w:div>
    <w:div w:id="1129278796">
      <w:bodyDiv w:val="1"/>
      <w:marLeft w:val="0"/>
      <w:marRight w:val="0"/>
      <w:marTop w:val="0"/>
      <w:marBottom w:val="0"/>
      <w:divBdr>
        <w:top w:val="none" w:sz="0" w:space="0" w:color="auto"/>
        <w:left w:val="none" w:sz="0" w:space="0" w:color="auto"/>
        <w:bottom w:val="none" w:sz="0" w:space="0" w:color="auto"/>
        <w:right w:val="none" w:sz="0" w:space="0" w:color="auto"/>
      </w:divBdr>
    </w:div>
    <w:div w:id="1164199024">
      <w:bodyDiv w:val="1"/>
      <w:marLeft w:val="0"/>
      <w:marRight w:val="0"/>
      <w:marTop w:val="0"/>
      <w:marBottom w:val="0"/>
      <w:divBdr>
        <w:top w:val="none" w:sz="0" w:space="0" w:color="auto"/>
        <w:left w:val="none" w:sz="0" w:space="0" w:color="auto"/>
        <w:bottom w:val="none" w:sz="0" w:space="0" w:color="auto"/>
        <w:right w:val="none" w:sz="0" w:space="0" w:color="auto"/>
      </w:divBdr>
    </w:div>
    <w:div w:id="1200625328">
      <w:bodyDiv w:val="1"/>
      <w:marLeft w:val="0"/>
      <w:marRight w:val="0"/>
      <w:marTop w:val="0"/>
      <w:marBottom w:val="0"/>
      <w:divBdr>
        <w:top w:val="none" w:sz="0" w:space="0" w:color="auto"/>
        <w:left w:val="none" w:sz="0" w:space="0" w:color="auto"/>
        <w:bottom w:val="none" w:sz="0" w:space="0" w:color="auto"/>
        <w:right w:val="none" w:sz="0" w:space="0" w:color="auto"/>
      </w:divBdr>
    </w:div>
    <w:div w:id="1237669982">
      <w:bodyDiv w:val="1"/>
      <w:marLeft w:val="0"/>
      <w:marRight w:val="0"/>
      <w:marTop w:val="0"/>
      <w:marBottom w:val="0"/>
      <w:divBdr>
        <w:top w:val="none" w:sz="0" w:space="0" w:color="auto"/>
        <w:left w:val="none" w:sz="0" w:space="0" w:color="auto"/>
        <w:bottom w:val="none" w:sz="0" w:space="0" w:color="auto"/>
        <w:right w:val="none" w:sz="0" w:space="0" w:color="auto"/>
      </w:divBdr>
    </w:div>
    <w:div w:id="1247034319">
      <w:bodyDiv w:val="1"/>
      <w:marLeft w:val="0"/>
      <w:marRight w:val="0"/>
      <w:marTop w:val="0"/>
      <w:marBottom w:val="0"/>
      <w:divBdr>
        <w:top w:val="none" w:sz="0" w:space="0" w:color="auto"/>
        <w:left w:val="none" w:sz="0" w:space="0" w:color="auto"/>
        <w:bottom w:val="none" w:sz="0" w:space="0" w:color="auto"/>
        <w:right w:val="none" w:sz="0" w:space="0" w:color="auto"/>
      </w:divBdr>
    </w:div>
    <w:div w:id="1272279740">
      <w:bodyDiv w:val="1"/>
      <w:marLeft w:val="0"/>
      <w:marRight w:val="0"/>
      <w:marTop w:val="0"/>
      <w:marBottom w:val="0"/>
      <w:divBdr>
        <w:top w:val="none" w:sz="0" w:space="0" w:color="auto"/>
        <w:left w:val="none" w:sz="0" w:space="0" w:color="auto"/>
        <w:bottom w:val="none" w:sz="0" w:space="0" w:color="auto"/>
        <w:right w:val="none" w:sz="0" w:space="0" w:color="auto"/>
      </w:divBdr>
    </w:div>
    <w:div w:id="1302727603">
      <w:bodyDiv w:val="1"/>
      <w:marLeft w:val="0"/>
      <w:marRight w:val="0"/>
      <w:marTop w:val="0"/>
      <w:marBottom w:val="0"/>
      <w:divBdr>
        <w:top w:val="none" w:sz="0" w:space="0" w:color="auto"/>
        <w:left w:val="none" w:sz="0" w:space="0" w:color="auto"/>
        <w:bottom w:val="none" w:sz="0" w:space="0" w:color="auto"/>
        <w:right w:val="none" w:sz="0" w:space="0" w:color="auto"/>
      </w:divBdr>
    </w:div>
    <w:div w:id="1314066695">
      <w:bodyDiv w:val="1"/>
      <w:marLeft w:val="0"/>
      <w:marRight w:val="0"/>
      <w:marTop w:val="0"/>
      <w:marBottom w:val="0"/>
      <w:divBdr>
        <w:top w:val="none" w:sz="0" w:space="0" w:color="auto"/>
        <w:left w:val="none" w:sz="0" w:space="0" w:color="auto"/>
        <w:bottom w:val="none" w:sz="0" w:space="0" w:color="auto"/>
        <w:right w:val="none" w:sz="0" w:space="0" w:color="auto"/>
      </w:divBdr>
    </w:div>
    <w:div w:id="1318604790">
      <w:bodyDiv w:val="1"/>
      <w:marLeft w:val="0"/>
      <w:marRight w:val="0"/>
      <w:marTop w:val="0"/>
      <w:marBottom w:val="0"/>
      <w:divBdr>
        <w:top w:val="none" w:sz="0" w:space="0" w:color="auto"/>
        <w:left w:val="none" w:sz="0" w:space="0" w:color="auto"/>
        <w:bottom w:val="none" w:sz="0" w:space="0" w:color="auto"/>
        <w:right w:val="none" w:sz="0" w:space="0" w:color="auto"/>
      </w:divBdr>
    </w:div>
    <w:div w:id="1340153446">
      <w:bodyDiv w:val="1"/>
      <w:marLeft w:val="0"/>
      <w:marRight w:val="0"/>
      <w:marTop w:val="0"/>
      <w:marBottom w:val="0"/>
      <w:divBdr>
        <w:top w:val="none" w:sz="0" w:space="0" w:color="auto"/>
        <w:left w:val="none" w:sz="0" w:space="0" w:color="auto"/>
        <w:bottom w:val="none" w:sz="0" w:space="0" w:color="auto"/>
        <w:right w:val="none" w:sz="0" w:space="0" w:color="auto"/>
      </w:divBdr>
    </w:div>
    <w:div w:id="1356151388">
      <w:bodyDiv w:val="1"/>
      <w:marLeft w:val="0"/>
      <w:marRight w:val="0"/>
      <w:marTop w:val="0"/>
      <w:marBottom w:val="0"/>
      <w:divBdr>
        <w:top w:val="none" w:sz="0" w:space="0" w:color="auto"/>
        <w:left w:val="none" w:sz="0" w:space="0" w:color="auto"/>
        <w:bottom w:val="none" w:sz="0" w:space="0" w:color="auto"/>
        <w:right w:val="none" w:sz="0" w:space="0" w:color="auto"/>
      </w:divBdr>
    </w:div>
    <w:div w:id="1364018808">
      <w:bodyDiv w:val="1"/>
      <w:marLeft w:val="0"/>
      <w:marRight w:val="0"/>
      <w:marTop w:val="0"/>
      <w:marBottom w:val="0"/>
      <w:divBdr>
        <w:top w:val="none" w:sz="0" w:space="0" w:color="auto"/>
        <w:left w:val="none" w:sz="0" w:space="0" w:color="auto"/>
        <w:bottom w:val="none" w:sz="0" w:space="0" w:color="auto"/>
        <w:right w:val="none" w:sz="0" w:space="0" w:color="auto"/>
      </w:divBdr>
    </w:div>
    <w:div w:id="1373647893">
      <w:bodyDiv w:val="1"/>
      <w:marLeft w:val="0"/>
      <w:marRight w:val="0"/>
      <w:marTop w:val="0"/>
      <w:marBottom w:val="0"/>
      <w:divBdr>
        <w:top w:val="none" w:sz="0" w:space="0" w:color="auto"/>
        <w:left w:val="none" w:sz="0" w:space="0" w:color="auto"/>
        <w:bottom w:val="none" w:sz="0" w:space="0" w:color="auto"/>
        <w:right w:val="none" w:sz="0" w:space="0" w:color="auto"/>
      </w:divBdr>
    </w:div>
    <w:div w:id="1402210558">
      <w:bodyDiv w:val="1"/>
      <w:marLeft w:val="0"/>
      <w:marRight w:val="0"/>
      <w:marTop w:val="0"/>
      <w:marBottom w:val="0"/>
      <w:divBdr>
        <w:top w:val="none" w:sz="0" w:space="0" w:color="auto"/>
        <w:left w:val="none" w:sz="0" w:space="0" w:color="auto"/>
        <w:bottom w:val="none" w:sz="0" w:space="0" w:color="auto"/>
        <w:right w:val="none" w:sz="0" w:space="0" w:color="auto"/>
      </w:divBdr>
    </w:div>
    <w:div w:id="1412386522">
      <w:bodyDiv w:val="1"/>
      <w:marLeft w:val="0"/>
      <w:marRight w:val="0"/>
      <w:marTop w:val="0"/>
      <w:marBottom w:val="0"/>
      <w:divBdr>
        <w:top w:val="none" w:sz="0" w:space="0" w:color="auto"/>
        <w:left w:val="none" w:sz="0" w:space="0" w:color="auto"/>
        <w:bottom w:val="none" w:sz="0" w:space="0" w:color="auto"/>
        <w:right w:val="none" w:sz="0" w:space="0" w:color="auto"/>
      </w:divBdr>
    </w:div>
    <w:div w:id="1429235724">
      <w:bodyDiv w:val="1"/>
      <w:marLeft w:val="0"/>
      <w:marRight w:val="0"/>
      <w:marTop w:val="0"/>
      <w:marBottom w:val="0"/>
      <w:divBdr>
        <w:top w:val="none" w:sz="0" w:space="0" w:color="auto"/>
        <w:left w:val="none" w:sz="0" w:space="0" w:color="auto"/>
        <w:bottom w:val="none" w:sz="0" w:space="0" w:color="auto"/>
        <w:right w:val="none" w:sz="0" w:space="0" w:color="auto"/>
      </w:divBdr>
    </w:div>
    <w:div w:id="1436243497">
      <w:bodyDiv w:val="1"/>
      <w:marLeft w:val="0"/>
      <w:marRight w:val="0"/>
      <w:marTop w:val="0"/>
      <w:marBottom w:val="0"/>
      <w:divBdr>
        <w:top w:val="none" w:sz="0" w:space="0" w:color="auto"/>
        <w:left w:val="none" w:sz="0" w:space="0" w:color="auto"/>
        <w:bottom w:val="none" w:sz="0" w:space="0" w:color="auto"/>
        <w:right w:val="none" w:sz="0" w:space="0" w:color="auto"/>
      </w:divBdr>
    </w:div>
    <w:div w:id="1438481261">
      <w:bodyDiv w:val="1"/>
      <w:marLeft w:val="0"/>
      <w:marRight w:val="0"/>
      <w:marTop w:val="0"/>
      <w:marBottom w:val="0"/>
      <w:divBdr>
        <w:top w:val="none" w:sz="0" w:space="0" w:color="auto"/>
        <w:left w:val="none" w:sz="0" w:space="0" w:color="auto"/>
        <w:bottom w:val="none" w:sz="0" w:space="0" w:color="auto"/>
        <w:right w:val="none" w:sz="0" w:space="0" w:color="auto"/>
      </w:divBdr>
    </w:div>
    <w:div w:id="1465849491">
      <w:bodyDiv w:val="1"/>
      <w:marLeft w:val="0"/>
      <w:marRight w:val="0"/>
      <w:marTop w:val="0"/>
      <w:marBottom w:val="0"/>
      <w:divBdr>
        <w:top w:val="none" w:sz="0" w:space="0" w:color="auto"/>
        <w:left w:val="none" w:sz="0" w:space="0" w:color="auto"/>
        <w:bottom w:val="none" w:sz="0" w:space="0" w:color="auto"/>
        <w:right w:val="none" w:sz="0" w:space="0" w:color="auto"/>
      </w:divBdr>
    </w:div>
    <w:div w:id="1474635002">
      <w:bodyDiv w:val="1"/>
      <w:marLeft w:val="0"/>
      <w:marRight w:val="0"/>
      <w:marTop w:val="0"/>
      <w:marBottom w:val="0"/>
      <w:divBdr>
        <w:top w:val="none" w:sz="0" w:space="0" w:color="auto"/>
        <w:left w:val="none" w:sz="0" w:space="0" w:color="auto"/>
        <w:bottom w:val="none" w:sz="0" w:space="0" w:color="auto"/>
        <w:right w:val="none" w:sz="0" w:space="0" w:color="auto"/>
      </w:divBdr>
    </w:div>
    <w:div w:id="1477332604">
      <w:bodyDiv w:val="1"/>
      <w:marLeft w:val="0"/>
      <w:marRight w:val="0"/>
      <w:marTop w:val="0"/>
      <w:marBottom w:val="0"/>
      <w:divBdr>
        <w:top w:val="none" w:sz="0" w:space="0" w:color="auto"/>
        <w:left w:val="none" w:sz="0" w:space="0" w:color="auto"/>
        <w:bottom w:val="none" w:sz="0" w:space="0" w:color="auto"/>
        <w:right w:val="none" w:sz="0" w:space="0" w:color="auto"/>
      </w:divBdr>
    </w:div>
    <w:div w:id="1512257283">
      <w:bodyDiv w:val="1"/>
      <w:marLeft w:val="0"/>
      <w:marRight w:val="0"/>
      <w:marTop w:val="0"/>
      <w:marBottom w:val="0"/>
      <w:divBdr>
        <w:top w:val="none" w:sz="0" w:space="0" w:color="auto"/>
        <w:left w:val="none" w:sz="0" w:space="0" w:color="auto"/>
        <w:bottom w:val="none" w:sz="0" w:space="0" w:color="auto"/>
        <w:right w:val="none" w:sz="0" w:space="0" w:color="auto"/>
      </w:divBdr>
    </w:div>
    <w:div w:id="1547644731">
      <w:bodyDiv w:val="1"/>
      <w:marLeft w:val="0"/>
      <w:marRight w:val="0"/>
      <w:marTop w:val="0"/>
      <w:marBottom w:val="0"/>
      <w:divBdr>
        <w:top w:val="none" w:sz="0" w:space="0" w:color="auto"/>
        <w:left w:val="none" w:sz="0" w:space="0" w:color="auto"/>
        <w:bottom w:val="none" w:sz="0" w:space="0" w:color="auto"/>
        <w:right w:val="none" w:sz="0" w:space="0" w:color="auto"/>
      </w:divBdr>
    </w:div>
    <w:div w:id="1558206304">
      <w:bodyDiv w:val="1"/>
      <w:marLeft w:val="0"/>
      <w:marRight w:val="0"/>
      <w:marTop w:val="0"/>
      <w:marBottom w:val="0"/>
      <w:divBdr>
        <w:top w:val="none" w:sz="0" w:space="0" w:color="auto"/>
        <w:left w:val="none" w:sz="0" w:space="0" w:color="auto"/>
        <w:bottom w:val="none" w:sz="0" w:space="0" w:color="auto"/>
        <w:right w:val="none" w:sz="0" w:space="0" w:color="auto"/>
      </w:divBdr>
    </w:div>
    <w:div w:id="1566145241">
      <w:bodyDiv w:val="1"/>
      <w:marLeft w:val="0"/>
      <w:marRight w:val="0"/>
      <w:marTop w:val="0"/>
      <w:marBottom w:val="0"/>
      <w:divBdr>
        <w:top w:val="none" w:sz="0" w:space="0" w:color="auto"/>
        <w:left w:val="none" w:sz="0" w:space="0" w:color="auto"/>
        <w:bottom w:val="none" w:sz="0" w:space="0" w:color="auto"/>
        <w:right w:val="none" w:sz="0" w:space="0" w:color="auto"/>
      </w:divBdr>
    </w:div>
    <w:div w:id="1575898822">
      <w:bodyDiv w:val="1"/>
      <w:marLeft w:val="0"/>
      <w:marRight w:val="0"/>
      <w:marTop w:val="0"/>
      <w:marBottom w:val="0"/>
      <w:divBdr>
        <w:top w:val="none" w:sz="0" w:space="0" w:color="auto"/>
        <w:left w:val="none" w:sz="0" w:space="0" w:color="auto"/>
        <w:bottom w:val="none" w:sz="0" w:space="0" w:color="auto"/>
        <w:right w:val="none" w:sz="0" w:space="0" w:color="auto"/>
      </w:divBdr>
    </w:div>
    <w:div w:id="1600867344">
      <w:bodyDiv w:val="1"/>
      <w:marLeft w:val="0"/>
      <w:marRight w:val="0"/>
      <w:marTop w:val="0"/>
      <w:marBottom w:val="0"/>
      <w:divBdr>
        <w:top w:val="none" w:sz="0" w:space="0" w:color="auto"/>
        <w:left w:val="none" w:sz="0" w:space="0" w:color="auto"/>
        <w:bottom w:val="none" w:sz="0" w:space="0" w:color="auto"/>
        <w:right w:val="none" w:sz="0" w:space="0" w:color="auto"/>
      </w:divBdr>
    </w:div>
    <w:div w:id="1616518971">
      <w:bodyDiv w:val="1"/>
      <w:marLeft w:val="0"/>
      <w:marRight w:val="0"/>
      <w:marTop w:val="0"/>
      <w:marBottom w:val="0"/>
      <w:divBdr>
        <w:top w:val="none" w:sz="0" w:space="0" w:color="auto"/>
        <w:left w:val="none" w:sz="0" w:space="0" w:color="auto"/>
        <w:bottom w:val="none" w:sz="0" w:space="0" w:color="auto"/>
        <w:right w:val="none" w:sz="0" w:space="0" w:color="auto"/>
      </w:divBdr>
    </w:div>
    <w:div w:id="1636717680">
      <w:bodyDiv w:val="1"/>
      <w:marLeft w:val="0"/>
      <w:marRight w:val="0"/>
      <w:marTop w:val="0"/>
      <w:marBottom w:val="0"/>
      <w:divBdr>
        <w:top w:val="none" w:sz="0" w:space="0" w:color="auto"/>
        <w:left w:val="none" w:sz="0" w:space="0" w:color="auto"/>
        <w:bottom w:val="none" w:sz="0" w:space="0" w:color="auto"/>
        <w:right w:val="none" w:sz="0" w:space="0" w:color="auto"/>
      </w:divBdr>
    </w:div>
    <w:div w:id="1647582896">
      <w:bodyDiv w:val="1"/>
      <w:marLeft w:val="0"/>
      <w:marRight w:val="0"/>
      <w:marTop w:val="0"/>
      <w:marBottom w:val="0"/>
      <w:divBdr>
        <w:top w:val="none" w:sz="0" w:space="0" w:color="auto"/>
        <w:left w:val="none" w:sz="0" w:space="0" w:color="auto"/>
        <w:bottom w:val="none" w:sz="0" w:space="0" w:color="auto"/>
        <w:right w:val="none" w:sz="0" w:space="0" w:color="auto"/>
      </w:divBdr>
    </w:div>
    <w:div w:id="1659924197">
      <w:bodyDiv w:val="1"/>
      <w:marLeft w:val="0"/>
      <w:marRight w:val="0"/>
      <w:marTop w:val="0"/>
      <w:marBottom w:val="0"/>
      <w:divBdr>
        <w:top w:val="none" w:sz="0" w:space="0" w:color="auto"/>
        <w:left w:val="none" w:sz="0" w:space="0" w:color="auto"/>
        <w:bottom w:val="none" w:sz="0" w:space="0" w:color="auto"/>
        <w:right w:val="none" w:sz="0" w:space="0" w:color="auto"/>
      </w:divBdr>
    </w:div>
    <w:div w:id="1690335075">
      <w:bodyDiv w:val="1"/>
      <w:marLeft w:val="0"/>
      <w:marRight w:val="0"/>
      <w:marTop w:val="0"/>
      <w:marBottom w:val="0"/>
      <w:divBdr>
        <w:top w:val="none" w:sz="0" w:space="0" w:color="auto"/>
        <w:left w:val="none" w:sz="0" w:space="0" w:color="auto"/>
        <w:bottom w:val="none" w:sz="0" w:space="0" w:color="auto"/>
        <w:right w:val="none" w:sz="0" w:space="0" w:color="auto"/>
      </w:divBdr>
    </w:div>
    <w:div w:id="1708749936">
      <w:bodyDiv w:val="1"/>
      <w:marLeft w:val="0"/>
      <w:marRight w:val="0"/>
      <w:marTop w:val="0"/>
      <w:marBottom w:val="0"/>
      <w:divBdr>
        <w:top w:val="none" w:sz="0" w:space="0" w:color="auto"/>
        <w:left w:val="none" w:sz="0" w:space="0" w:color="auto"/>
        <w:bottom w:val="none" w:sz="0" w:space="0" w:color="auto"/>
        <w:right w:val="none" w:sz="0" w:space="0" w:color="auto"/>
      </w:divBdr>
    </w:div>
    <w:div w:id="1753157286">
      <w:bodyDiv w:val="1"/>
      <w:marLeft w:val="0"/>
      <w:marRight w:val="0"/>
      <w:marTop w:val="0"/>
      <w:marBottom w:val="0"/>
      <w:divBdr>
        <w:top w:val="none" w:sz="0" w:space="0" w:color="auto"/>
        <w:left w:val="none" w:sz="0" w:space="0" w:color="auto"/>
        <w:bottom w:val="none" w:sz="0" w:space="0" w:color="auto"/>
        <w:right w:val="none" w:sz="0" w:space="0" w:color="auto"/>
      </w:divBdr>
    </w:div>
    <w:div w:id="1765615332">
      <w:bodyDiv w:val="1"/>
      <w:marLeft w:val="0"/>
      <w:marRight w:val="0"/>
      <w:marTop w:val="0"/>
      <w:marBottom w:val="0"/>
      <w:divBdr>
        <w:top w:val="none" w:sz="0" w:space="0" w:color="auto"/>
        <w:left w:val="none" w:sz="0" w:space="0" w:color="auto"/>
        <w:bottom w:val="none" w:sz="0" w:space="0" w:color="auto"/>
        <w:right w:val="none" w:sz="0" w:space="0" w:color="auto"/>
      </w:divBdr>
    </w:div>
    <w:div w:id="1783376919">
      <w:bodyDiv w:val="1"/>
      <w:marLeft w:val="0"/>
      <w:marRight w:val="0"/>
      <w:marTop w:val="0"/>
      <w:marBottom w:val="0"/>
      <w:divBdr>
        <w:top w:val="none" w:sz="0" w:space="0" w:color="auto"/>
        <w:left w:val="none" w:sz="0" w:space="0" w:color="auto"/>
        <w:bottom w:val="none" w:sz="0" w:space="0" w:color="auto"/>
        <w:right w:val="none" w:sz="0" w:space="0" w:color="auto"/>
      </w:divBdr>
    </w:div>
    <w:div w:id="1829516612">
      <w:bodyDiv w:val="1"/>
      <w:marLeft w:val="0"/>
      <w:marRight w:val="0"/>
      <w:marTop w:val="0"/>
      <w:marBottom w:val="0"/>
      <w:divBdr>
        <w:top w:val="none" w:sz="0" w:space="0" w:color="auto"/>
        <w:left w:val="none" w:sz="0" w:space="0" w:color="auto"/>
        <w:bottom w:val="none" w:sz="0" w:space="0" w:color="auto"/>
        <w:right w:val="none" w:sz="0" w:space="0" w:color="auto"/>
      </w:divBdr>
    </w:div>
    <w:div w:id="1854950419">
      <w:bodyDiv w:val="1"/>
      <w:marLeft w:val="0"/>
      <w:marRight w:val="0"/>
      <w:marTop w:val="0"/>
      <w:marBottom w:val="0"/>
      <w:divBdr>
        <w:top w:val="none" w:sz="0" w:space="0" w:color="auto"/>
        <w:left w:val="none" w:sz="0" w:space="0" w:color="auto"/>
        <w:bottom w:val="none" w:sz="0" w:space="0" w:color="auto"/>
        <w:right w:val="none" w:sz="0" w:space="0" w:color="auto"/>
      </w:divBdr>
    </w:div>
    <w:div w:id="1857303094">
      <w:bodyDiv w:val="1"/>
      <w:marLeft w:val="0"/>
      <w:marRight w:val="0"/>
      <w:marTop w:val="0"/>
      <w:marBottom w:val="0"/>
      <w:divBdr>
        <w:top w:val="none" w:sz="0" w:space="0" w:color="auto"/>
        <w:left w:val="none" w:sz="0" w:space="0" w:color="auto"/>
        <w:bottom w:val="none" w:sz="0" w:space="0" w:color="auto"/>
        <w:right w:val="none" w:sz="0" w:space="0" w:color="auto"/>
      </w:divBdr>
    </w:div>
    <w:div w:id="1876111725">
      <w:bodyDiv w:val="1"/>
      <w:marLeft w:val="0"/>
      <w:marRight w:val="0"/>
      <w:marTop w:val="0"/>
      <w:marBottom w:val="0"/>
      <w:divBdr>
        <w:top w:val="none" w:sz="0" w:space="0" w:color="auto"/>
        <w:left w:val="none" w:sz="0" w:space="0" w:color="auto"/>
        <w:bottom w:val="none" w:sz="0" w:space="0" w:color="auto"/>
        <w:right w:val="none" w:sz="0" w:space="0" w:color="auto"/>
      </w:divBdr>
    </w:div>
    <w:div w:id="1913274451">
      <w:bodyDiv w:val="1"/>
      <w:marLeft w:val="0"/>
      <w:marRight w:val="0"/>
      <w:marTop w:val="0"/>
      <w:marBottom w:val="0"/>
      <w:divBdr>
        <w:top w:val="none" w:sz="0" w:space="0" w:color="auto"/>
        <w:left w:val="none" w:sz="0" w:space="0" w:color="auto"/>
        <w:bottom w:val="none" w:sz="0" w:space="0" w:color="auto"/>
        <w:right w:val="none" w:sz="0" w:space="0" w:color="auto"/>
      </w:divBdr>
    </w:div>
    <w:div w:id="1928423695">
      <w:bodyDiv w:val="1"/>
      <w:marLeft w:val="0"/>
      <w:marRight w:val="0"/>
      <w:marTop w:val="0"/>
      <w:marBottom w:val="0"/>
      <w:divBdr>
        <w:top w:val="none" w:sz="0" w:space="0" w:color="auto"/>
        <w:left w:val="none" w:sz="0" w:space="0" w:color="auto"/>
        <w:bottom w:val="none" w:sz="0" w:space="0" w:color="auto"/>
        <w:right w:val="none" w:sz="0" w:space="0" w:color="auto"/>
      </w:divBdr>
    </w:div>
    <w:div w:id="1950771264">
      <w:bodyDiv w:val="1"/>
      <w:marLeft w:val="0"/>
      <w:marRight w:val="0"/>
      <w:marTop w:val="0"/>
      <w:marBottom w:val="0"/>
      <w:divBdr>
        <w:top w:val="none" w:sz="0" w:space="0" w:color="auto"/>
        <w:left w:val="none" w:sz="0" w:space="0" w:color="auto"/>
        <w:bottom w:val="none" w:sz="0" w:space="0" w:color="auto"/>
        <w:right w:val="none" w:sz="0" w:space="0" w:color="auto"/>
      </w:divBdr>
    </w:div>
    <w:div w:id="1994335390">
      <w:bodyDiv w:val="1"/>
      <w:marLeft w:val="0"/>
      <w:marRight w:val="0"/>
      <w:marTop w:val="0"/>
      <w:marBottom w:val="0"/>
      <w:divBdr>
        <w:top w:val="none" w:sz="0" w:space="0" w:color="auto"/>
        <w:left w:val="none" w:sz="0" w:space="0" w:color="auto"/>
        <w:bottom w:val="none" w:sz="0" w:space="0" w:color="auto"/>
        <w:right w:val="none" w:sz="0" w:space="0" w:color="auto"/>
      </w:divBdr>
    </w:div>
    <w:div w:id="1997881731">
      <w:bodyDiv w:val="1"/>
      <w:marLeft w:val="0"/>
      <w:marRight w:val="0"/>
      <w:marTop w:val="0"/>
      <w:marBottom w:val="0"/>
      <w:divBdr>
        <w:top w:val="none" w:sz="0" w:space="0" w:color="auto"/>
        <w:left w:val="none" w:sz="0" w:space="0" w:color="auto"/>
        <w:bottom w:val="none" w:sz="0" w:space="0" w:color="auto"/>
        <w:right w:val="none" w:sz="0" w:space="0" w:color="auto"/>
      </w:divBdr>
    </w:div>
    <w:div w:id="2000839818">
      <w:bodyDiv w:val="1"/>
      <w:marLeft w:val="0"/>
      <w:marRight w:val="0"/>
      <w:marTop w:val="0"/>
      <w:marBottom w:val="0"/>
      <w:divBdr>
        <w:top w:val="none" w:sz="0" w:space="0" w:color="auto"/>
        <w:left w:val="none" w:sz="0" w:space="0" w:color="auto"/>
        <w:bottom w:val="none" w:sz="0" w:space="0" w:color="auto"/>
        <w:right w:val="none" w:sz="0" w:space="0" w:color="auto"/>
      </w:divBdr>
    </w:div>
    <w:div w:id="2010597650">
      <w:bodyDiv w:val="1"/>
      <w:marLeft w:val="0"/>
      <w:marRight w:val="0"/>
      <w:marTop w:val="0"/>
      <w:marBottom w:val="0"/>
      <w:divBdr>
        <w:top w:val="none" w:sz="0" w:space="0" w:color="auto"/>
        <w:left w:val="none" w:sz="0" w:space="0" w:color="auto"/>
        <w:bottom w:val="none" w:sz="0" w:space="0" w:color="auto"/>
        <w:right w:val="none" w:sz="0" w:space="0" w:color="auto"/>
      </w:divBdr>
    </w:div>
    <w:div w:id="2080135374">
      <w:bodyDiv w:val="1"/>
      <w:marLeft w:val="0"/>
      <w:marRight w:val="0"/>
      <w:marTop w:val="0"/>
      <w:marBottom w:val="0"/>
      <w:divBdr>
        <w:top w:val="none" w:sz="0" w:space="0" w:color="auto"/>
        <w:left w:val="none" w:sz="0" w:space="0" w:color="auto"/>
        <w:bottom w:val="none" w:sz="0" w:space="0" w:color="auto"/>
        <w:right w:val="none" w:sz="0" w:space="0" w:color="auto"/>
      </w:divBdr>
    </w:div>
    <w:div w:id="2105372951">
      <w:bodyDiv w:val="1"/>
      <w:marLeft w:val="0"/>
      <w:marRight w:val="0"/>
      <w:marTop w:val="0"/>
      <w:marBottom w:val="0"/>
      <w:divBdr>
        <w:top w:val="none" w:sz="0" w:space="0" w:color="auto"/>
        <w:left w:val="none" w:sz="0" w:space="0" w:color="auto"/>
        <w:bottom w:val="none" w:sz="0" w:space="0" w:color="auto"/>
        <w:right w:val="none" w:sz="0" w:space="0" w:color="auto"/>
      </w:divBdr>
    </w:div>
    <w:div w:id="21134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pt.gov.pl/strefa-beneficjenta/wdrazanie-projektow/analiza-kosztow-ikorzysci/metodyka-analizy-kosztow-i-korzysci/niebieskie-ksiegi-2021-2027/"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CF4B6-ABF2-483A-AB5B-41DD19A5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2217</Words>
  <Characters>13308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Marcin Faroń</cp:lastModifiedBy>
  <cp:revision>6</cp:revision>
  <cp:lastPrinted>2024-05-10T10:28:00Z</cp:lastPrinted>
  <dcterms:created xsi:type="dcterms:W3CDTF">2024-05-02T06:33:00Z</dcterms:created>
  <dcterms:modified xsi:type="dcterms:W3CDTF">2024-05-12T19:11:00Z</dcterms:modified>
</cp:coreProperties>
</file>