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CB34F" w14:textId="77777777" w:rsidR="00136D60" w:rsidRPr="00483DA1" w:rsidRDefault="00136D60" w:rsidP="00136D60">
      <w:pPr>
        <w:jc w:val="center"/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</w:p>
    <w:p w14:paraId="4C37BFA1" w14:textId="1A102806" w:rsidR="00136D60" w:rsidRPr="00483DA1" w:rsidRDefault="00421306" w:rsidP="00136D60">
      <w:pPr>
        <w:jc w:val="center"/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8DC2014" wp14:editId="536BB68E">
            <wp:extent cx="8476461" cy="828675"/>
            <wp:effectExtent l="0" t="0" r="127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244" cy="8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1649" w14:textId="3B3BB160" w:rsidR="00136D60" w:rsidRPr="00483DA1" w:rsidRDefault="00136D60" w:rsidP="00136D60">
      <w:pPr>
        <w:jc w:val="center"/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</w:p>
    <w:p w14:paraId="05850690" w14:textId="77777777" w:rsidR="00103B1B" w:rsidRDefault="00103B1B" w:rsidP="00FD69C6">
      <w:pPr>
        <w:jc w:val="center"/>
        <w:rPr>
          <w:rFonts w:ascii="Arial" w:eastAsiaTheme="minorEastAsia" w:hAnsi="Arial" w:cs="Arial"/>
          <w:i/>
          <w:color w:val="000099"/>
          <w:sz w:val="36"/>
          <w:szCs w:val="36"/>
          <w:lang w:eastAsia="pl-PL"/>
        </w:rPr>
      </w:pPr>
    </w:p>
    <w:p w14:paraId="5B59677A" w14:textId="77777777" w:rsidR="00103B1B" w:rsidRDefault="00103B1B" w:rsidP="00FD69C6">
      <w:pPr>
        <w:jc w:val="center"/>
        <w:rPr>
          <w:rFonts w:ascii="Arial" w:eastAsiaTheme="minorEastAsia" w:hAnsi="Arial" w:cs="Arial"/>
          <w:i/>
          <w:color w:val="000099"/>
          <w:sz w:val="36"/>
          <w:szCs w:val="36"/>
          <w:lang w:eastAsia="pl-PL"/>
        </w:rPr>
      </w:pPr>
    </w:p>
    <w:p w14:paraId="06690D85" w14:textId="54A49AF9" w:rsidR="00421306" w:rsidRDefault="00421306" w:rsidP="00421306">
      <w:pPr>
        <w:spacing w:after="0" w:line="360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99"/>
          <w:sz w:val="36"/>
          <w:szCs w:val="36"/>
        </w:rPr>
        <w:t>ZAŁĄCZNIK NR 9</w:t>
      </w:r>
    </w:p>
    <w:p w14:paraId="4F068695" w14:textId="77777777" w:rsidR="00421306" w:rsidRDefault="005B09B9" w:rsidP="00421306">
      <w:pPr>
        <w:spacing w:after="0" w:line="360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21306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Lista wskaźników na poziomie projektu </w:t>
      </w:r>
    </w:p>
    <w:p w14:paraId="334E28F9" w14:textId="339D9D90" w:rsidR="00136D60" w:rsidRDefault="005B09B9" w:rsidP="00421306">
      <w:pPr>
        <w:spacing w:after="0" w:line="360" w:lineRule="auto"/>
        <w:rPr>
          <w:rFonts w:ascii="Calibri" w:eastAsia="Times New Roman" w:hAnsi="Calibri" w:cs="Times New Roman"/>
          <w:b/>
          <w:sz w:val="44"/>
          <w:szCs w:val="44"/>
        </w:rPr>
      </w:pPr>
      <w:r w:rsidRPr="00421306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dla działania </w:t>
      </w:r>
      <w:r w:rsidR="00C81152" w:rsidRPr="00C81152">
        <w:rPr>
          <w:rFonts w:ascii="Calibri" w:eastAsia="Times New Roman" w:hAnsi="Calibri" w:cs="Times New Roman"/>
          <w:b/>
          <w:color w:val="000099"/>
          <w:sz w:val="36"/>
          <w:szCs w:val="36"/>
        </w:rPr>
        <w:t>4.2 Mobilność mieszkańców</w:t>
      </w:r>
    </w:p>
    <w:p w14:paraId="326FB9A0" w14:textId="77777777" w:rsidR="00421306" w:rsidRPr="00421306" w:rsidRDefault="00421306" w:rsidP="00421306">
      <w:pPr>
        <w:spacing w:after="0" w:line="360" w:lineRule="auto"/>
        <w:rPr>
          <w:rFonts w:ascii="Calibri" w:eastAsia="Times New Roman" w:hAnsi="Calibri" w:cs="Times New Roman"/>
          <w:b/>
          <w:sz w:val="44"/>
          <w:szCs w:val="44"/>
        </w:rPr>
      </w:pPr>
    </w:p>
    <w:p w14:paraId="76A0830C" w14:textId="77777777" w:rsidR="00421306" w:rsidRPr="00524139" w:rsidRDefault="00421306" w:rsidP="00421306">
      <w:pPr>
        <w:spacing w:after="0" w:line="240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99"/>
          <w:sz w:val="36"/>
          <w:szCs w:val="36"/>
        </w:rPr>
        <w:t>Wersja 1</w:t>
      </w:r>
    </w:p>
    <w:p w14:paraId="3DDEB17B" w14:textId="19212399" w:rsidR="00136D60" w:rsidRPr="00483DA1" w:rsidRDefault="001E14EA" w:rsidP="00421306">
      <w:pPr>
        <w:spacing w:after="0" w:line="36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color w:val="000099"/>
          <w:sz w:val="36"/>
          <w:szCs w:val="36"/>
        </w:rPr>
        <w:t>maj</w:t>
      </w:r>
      <w:r w:rsidR="002B48C2" w:rsidRPr="002B48C2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 2024 r.</w:t>
      </w:r>
      <w:r w:rsidR="00136D60" w:rsidRPr="00421306">
        <w:rPr>
          <w:rFonts w:ascii="Calibri" w:eastAsia="Times New Roman" w:hAnsi="Calibri" w:cs="Times New Roman"/>
          <w:b/>
          <w:sz w:val="44"/>
          <w:szCs w:val="44"/>
        </w:rPr>
        <w:br w:type="page"/>
      </w:r>
    </w:p>
    <w:p w14:paraId="31E4A7F6" w14:textId="77777777" w:rsidR="008E7FF7" w:rsidRDefault="008E7FF7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9453700" w14:textId="77777777" w:rsidR="005B09B9" w:rsidRPr="00483DA1" w:rsidRDefault="005B09B9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418"/>
        <w:gridCol w:w="1275"/>
        <w:gridCol w:w="1276"/>
        <w:gridCol w:w="1276"/>
        <w:gridCol w:w="5812"/>
      </w:tblGrid>
      <w:tr w:rsidR="00C81152" w:rsidRPr="000543F7" w14:paraId="2DBA3667" w14:textId="77777777" w:rsidTr="006969D5">
        <w:trPr>
          <w:trHeight w:hRule="exact" w:val="839"/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4F834C22" w14:textId="77777777" w:rsidR="00C81152" w:rsidRPr="000543F7" w:rsidRDefault="00C81152" w:rsidP="006969D5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7B0C960E" w14:textId="77777777" w:rsidR="00C81152" w:rsidRPr="000543F7" w:rsidRDefault="00C81152" w:rsidP="006969D5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418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2CE591E5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7E1ACCF0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5350FB7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FA8DB7D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812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4BF9157D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C81152" w:rsidRPr="000543F7" w14:paraId="4D6338E8" w14:textId="77777777" w:rsidTr="006969D5">
        <w:trPr>
          <w:trHeight w:val="36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5BC5C6A9" w14:textId="77777777" w:rsidR="00C81152" w:rsidRPr="000543F7" w:rsidRDefault="00C81152" w:rsidP="006969D5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Wskaźniki horyzontalne</w:t>
            </w:r>
          </w:p>
        </w:tc>
      </w:tr>
      <w:tr w:rsidR="00C81152" w:rsidRPr="000543F7" w14:paraId="6C54FFBF" w14:textId="77777777" w:rsidTr="006969D5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28AEB41" w14:textId="77777777" w:rsidR="00C81152" w:rsidRPr="000543F7" w:rsidRDefault="00C81152" w:rsidP="006969D5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67007AF" w14:textId="77777777" w:rsidR="00C81152" w:rsidRPr="000543F7" w:rsidRDefault="00C81152" w:rsidP="006969D5">
            <w:pPr>
              <w:spacing w:before="80" w:after="80"/>
              <w:rPr>
                <w:rFonts w:cstheme="minorHAnsi"/>
                <w:i/>
                <w:sz w:val="20"/>
                <w:szCs w:val="20"/>
              </w:rPr>
            </w:pPr>
            <w:r w:rsidRPr="000543F7">
              <w:rPr>
                <w:rFonts w:cstheme="minorHAnsi"/>
                <w:i/>
                <w:color w:val="000000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2E3B425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482B4AE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55A2464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E32FE7A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5594266" w14:textId="77777777" w:rsidR="00C81152" w:rsidRPr="000543F7" w:rsidRDefault="00C81152" w:rsidP="006969D5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543F7">
              <w:rPr>
                <w:rFonts w:cstheme="minorHAnsi"/>
                <w:color w:val="000000"/>
                <w:sz w:val="20"/>
                <w:szCs w:val="20"/>
              </w:rPr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  Jako obiekty należy rozumieć konstrukcje połączone z gruntem w sposób trwały, wykonane z materiałów budowlanych i elementów składowych, będące wynikiem prac budowlanych (wg. def. PKOB).   Należy podać liczbę obiektów, a nie sprzętów, urządzeń itp., w które obiekty zaopatrzono. Jeśli instytucja, zakład itp. składa się z kilku obiektów, należy zliczyć wszystkie, które dostosowano do potrzeb osób z niepełnosprawnościami. Wskaźnik mierzony w momencie rozliczenia wydatku związanego z wyposażeniem obiektów w rozwiązania służące osobom z niepełnosprawnościami w ramach danego projektu.</w:t>
            </w:r>
          </w:p>
        </w:tc>
      </w:tr>
      <w:tr w:rsidR="00C81152" w:rsidRPr="000543F7" w14:paraId="1FCDC930" w14:textId="77777777" w:rsidTr="006969D5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3E4212D" w14:textId="77777777" w:rsidR="00C81152" w:rsidRDefault="00C81152" w:rsidP="006969D5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1D96648" w14:textId="77777777" w:rsidR="00C81152" w:rsidRPr="000543F7" w:rsidRDefault="00C81152" w:rsidP="006969D5">
            <w:pPr>
              <w:spacing w:before="80" w:after="8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625664">
              <w:rPr>
                <w:rFonts w:cstheme="minorHAnsi"/>
                <w:i/>
                <w:color w:val="000000"/>
                <w:sz w:val="20"/>
                <w:szCs w:val="20"/>
              </w:rPr>
              <w:t xml:space="preserve">Liczba projektów, w których sfinansowano koszty racjonalnych usprawnień dla osób z niepełnosprawnościami 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C35B510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3703002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1EE86AE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6B1A5C3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4831210D" w14:textId="77777777" w:rsidR="00C81152" w:rsidRPr="000543F7" w:rsidRDefault="00C81152" w:rsidP="006969D5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5664">
              <w:rPr>
                <w:rFonts w:cstheme="minorHAnsi"/>
                <w:color w:val="000000"/>
                <w:sz w:val="20"/>
                <w:szCs w:val="20"/>
              </w:rPr>
              <w:t xml:space="preserve">Racjonalne usprawnienie oznacza konieczne i odpowiednie zmiany oraz dostosowania, nie nakładające nieproporcjonalnego lub nadmiernego obciążenia, rozpatrywane osobno dla każdego  konkretnego przypadku, w celu zapewnienia osobom z niepełnosprawnościami możliwości korzystania  z wszelkich praw człowieka i podstawowych wolności oraz ich wykonywania na zasadzie równości z innymi osobami. Wskaźnik mierzony w momencie rozliczenia wydatku związanego z racjonalnymi usprawnieniami w  ramach danego projektu. Przykłady racjonalnych usprawnień: tłumacz języka migowego, transport niskopodłogowy, dostosowanie infrastruktury (nie tylko budynku, ale też dostosowanie infrastruktury </w:t>
            </w:r>
            <w:r w:rsidRPr="00625664">
              <w:rPr>
                <w:rFonts w:cstheme="minorHAnsi"/>
                <w:color w:val="000000"/>
                <w:sz w:val="20"/>
                <w:szCs w:val="20"/>
              </w:rPr>
              <w:lastRenderedPageBreak/>
              <w:t>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z  Wytycznych w zakresie realizacji zasad równościowych  w ramach funduszy unijnych na lata 2021-2027). 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 Definicja na podstawie:  Wytyczne w zakresie realizacji zasad równościowych  w ramach funduszy unijnych na lata 2021-2027.</w:t>
            </w:r>
          </w:p>
        </w:tc>
      </w:tr>
      <w:tr w:rsidR="00C81152" w:rsidRPr="000543F7" w14:paraId="47470D7C" w14:textId="77777777" w:rsidTr="006969D5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34AC0BA2" w14:textId="6C35C60C" w:rsidR="00C81152" w:rsidRPr="000543F7" w:rsidRDefault="005660D3" w:rsidP="00007CEC">
            <w:pPr>
              <w:spacing w:before="80" w:after="80"/>
              <w:rPr>
                <w:rFonts w:cstheme="minorHAnsi"/>
                <w:i/>
                <w:color w:val="000099"/>
                <w:sz w:val="24"/>
                <w:szCs w:val="24"/>
              </w:rPr>
            </w:pPr>
            <w:r>
              <w:rPr>
                <w:rFonts w:cstheme="minorHAnsi"/>
                <w:i/>
                <w:color w:val="000099"/>
                <w:sz w:val="24"/>
                <w:szCs w:val="24"/>
              </w:rPr>
              <w:lastRenderedPageBreak/>
              <w:t>Priorytet</w:t>
            </w:r>
            <w:r w:rsidR="00C81152"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 IV </w:t>
            </w:r>
            <w:r w:rsidR="00C81152" w:rsidRPr="000543F7">
              <w:rPr>
                <w:rFonts w:cstheme="minorHAnsi"/>
                <w:b/>
                <w:i/>
                <w:color w:val="000099"/>
                <w:sz w:val="24"/>
                <w:szCs w:val="24"/>
              </w:rPr>
              <w:t>Fundusze Europejskie na rzecz spójności i dostępności komunikacji województwa opolskiego</w:t>
            </w:r>
          </w:p>
        </w:tc>
      </w:tr>
      <w:tr w:rsidR="00C81152" w:rsidRPr="000543F7" w14:paraId="3C4A986A" w14:textId="77777777" w:rsidTr="006969D5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0BDD1A67" w14:textId="45CD5688" w:rsidR="00C81152" w:rsidRPr="000543F7" w:rsidRDefault="00C81152" w:rsidP="00007CEC">
            <w:pPr>
              <w:spacing w:before="80" w:after="80"/>
              <w:rPr>
                <w:rFonts w:cstheme="minorHAnsi"/>
                <w:i/>
                <w:color w:val="000099"/>
                <w:sz w:val="24"/>
                <w:szCs w:val="24"/>
              </w:rPr>
            </w:pPr>
            <w:r>
              <w:rPr>
                <w:rFonts w:cstheme="minorHAnsi"/>
                <w:i/>
                <w:color w:val="000099"/>
                <w:sz w:val="24"/>
                <w:szCs w:val="24"/>
              </w:rPr>
              <w:t>Działanie 4.2</w:t>
            </w: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color w:val="000099"/>
                <w:sz w:val="24"/>
                <w:szCs w:val="24"/>
              </w:rPr>
              <w:t>Mobilność mieszkańców</w:t>
            </w:r>
          </w:p>
        </w:tc>
      </w:tr>
      <w:tr w:rsidR="00C81152" w:rsidRPr="000543F7" w14:paraId="3E3ED0F1" w14:textId="77777777" w:rsidTr="006969D5">
        <w:trPr>
          <w:trHeight w:val="1041"/>
        </w:trPr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14C600CA" w14:textId="77777777" w:rsidR="00C81152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0B18F68A" w14:textId="77777777" w:rsidR="00C81152" w:rsidRPr="00612645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17260E">
              <w:rPr>
                <w:rFonts w:cstheme="minorHAnsi"/>
                <w:i/>
                <w:sz w:val="20"/>
                <w:szCs w:val="20"/>
              </w:rPr>
              <w:t>Liczba wybudowanych zintegrowanych węzłów przesiadkowych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vAlign w:val="center"/>
          </w:tcPr>
          <w:p w14:paraId="57B6C59A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19C78B00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172C419D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17DDE9DF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vAlign w:val="center"/>
          </w:tcPr>
          <w:p w14:paraId="3761CE94" w14:textId="77777777" w:rsidR="00C81152" w:rsidRPr="000543F7" w:rsidRDefault="00C81152" w:rsidP="006969D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E4E2A">
              <w:rPr>
                <w:rFonts w:cstheme="minorHAnsi"/>
                <w:sz w:val="20"/>
                <w:szCs w:val="20"/>
              </w:rPr>
              <w:t xml:space="preserve">Wskaźnik mierzy liczbę wybudowanych zintegrowanych węzłów przesiadkowych zapewniających możliwość przesiadania się pomiędzy środkami transportu publicznego lub pomiędzy systemami transportu publicznego i indywidualnego.   Budowa zintegrowanego węzła przesiadkowego – budowa zintegrowanego węzła przesiadkowego od podstaw, odbudowa nieczynnego lub rozbudowa istniejącego węzła niespełniającego definicji węzła zintegrowanego.   Zintegrowany węzeł przesiadkowy – miejsce umożliwiające dogodną zmianę środka transportu wyposażone w niezbędną dla obsługi podróżnych infrastrukturę, w szczególności: miejsca postojowe, przystanki komunikacyjne, punkty sprzedaży biletów, systemy informacyjne umożliwiające zapoznanie się zwłaszcza z rozkładem </w:t>
            </w:r>
            <w:r w:rsidRPr="00CE4E2A">
              <w:rPr>
                <w:rFonts w:cstheme="minorHAnsi"/>
                <w:sz w:val="20"/>
                <w:szCs w:val="20"/>
              </w:rPr>
              <w:lastRenderedPageBreak/>
              <w:t>jazdy, linią komunikacyjną lub siecią komunikacyjną (art. 4 ust. 1 pkt 27 ustawy z dnia 16 grudnia 2010 r. o publicznym transporcie zbiorowym).   Publiczny transport zbiorowy – powszechnie dostępny regularny przewóz osób wykonywany w określonych odstępach czasu i po określonej linii komunikacyjnej, liniach komunikacyjnych lub sieci komunikacyjnej (art. 4 ust. 1 pkt 14 ustawy z dnia 16 grudnia 2010 r. o publicznym transporcie zbiorowym).</w:t>
            </w:r>
          </w:p>
        </w:tc>
      </w:tr>
      <w:tr w:rsidR="00C81152" w:rsidRPr="000543F7" w14:paraId="591E3712" w14:textId="77777777" w:rsidTr="006969D5">
        <w:trPr>
          <w:trHeight w:val="1041"/>
        </w:trPr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0AE28AD7" w14:textId="77777777" w:rsidR="00C81152" w:rsidRPr="000543F7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Pr="000543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2FF5130D" w14:textId="77777777" w:rsidR="00C81152" w:rsidRPr="00CE4E2A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CE4E2A">
              <w:rPr>
                <w:rFonts w:cstheme="minorHAnsi"/>
                <w:i/>
                <w:sz w:val="20"/>
                <w:szCs w:val="20"/>
              </w:rPr>
              <w:t>Liczba przebudowanych i rozbudowanych zintegrowanych węzłów przesiadkowych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vAlign w:val="center"/>
          </w:tcPr>
          <w:p w14:paraId="67E8B55C" w14:textId="77777777" w:rsidR="00C81152" w:rsidRPr="000543F7" w:rsidRDefault="00C81152" w:rsidP="006969D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658269E1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5724C650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38D8C248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vAlign w:val="center"/>
          </w:tcPr>
          <w:p w14:paraId="6EA2081D" w14:textId="77777777" w:rsidR="00C81152" w:rsidRPr="000543F7" w:rsidRDefault="00C81152" w:rsidP="006969D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E4E2A">
              <w:rPr>
                <w:rFonts w:cstheme="minorHAnsi"/>
                <w:sz w:val="20"/>
                <w:szCs w:val="20"/>
              </w:rPr>
              <w:t xml:space="preserve">Wskaźnik mierzy liczbę przebudowanych zintegrowanych węzłów przesiadkowych zapewniających możliwość przesiadania się pomiędzy środkami transportu publicznego lub pomiędzy systemami transportu publicznego i indywidualnego.   Zgodnie  z Prawem Budowlanym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drogowego; - Wskaźnik obejmuje także modernizację węzłów przesiadkowych.   Zintegrowany węzeł przesiadkowy – miejsce umożliwiające dogodną zmianę środka transportu wyposażone w niezbędną dla obsługi podróżnych infrastrukturę, w szczególności: miejsca postojowe, przystanki komunikacyjne, punkty sprzedaży biletów, systemy informacyjne umożliwiające zapoznanie się zwłaszcza z rozkładem jazdy, linią komunikacyjną lub siecią komunikacyjną (art. 4 ust. 1 pkt 27 ustawy z dnia 16 grudnia 2010 r. o publicznym transporcie zbiorowym).   Publiczny transport zbiorowy – powszechnie dostępny regularny przewóz osób wykonywany w określonych odstępach czasu i po określonej linii komunikacyjnej, liniach komunikacyjnych lub sieci komunikacyjnej (art. 4 ust. 1 pkt 14 </w:t>
            </w:r>
            <w:r w:rsidRPr="00CE4E2A">
              <w:rPr>
                <w:rFonts w:cstheme="minorHAnsi"/>
                <w:sz w:val="20"/>
                <w:szCs w:val="20"/>
              </w:rPr>
              <w:lastRenderedPageBreak/>
              <w:t>ustawy z dnia 16 grudnia 2010 r. o publicznym transporcie zbiorowym).</w:t>
            </w:r>
          </w:p>
        </w:tc>
      </w:tr>
      <w:tr w:rsidR="00C81152" w:rsidRPr="000543F7" w14:paraId="33C87C62" w14:textId="77777777" w:rsidTr="006969D5">
        <w:trPr>
          <w:trHeight w:val="1041"/>
        </w:trPr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77339529" w14:textId="77777777" w:rsidR="00C81152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10EE4E1E" w14:textId="77777777" w:rsidR="00C81152" w:rsidRPr="00CE4E2A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CE4E2A">
              <w:rPr>
                <w:rFonts w:cstheme="minorHAnsi"/>
                <w:i/>
                <w:sz w:val="20"/>
                <w:szCs w:val="20"/>
              </w:rPr>
              <w:t>Liczba wybudowanych obiektów „parkuj i jedź"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vAlign w:val="center"/>
          </w:tcPr>
          <w:p w14:paraId="21379111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6BC50D8B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01A57B92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44823D12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vAlign w:val="center"/>
          </w:tcPr>
          <w:p w14:paraId="536DBBBF" w14:textId="77777777" w:rsidR="00C81152" w:rsidRPr="000543F7" w:rsidRDefault="00C81152" w:rsidP="006969D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E4E2A">
              <w:rPr>
                <w:rFonts w:cstheme="minorHAnsi"/>
                <w:sz w:val="20"/>
                <w:szCs w:val="20"/>
              </w:rPr>
              <w:t>Liczba wybudowanych parkingów w systemie „parkuj i jedź” (</w:t>
            </w:r>
            <w:proofErr w:type="spellStart"/>
            <w:r w:rsidRPr="00CE4E2A">
              <w:rPr>
                <w:rFonts w:cstheme="minorHAnsi"/>
                <w:sz w:val="20"/>
                <w:szCs w:val="20"/>
              </w:rPr>
              <w:t>Park&amp;Ride</w:t>
            </w:r>
            <w:proofErr w:type="spellEnd"/>
            <w:r w:rsidRPr="00CE4E2A">
              <w:rPr>
                <w:rFonts w:cstheme="minorHAnsi"/>
                <w:sz w:val="20"/>
                <w:szCs w:val="20"/>
              </w:rPr>
              <w:t xml:space="preserve">), umożliwiających skorzystanie z transportu zbiorowego.    Parking </w:t>
            </w:r>
            <w:proofErr w:type="spellStart"/>
            <w:r w:rsidRPr="00CE4E2A">
              <w:rPr>
                <w:rFonts w:cstheme="minorHAnsi"/>
                <w:sz w:val="20"/>
                <w:szCs w:val="20"/>
              </w:rPr>
              <w:t>Park&amp;Ride</w:t>
            </w:r>
            <w:proofErr w:type="spellEnd"/>
            <w:r w:rsidRPr="00CE4E2A">
              <w:rPr>
                <w:rFonts w:cstheme="minorHAnsi"/>
                <w:sz w:val="20"/>
                <w:szCs w:val="20"/>
              </w:rPr>
              <w:t xml:space="preserve"> (Parkuj i Jedź) rozumiany jest jako parking pełniący funkcję przesiadkową, umożliwiający kontynuację podróży środkami komunikacji zbiorowej.</w:t>
            </w:r>
          </w:p>
        </w:tc>
      </w:tr>
      <w:tr w:rsidR="00C81152" w:rsidRPr="000543F7" w14:paraId="120536C6" w14:textId="77777777" w:rsidTr="006969D5"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14:paraId="2D5887F4" w14:textId="77777777" w:rsidR="00C81152" w:rsidRPr="000543F7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0543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14:paraId="38647901" w14:textId="77777777" w:rsidR="00C81152" w:rsidRPr="00CE4E2A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CE4E2A">
              <w:rPr>
                <w:rFonts w:cstheme="minorHAnsi"/>
                <w:i/>
                <w:sz w:val="20"/>
                <w:szCs w:val="20"/>
              </w:rPr>
              <w:t>Liczba przebudowanych obiektów „parkuj i jedź"</w:t>
            </w:r>
          </w:p>
        </w:tc>
        <w:tc>
          <w:tcPr>
            <w:tcW w:w="1418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14:paraId="0182DB48" w14:textId="77777777" w:rsidR="00C81152" w:rsidRPr="000543F7" w:rsidRDefault="00C81152" w:rsidP="006969D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14:paraId="14230A50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14:paraId="1F4F5889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14:paraId="42044AF6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14:paraId="39BC90A1" w14:textId="77777777" w:rsidR="00C81152" w:rsidRPr="000543F7" w:rsidRDefault="00C81152" w:rsidP="006969D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E4E2A">
              <w:rPr>
                <w:rFonts w:cstheme="minorHAnsi"/>
                <w:sz w:val="20"/>
                <w:szCs w:val="20"/>
              </w:rPr>
              <w:t>Liczba przebudowanych parkingów w systemie „parkuj i jedź” (</w:t>
            </w:r>
            <w:proofErr w:type="spellStart"/>
            <w:r w:rsidRPr="00CE4E2A">
              <w:rPr>
                <w:rFonts w:cstheme="minorHAnsi"/>
                <w:sz w:val="20"/>
                <w:szCs w:val="20"/>
              </w:rPr>
              <w:t>Park&amp;Ride</w:t>
            </w:r>
            <w:proofErr w:type="spellEnd"/>
            <w:r w:rsidRPr="00CE4E2A">
              <w:rPr>
                <w:rFonts w:cstheme="minorHAnsi"/>
                <w:sz w:val="20"/>
                <w:szCs w:val="20"/>
              </w:rPr>
              <w:t xml:space="preserve">), umożliwiających skorzystanie z transportu zbiorowego.    Parking </w:t>
            </w:r>
            <w:proofErr w:type="spellStart"/>
            <w:r w:rsidRPr="00CE4E2A">
              <w:rPr>
                <w:rFonts w:cstheme="minorHAnsi"/>
                <w:sz w:val="20"/>
                <w:szCs w:val="20"/>
              </w:rPr>
              <w:t>Park&amp;Ride</w:t>
            </w:r>
            <w:proofErr w:type="spellEnd"/>
            <w:r w:rsidRPr="00CE4E2A">
              <w:rPr>
                <w:rFonts w:cstheme="minorHAnsi"/>
                <w:sz w:val="20"/>
                <w:szCs w:val="20"/>
              </w:rPr>
              <w:t xml:space="preserve"> (Parkuj i Jedź) rozumiany jest jako parking pełniący funkcję przesiadkową, umożliwiający kontynuację podróży środkami komunikacji zbiorowej.</w:t>
            </w:r>
          </w:p>
        </w:tc>
      </w:tr>
      <w:tr w:rsidR="00C81152" w:rsidRPr="000543F7" w14:paraId="66931A04" w14:textId="77777777" w:rsidTr="006969D5">
        <w:tc>
          <w:tcPr>
            <w:tcW w:w="552" w:type="dxa"/>
            <w:vAlign w:val="center"/>
          </w:tcPr>
          <w:p w14:paraId="6D130BF0" w14:textId="77777777" w:rsidR="00C81152" w:rsidRPr="000543F7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0543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EBDF75E" w14:textId="77777777" w:rsidR="00C81152" w:rsidRPr="00CE4E2A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CE4E2A">
              <w:rPr>
                <w:rFonts w:cstheme="minorHAnsi"/>
                <w:i/>
                <w:sz w:val="20"/>
                <w:szCs w:val="20"/>
              </w:rPr>
              <w:t>Liczba miejsc postojowych dla osób z niepełnosprawnościami w wybudowanych / przebudowanych lub doposażonych obiektach „parkuj i jedź”</w:t>
            </w:r>
          </w:p>
        </w:tc>
        <w:tc>
          <w:tcPr>
            <w:tcW w:w="1418" w:type="dxa"/>
            <w:vAlign w:val="center"/>
          </w:tcPr>
          <w:p w14:paraId="28C78A52" w14:textId="77777777" w:rsidR="00C81152" w:rsidRPr="000543F7" w:rsidRDefault="00C81152" w:rsidP="006969D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14:paraId="0A1235F9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14:paraId="77AD3E30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14:paraId="4C37A223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14:paraId="0D53E55F" w14:textId="77777777" w:rsidR="00C81152" w:rsidRPr="000543F7" w:rsidRDefault="00C81152" w:rsidP="006969D5">
            <w:pPr>
              <w:spacing w:before="60" w:after="60"/>
              <w:jc w:val="both"/>
              <w:rPr>
                <w:rFonts w:cstheme="minorHAnsi"/>
                <w:color w:val="C00000"/>
                <w:sz w:val="20"/>
                <w:szCs w:val="20"/>
              </w:rPr>
            </w:pPr>
            <w:r w:rsidRPr="00CE4E2A">
              <w:rPr>
                <w:rFonts w:cstheme="minorHAnsi"/>
                <w:sz w:val="20"/>
                <w:szCs w:val="20"/>
              </w:rPr>
              <w:t>Wskaźnik mierzy liczbę nowych stanowisk dla osób z niepełnosprawnościami przeznaczonych do postoju samochodów osobowych, znajdujących się na terenie parkingu w systemie „parkuj i jedź” (</w:t>
            </w:r>
            <w:proofErr w:type="spellStart"/>
            <w:r w:rsidRPr="00CE4E2A">
              <w:rPr>
                <w:rFonts w:cstheme="minorHAnsi"/>
                <w:sz w:val="20"/>
                <w:szCs w:val="20"/>
              </w:rPr>
              <w:t>Park&amp;Ride</w:t>
            </w:r>
            <w:proofErr w:type="spellEnd"/>
            <w:r w:rsidRPr="00CE4E2A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C81152" w:rsidRPr="000543F7" w14:paraId="38CB2B7E" w14:textId="77777777" w:rsidTr="006969D5">
        <w:trPr>
          <w:trHeight w:val="2278"/>
        </w:trPr>
        <w:tc>
          <w:tcPr>
            <w:tcW w:w="552" w:type="dxa"/>
            <w:tcBorders>
              <w:bottom w:val="single" w:sz="8" w:space="0" w:color="33CC33"/>
            </w:tcBorders>
            <w:vAlign w:val="center"/>
          </w:tcPr>
          <w:p w14:paraId="345A079C" w14:textId="77777777" w:rsidR="00C81152" w:rsidRPr="000543F7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0543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vAlign w:val="center"/>
          </w:tcPr>
          <w:p w14:paraId="7CE2C4AF" w14:textId="77777777" w:rsidR="00C81152" w:rsidRPr="00CE4E2A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CE4E2A">
              <w:rPr>
                <w:rFonts w:cstheme="minorHAnsi"/>
                <w:i/>
                <w:sz w:val="20"/>
                <w:szCs w:val="20"/>
              </w:rPr>
              <w:t>Wspierana infrastruktura rowerowa</w:t>
            </w:r>
          </w:p>
        </w:tc>
        <w:tc>
          <w:tcPr>
            <w:tcW w:w="1418" w:type="dxa"/>
            <w:tcBorders>
              <w:bottom w:val="single" w:sz="8" w:space="0" w:color="33CC33"/>
            </w:tcBorders>
            <w:vAlign w:val="center"/>
          </w:tcPr>
          <w:p w14:paraId="22A065B0" w14:textId="77777777" w:rsidR="00C81152" w:rsidRPr="000543F7" w:rsidRDefault="00C81152" w:rsidP="006969D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vAlign w:val="center"/>
          </w:tcPr>
          <w:p w14:paraId="7E69CB01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vAlign w:val="center"/>
          </w:tcPr>
          <w:p w14:paraId="3B9DDCCD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vAlign w:val="center"/>
          </w:tcPr>
          <w:p w14:paraId="322C6CA1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bottom w:val="single" w:sz="8" w:space="0" w:color="33CC33"/>
            </w:tcBorders>
            <w:vAlign w:val="center"/>
          </w:tcPr>
          <w:p w14:paraId="6D503341" w14:textId="77777777" w:rsidR="00C81152" w:rsidRPr="000543F7" w:rsidRDefault="00C81152" w:rsidP="006969D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E4E2A">
              <w:rPr>
                <w:rFonts w:cstheme="minorHAnsi"/>
                <w:sz w:val="20"/>
                <w:szCs w:val="20"/>
              </w:rPr>
              <w:t>Długość nowo wybudowanej lub znacznie zmodernizowanej dedykowanej infrastruktury rowerowej w ramach projektów objętych wsparciem. Infrastruktura rowerowa obejmuje obiekty rowerowe oddzielone od dróg dla ruchu drogowego lub innych części tej samej drogi środkami konstrukcyjnymi (krawężnikami, barierkami), ulice rowerowe, tunele rowerowe itp. W przypadku infrastruktury rowerowej z wydzielonymi jednokierunkowymi pasami (np. z każdej strony drogi) mierzona jest długość pasa ruchu.</w:t>
            </w:r>
          </w:p>
        </w:tc>
      </w:tr>
      <w:tr w:rsidR="00C81152" w:rsidRPr="000543F7" w14:paraId="0402A934" w14:textId="77777777" w:rsidTr="006969D5">
        <w:trPr>
          <w:trHeight w:val="63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5504362" w14:textId="77777777" w:rsidR="00C81152" w:rsidRPr="000543F7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335F2CC" w14:textId="77777777" w:rsidR="00C81152" w:rsidRPr="000543F7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CE4E2A">
              <w:rPr>
                <w:rFonts w:cstheme="minorHAnsi"/>
                <w:i/>
                <w:sz w:val="20"/>
                <w:szCs w:val="20"/>
              </w:rPr>
              <w:t>Liczba zakupionych jednostek taboru pasażerskiego w publicznym transporcie zbiorowym komunikacji pozamiejskiej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7B06109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48789D0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EBEA77B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32C1F5A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EBBC1B1" w14:textId="77777777" w:rsidR="00C81152" w:rsidRPr="000543F7" w:rsidRDefault="00C81152" w:rsidP="006969D5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theme="minorHAnsi"/>
                <w:sz w:val="20"/>
                <w:szCs w:val="20"/>
              </w:rPr>
            </w:pPr>
            <w:r w:rsidRPr="00CE4E2A">
              <w:rPr>
                <w:rFonts w:cstheme="minorHAnsi"/>
                <w:sz w:val="20"/>
                <w:szCs w:val="20"/>
              </w:rPr>
              <w:t>Liczba zakupionych jednostek nisko-  lub zeroemisyjnego taboru autobusowego wykorzystywanych w przewozach pasażerskich, wykonywanych poza granicami administracyjnymi miasta (również na terenie: miasta i gminy/ miast/miast i gmin sąsiadujących, jeżeli zostało zawarte porozumienie lub został utworzony związek międzygminny, w celu wspólnej realizacji publicznego transportu zbiorowego).</w:t>
            </w:r>
          </w:p>
        </w:tc>
      </w:tr>
      <w:tr w:rsidR="00C81152" w:rsidRPr="000543F7" w14:paraId="3BF1DBED" w14:textId="77777777" w:rsidTr="006969D5">
        <w:trPr>
          <w:trHeight w:val="63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521D3C7" w14:textId="77777777" w:rsidR="00C81152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DC679B9" w14:textId="77777777" w:rsidR="00C81152" w:rsidRPr="000E09AC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0E09AC">
              <w:rPr>
                <w:rFonts w:cstheme="minorHAnsi"/>
                <w:i/>
                <w:sz w:val="20"/>
                <w:szCs w:val="20"/>
              </w:rPr>
              <w:t>Pojemność zakupionego taboru pasażerskiego w publicznym transporcie zbiorowym komunikacji pozamiejskiej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2386E92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9F6B201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8179778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C1ABEE5" w14:textId="77777777" w:rsidR="00C81152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91A2B09" w14:textId="77777777" w:rsidR="00C81152" w:rsidRPr="00CE4E2A" w:rsidRDefault="00C81152" w:rsidP="006969D5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theme="minorHAnsi"/>
                <w:sz w:val="20"/>
                <w:szCs w:val="20"/>
              </w:rPr>
            </w:pPr>
            <w:r w:rsidRPr="000E09AC">
              <w:rPr>
                <w:rFonts w:cstheme="minorHAnsi"/>
                <w:sz w:val="20"/>
                <w:szCs w:val="20"/>
              </w:rPr>
              <w:t>Łączna liczba miejsc siedzących i stojących przeznaczonych do użytku pasażerów w zakupionych  w jednostkach nisko- lub zeroemisyjnego taboru autobusowego wykorzystywanego w przewozach pasażerskich) wykonywanych poza granicami administracyjnych miasta (również na terenie: miasta i gminy/miast/miast i gmin sąsiadujących, jeżeli zostało zawarte porozumienie lub został utworzony związek międzygminny, w celu wspólnej realizacji publicznego transportu zbiorowego).</w:t>
            </w:r>
          </w:p>
        </w:tc>
      </w:tr>
      <w:tr w:rsidR="00C81152" w:rsidRPr="000543F7" w14:paraId="11AD1FA1" w14:textId="77777777" w:rsidTr="006969D5">
        <w:trPr>
          <w:trHeight w:val="63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88EDCE7" w14:textId="77777777" w:rsidR="00C81152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BBD6089" w14:textId="77777777" w:rsidR="00C81152" w:rsidRPr="00CE4E2A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0E09AC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Pojemność ekologicznego taboru do zbiorowego transportu publicznego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B2D40B6" w14:textId="77777777" w:rsidR="00C81152" w:rsidRPr="000543F7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21850E6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9E445AB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551A136" w14:textId="77777777" w:rsidR="00C81152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7A28AA1" w14:textId="77777777" w:rsidR="00C81152" w:rsidRPr="00CE4E2A" w:rsidRDefault="00C81152" w:rsidP="006969D5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theme="minorHAnsi"/>
                <w:sz w:val="20"/>
                <w:szCs w:val="20"/>
              </w:rPr>
            </w:pPr>
            <w:r w:rsidRPr="000E09AC">
              <w:rPr>
                <w:rFonts w:cstheme="minorHAnsi"/>
                <w:sz w:val="20"/>
                <w:szCs w:val="20"/>
              </w:rPr>
              <w:t>Potencjał do przewozów pasażerskich ekologicznego taboru do zbiorowego transportu publicznego finansowana w ramach projektów objętych wsparciem (potencjał  przewozu pasażerów siedzących i stojących określona przez producenta).   Ekologiczny tabor obejmuje niskoemisyjny lub zeroemisyjny zbiorowy transport publiczny (autobusy, trolejbusy, tramwaje, metro itp.).</w:t>
            </w:r>
          </w:p>
        </w:tc>
      </w:tr>
      <w:tr w:rsidR="00C81152" w:rsidRPr="000543F7" w14:paraId="2D88C824" w14:textId="77777777" w:rsidTr="006969D5">
        <w:trPr>
          <w:trHeight w:val="63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9A30E7F" w14:textId="77777777" w:rsidR="00C81152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F700204" w14:textId="77777777" w:rsidR="00C81152" w:rsidRPr="005F6604" w:rsidRDefault="00C81152" w:rsidP="006969D5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5F6604">
              <w:rPr>
                <w:rFonts w:cstheme="minorHAnsi"/>
                <w:i/>
                <w:sz w:val="20"/>
                <w:szCs w:val="20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70A322A" w14:textId="77777777" w:rsidR="00C81152" w:rsidRDefault="00C81152" w:rsidP="006969D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D333F82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2185EA7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BF41365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D98E4A8" w14:textId="77777777" w:rsidR="00C81152" w:rsidRPr="000E09AC" w:rsidRDefault="00C81152" w:rsidP="006969D5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theme="minorHAnsi"/>
                <w:sz w:val="20"/>
                <w:szCs w:val="20"/>
              </w:rPr>
            </w:pPr>
            <w:r w:rsidRPr="005F6604">
              <w:rPr>
                <w:rFonts w:cstheme="minorHAnsi"/>
                <w:sz w:val="20"/>
                <w:szCs w:val="20"/>
              </w:rPr>
              <w:t>Wskaźnik mierzy liczbę samochodów, jednośladów, które skorzystały z miejsc postojowych na terenie parkingu w systemie „parkuj i jedź” („</w:t>
            </w:r>
            <w:proofErr w:type="spellStart"/>
            <w:r w:rsidRPr="005F6604">
              <w:rPr>
                <w:rFonts w:cstheme="minorHAnsi"/>
                <w:sz w:val="20"/>
                <w:szCs w:val="20"/>
              </w:rPr>
              <w:t>Park&amp;Ride</w:t>
            </w:r>
            <w:proofErr w:type="spellEnd"/>
            <w:r w:rsidRPr="005F6604">
              <w:rPr>
                <w:rFonts w:cstheme="minorHAnsi"/>
                <w:sz w:val="20"/>
                <w:szCs w:val="20"/>
              </w:rPr>
              <w:t>”) w ciągu pełnego roku od zakończenia realizacji projektu.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6604">
              <w:rPr>
                <w:rFonts w:cstheme="minorHAnsi"/>
                <w:sz w:val="20"/>
                <w:szCs w:val="20"/>
              </w:rPr>
              <w:t>Do wartości wskaźnika należy wliczyć każde skorzystanie z parkingu (wjazd-wyjazd) przez samochód, jednoślad, nawet jeżeli ten sam samochód, jednoślad skorzystał w danym dniu (dobie) więcej niż raz z parkingu.</w:t>
            </w:r>
          </w:p>
        </w:tc>
      </w:tr>
      <w:tr w:rsidR="00C81152" w:rsidRPr="000543F7" w14:paraId="1FFD6C1F" w14:textId="77777777" w:rsidTr="006969D5">
        <w:trPr>
          <w:trHeight w:val="63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7372CF03" w14:textId="77777777" w:rsidR="00C81152" w:rsidRDefault="00C81152" w:rsidP="006969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67CA04D" w14:textId="77777777" w:rsidR="00C81152" w:rsidRPr="005F6604" w:rsidRDefault="00C81152" w:rsidP="006969D5">
            <w:pPr>
              <w:pStyle w:val="Bezodstpw"/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6604">
              <w:rPr>
                <w:rFonts w:cstheme="minorHAnsi"/>
                <w:i/>
                <w:sz w:val="20"/>
                <w:szCs w:val="20"/>
              </w:rPr>
              <w:t>Szacowana emisja gazów cieplarnianych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461E6757" w14:textId="77777777" w:rsidR="00C81152" w:rsidRPr="005F6604" w:rsidRDefault="00C81152" w:rsidP="006969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6604">
              <w:rPr>
                <w:rFonts w:cstheme="minorHAnsi"/>
                <w:color w:val="000000"/>
                <w:sz w:val="20"/>
                <w:szCs w:val="20"/>
              </w:rPr>
              <w:t>tony równoważnika CO2/rok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76F4562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22C56CBD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0AE9419D" w14:textId="77777777" w:rsidR="00C81152" w:rsidRPr="000543F7" w:rsidRDefault="00C81152" w:rsidP="006969D5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CA8112A" w14:textId="77777777" w:rsidR="00842F84" w:rsidRPr="00842F84" w:rsidRDefault="00842F84" w:rsidP="00842F84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theme="minorHAnsi"/>
                <w:sz w:val="20"/>
                <w:szCs w:val="20"/>
              </w:rPr>
            </w:pPr>
            <w:r w:rsidRPr="00842F84">
              <w:rPr>
                <w:rFonts w:cstheme="minorHAnsi"/>
                <w:sz w:val="20"/>
                <w:szCs w:val="20"/>
              </w:rPr>
              <w:t xml:space="preserve">Całkowita szacowana emisja gazów cieplarnianych podmiotów lub procesów objętych wsparciem. Wartość bazowa odnosi się do poziomu szacowanej emisji gazów cieplarnianych w ciągu roku przed rozpoczęciem interwencji, a osiągnięta wartość jest obliczana jako całkowita szacowana emisja gazów cieplarnianych na podstawie osiągniętego poziomu charakterystyki energetycznej w roku następującym po zakończeniu interwencji.   </w:t>
            </w:r>
          </w:p>
          <w:p w14:paraId="76A74A4D" w14:textId="77777777" w:rsidR="00842F84" w:rsidRPr="00842F84" w:rsidRDefault="00842F84" w:rsidP="00842F84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theme="minorHAnsi"/>
                <w:sz w:val="20"/>
                <w:szCs w:val="20"/>
              </w:rPr>
            </w:pPr>
            <w:r w:rsidRPr="00842F84">
              <w:rPr>
                <w:rFonts w:cstheme="minorHAnsi"/>
                <w:sz w:val="20"/>
                <w:szCs w:val="20"/>
              </w:rPr>
              <w:t xml:space="preserve">Sugeruje się, aby przy szacowaniu wartości bazowej i docelowej korzystać z metod przedstawionych w </w:t>
            </w:r>
            <w:r w:rsidRPr="00842F84">
              <w:rPr>
                <w:rFonts w:cstheme="minorHAnsi"/>
                <w:i/>
                <w:iCs/>
                <w:sz w:val="20"/>
                <w:szCs w:val="20"/>
              </w:rPr>
              <w:t xml:space="preserve">Niebieskich Księgach </w:t>
            </w:r>
            <w:r w:rsidRPr="00842F84">
              <w:rPr>
                <w:rFonts w:cstheme="minorHAnsi"/>
                <w:sz w:val="20"/>
                <w:szCs w:val="20"/>
              </w:rPr>
              <w:t xml:space="preserve">(Blue </w:t>
            </w:r>
            <w:proofErr w:type="spellStart"/>
            <w:r w:rsidRPr="00842F84">
              <w:rPr>
                <w:rFonts w:cstheme="minorHAnsi"/>
                <w:sz w:val="20"/>
                <w:szCs w:val="20"/>
              </w:rPr>
              <w:t>Books</w:t>
            </w:r>
            <w:proofErr w:type="spellEnd"/>
            <w:r w:rsidRPr="00842F84">
              <w:rPr>
                <w:rFonts w:cstheme="minorHAnsi"/>
                <w:sz w:val="20"/>
                <w:szCs w:val="20"/>
              </w:rPr>
              <w:t xml:space="preserve">), przygotowanych przez inicjatywę JASPERS (Joint Assistance to </w:t>
            </w:r>
            <w:proofErr w:type="spellStart"/>
            <w:r w:rsidRPr="00842F84">
              <w:rPr>
                <w:rFonts w:cstheme="minorHAnsi"/>
                <w:sz w:val="20"/>
                <w:szCs w:val="20"/>
              </w:rPr>
              <w:t>Support</w:t>
            </w:r>
            <w:proofErr w:type="spellEnd"/>
            <w:r w:rsidRPr="00842F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42F84">
              <w:rPr>
                <w:rFonts w:cstheme="minorHAnsi"/>
                <w:sz w:val="20"/>
                <w:szCs w:val="20"/>
              </w:rPr>
              <w:t>Projects</w:t>
            </w:r>
            <w:proofErr w:type="spellEnd"/>
            <w:r w:rsidRPr="00842F84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842F84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842F84">
              <w:rPr>
                <w:rFonts w:cstheme="minorHAnsi"/>
                <w:sz w:val="20"/>
                <w:szCs w:val="20"/>
              </w:rPr>
              <w:t xml:space="preserve"> Regions). Opracowania te są dostępne na stronie internetowej Centrum Unijnych Projektów Transportowych</w:t>
            </w:r>
          </w:p>
          <w:p w14:paraId="3186EB4B" w14:textId="0391A12B" w:rsidR="00C81152" w:rsidRPr="000E09AC" w:rsidRDefault="00842F84" w:rsidP="00842F84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theme="minorHAnsi"/>
                <w:sz w:val="20"/>
                <w:szCs w:val="20"/>
              </w:rPr>
            </w:pPr>
            <w:r w:rsidRPr="00842F84">
              <w:rPr>
                <w:rFonts w:cstheme="minorHAnsi"/>
                <w:sz w:val="20"/>
                <w:szCs w:val="20"/>
              </w:rPr>
              <w:t>(</w:t>
            </w:r>
            <w:hyperlink r:id="rId9" w:history="1">
              <w:r w:rsidRPr="00842F84">
                <w:rPr>
                  <w:rStyle w:val="Hipercze"/>
                  <w:rFonts w:cstheme="minorHAnsi"/>
                  <w:sz w:val="20"/>
                  <w:szCs w:val="20"/>
                </w:rPr>
                <w:t>https://www.cupt.gov.pl/strefa-beneficjenta/wdrazanie-projektow/analiza-kosztow-ikorzysci/metodyka-analizy-kosztow-i-korzysci/niebieskie</w:t>
              </w:r>
              <w:r w:rsidRPr="00842F84">
                <w:rPr>
                  <w:rStyle w:val="Hipercze"/>
                  <w:rFonts w:cstheme="minorHAnsi"/>
                  <w:sz w:val="20"/>
                  <w:szCs w:val="20"/>
                </w:rPr>
                <w:t>-</w:t>
              </w:r>
              <w:r w:rsidRPr="00842F84">
                <w:rPr>
                  <w:rStyle w:val="Hipercze"/>
                  <w:rFonts w:cstheme="minorHAnsi"/>
                  <w:sz w:val="20"/>
                  <w:szCs w:val="20"/>
                </w:rPr>
                <w:t>ksiegi-2021-2027/</w:t>
              </w:r>
            </w:hyperlink>
            <w:r w:rsidRPr="00842F84">
              <w:rPr>
                <w:rFonts w:cstheme="minorHAnsi"/>
                <w:sz w:val="20"/>
                <w:szCs w:val="20"/>
              </w:rPr>
              <w:t>).</w:t>
            </w:r>
          </w:p>
        </w:tc>
      </w:tr>
    </w:tbl>
    <w:p w14:paraId="5829ACDD" w14:textId="77777777" w:rsidR="00C81152" w:rsidRDefault="00C81152" w:rsidP="00C81152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51D97EB0" w14:textId="77777777" w:rsidR="00C81152" w:rsidRPr="00483DA1" w:rsidRDefault="00C81152" w:rsidP="00C81152">
      <w:pPr>
        <w:tabs>
          <w:tab w:val="left" w:pos="3402"/>
          <w:tab w:val="left" w:pos="5103"/>
        </w:tabs>
        <w:jc w:val="both"/>
        <w:rPr>
          <w:rFonts w:ascii="Arial" w:hAnsi="Arial" w:cs="Arial"/>
          <w:sz w:val="18"/>
          <w:szCs w:val="18"/>
        </w:rPr>
      </w:pPr>
    </w:p>
    <w:p w14:paraId="27DBEE86" w14:textId="686D0448" w:rsidR="00BE377C" w:rsidRPr="00483DA1" w:rsidRDefault="00BE377C" w:rsidP="00870BF6">
      <w:pPr>
        <w:spacing w:after="0"/>
        <w:ind w:hanging="142"/>
        <w:rPr>
          <w:rFonts w:ascii="Arial" w:hAnsi="Arial" w:cs="Arial"/>
          <w:i/>
          <w:sz w:val="18"/>
          <w:szCs w:val="18"/>
        </w:rPr>
      </w:pPr>
    </w:p>
    <w:p w14:paraId="2CB61CC5" w14:textId="1CE3384B" w:rsidR="00102FB7" w:rsidRPr="00483DA1" w:rsidRDefault="00102FB7">
      <w:pPr>
        <w:tabs>
          <w:tab w:val="left" w:pos="3402"/>
          <w:tab w:val="left" w:pos="5103"/>
        </w:tabs>
        <w:ind w:left="-709"/>
        <w:jc w:val="both"/>
        <w:rPr>
          <w:rFonts w:ascii="Arial" w:hAnsi="Arial" w:cs="Arial"/>
          <w:sz w:val="18"/>
          <w:szCs w:val="18"/>
        </w:rPr>
      </w:pPr>
    </w:p>
    <w:sectPr w:rsidR="00102FB7" w:rsidRPr="00483DA1" w:rsidSect="002271F7">
      <w:headerReference w:type="default" r:id="rId10"/>
      <w:footerReference w:type="default" r:id="rId11"/>
      <w:headerReference w:type="first" r:id="rId12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B2680" w14:textId="77777777" w:rsidR="00EC2A2C" w:rsidRDefault="00EC2A2C" w:rsidP="00A11280">
      <w:pPr>
        <w:spacing w:after="0" w:line="240" w:lineRule="auto"/>
      </w:pPr>
      <w:r>
        <w:separator/>
      </w:r>
    </w:p>
  </w:endnote>
  <w:endnote w:type="continuationSeparator" w:id="0">
    <w:p w14:paraId="1190A0BB" w14:textId="77777777" w:rsidR="00EC2A2C" w:rsidRDefault="00EC2A2C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5B09B9" w:rsidRDefault="005B0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3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E2B7A3" w14:textId="77777777" w:rsidR="005B09B9" w:rsidRDefault="005B09B9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C9ADE" w14:textId="77777777" w:rsidR="00EC2A2C" w:rsidRDefault="00EC2A2C" w:rsidP="00A11280">
      <w:pPr>
        <w:spacing w:after="0" w:line="240" w:lineRule="auto"/>
      </w:pPr>
      <w:r>
        <w:separator/>
      </w:r>
    </w:p>
  </w:footnote>
  <w:footnote w:type="continuationSeparator" w:id="0">
    <w:p w14:paraId="25EB4E6E" w14:textId="77777777" w:rsidR="00EC2A2C" w:rsidRDefault="00EC2A2C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9EB11" w14:textId="28895B2E" w:rsidR="00421306" w:rsidRPr="00421306" w:rsidRDefault="00421306" w:rsidP="00421306">
    <w:pPr>
      <w:pStyle w:val="Nagwek"/>
      <w:jc w:val="right"/>
    </w:pPr>
    <w:r w:rsidRPr="00CE09D0">
      <w:rPr>
        <w:b/>
        <w:bCs/>
        <w:iCs/>
        <w:sz w:val="24"/>
        <w:szCs w:val="24"/>
      </w:rPr>
      <w:t xml:space="preserve">Załącznik nr </w:t>
    </w:r>
    <w:r w:rsidR="00770B4E">
      <w:rPr>
        <w:b/>
        <w:bCs/>
        <w:iCs/>
        <w:sz w:val="24"/>
        <w:szCs w:val="24"/>
      </w:rPr>
      <w:t>9</w:t>
    </w:r>
    <w:r>
      <w:rPr>
        <w:b/>
        <w:bCs/>
        <w:i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Regulaminu wyboru projektów </w:t>
    </w:r>
    <w:r>
      <w:rPr>
        <w:iCs/>
        <w:sz w:val="24"/>
        <w:szCs w:val="24"/>
      </w:rPr>
      <w:br/>
      <w:t>Działanie</w:t>
    </w:r>
    <w:r w:rsidRPr="00997575">
      <w:rPr>
        <w:iCs/>
        <w:sz w:val="24"/>
        <w:szCs w:val="24"/>
      </w:rPr>
      <w:t xml:space="preserve"> </w:t>
    </w:r>
    <w:r w:rsidR="00C81152" w:rsidRPr="00C81152">
      <w:rPr>
        <w:iCs/>
        <w:sz w:val="24"/>
        <w:szCs w:val="24"/>
      </w:rPr>
      <w:t>4.2 Mobilność mieszkańców</w:t>
    </w:r>
    <w:r w:rsidR="00C81152">
      <w:rPr>
        <w:iCs/>
        <w:sz w:val="24"/>
        <w:szCs w:val="24"/>
      </w:rPr>
      <w:t xml:space="preserve"> </w:t>
    </w:r>
    <w:r w:rsidRPr="007708E6">
      <w:rPr>
        <w:iCs/>
        <w:sz w:val="24"/>
        <w:szCs w:val="24"/>
      </w:rPr>
      <w:t>FEO 2021-2027</w:t>
    </w:r>
    <w:r>
      <w:rPr>
        <w:iCs/>
        <w:sz w:val="24"/>
        <w:szCs w:val="24"/>
      </w:rPr>
      <w:t xml:space="preserve"> </w:t>
    </w:r>
    <w:r>
      <w:rPr>
        <w:iCs/>
        <w:sz w:val="24"/>
        <w:szCs w:val="24"/>
      </w:rPr>
      <w:br/>
      <w:t>Wersja nr 1</w:t>
    </w:r>
    <w:r w:rsidRPr="00A32D21">
      <w:rPr>
        <w:iCs/>
        <w:sz w:val="24"/>
        <w:szCs w:val="24"/>
      </w:rPr>
      <w:t xml:space="preserve">, </w:t>
    </w:r>
    <w:r w:rsidR="001E14EA">
      <w:rPr>
        <w:iCs/>
        <w:sz w:val="24"/>
        <w:szCs w:val="24"/>
      </w:rPr>
      <w:t>ma</w:t>
    </w:r>
    <w:r w:rsidR="00842F84">
      <w:rPr>
        <w:iCs/>
        <w:sz w:val="24"/>
        <w:szCs w:val="24"/>
      </w:rPr>
      <w:t xml:space="preserve">j </w:t>
    </w:r>
    <w:r w:rsidR="002B48C2" w:rsidRPr="00A32D21">
      <w:rPr>
        <w:iCs/>
        <w:sz w:val="24"/>
        <w:szCs w:val="24"/>
      </w:rPr>
      <w:t xml:space="preserve">2024 </w:t>
    </w:r>
    <w:r w:rsidR="002B48C2" w:rsidRPr="002B48C2">
      <w:rPr>
        <w:iCs/>
        <w:sz w:val="24"/>
        <w:szCs w:val="24"/>
      </w:rPr>
      <w:t>r.</w:t>
    </w:r>
  </w:p>
  <w:p w14:paraId="357B97C4" w14:textId="77777777" w:rsidR="005B09B9" w:rsidRPr="00FC4C51" w:rsidRDefault="005B09B9" w:rsidP="00FC4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5BB29" w14:textId="3ED869B9" w:rsidR="005B09B9" w:rsidRPr="00421306" w:rsidRDefault="00421306" w:rsidP="00421306">
    <w:pPr>
      <w:pStyle w:val="Nagwek"/>
      <w:jc w:val="right"/>
    </w:pPr>
    <w:r w:rsidRPr="00CE09D0">
      <w:rPr>
        <w:b/>
        <w:bCs/>
        <w:iCs/>
        <w:sz w:val="24"/>
        <w:szCs w:val="24"/>
      </w:rPr>
      <w:t xml:space="preserve">Załącznik nr </w:t>
    </w:r>
    <w:r w:rsidR="00770B4E">
      <w:rPr>
        <w:b/>
        <w:bCs/>
        <w:iCs/>
        <w:sz w:val="24"/>
        <w:szCs w:val="24"/>
      </w:rPr>
      <w:t>9</w:t>
    </w:r>
    <w:r>
      <w:rPr>
        <w:b/>
        <w:bCs/>
        <w:i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Regulaminu wyboru projektów </w:t>
    </w:r>
    <w:r>
      <w:rPr>
        <w:iCs/>
        <w:sz w:val="24"/>
        <w:szCs w:val="24"/>
      </w:rPr>
      <w:br/>
      <w:t>Działanie</w:t>
    </w:r>
    <w:r w:rsidRPr="00997575">
      <w:rPr>
        <w:iCs/>
        <w:sz w:val="24"/>
        <w:szCs w:val="24"/>
      </w:rPr>
      <w:t xml:space="preserve"> </w:t>
    </w:r>
    <w:r w:rsidR="00C81152" w:rsidRPr="00C81152">
      <w:rPr>
        <w:iCs/>
        <w:sz w:val="24"/>
        <w:szCs w:val="24"/>
      </w:rPr>
      <w:t>4.2 Mobilność mieszkańców</w:t>
    </w:r>
    <w:r w:rsidR="00C81152">
      <w:rPr>
        <w:iCs/>
        <w:sz w:val="24"/>
        <w:szCs w:val="24"/>
      </w:rPr>
      <w:t xml:space="preserve"> </w:t>
    </w:r>
    <w:r w:rsidRPr="007708E6">
      <w:rPr>
        <w:iCs/>
        <w:sz w:val="24"/>
        <w:szCs w:val="24"/>
      </w:rPr>
      <w:t>FEO 2021-2027</w:t>
    </w:r>
    <w:r>
      <w:rPr>
        <w:iCs/>
        <w:sz w:val="24"/>
        <w:szCs w:val="24"/>
      </w:rPr>
      <w:t xml:space="preserve"> </w:t>
    </w:r>
    <w:r>
      <w:rPr>
        <w:iCs/>
        <w:sz w:val="24"/>
        <w:szCs w:val="24"/>
      </w:rPr>
      <w:br/>
      <w:t xml:space="preserve">Wersja nr 1, </w:t>
    </w:r>
    <w:r w:rsidR="001E14EA">
      <w:rPr>
        <w:iCs/>
        <w:sz w:val="24"/>
        <w:szCs w:val="24"/>
      </w:rPr>
      <w:t xml:space="preserve">maj </w:t>
    </w:r>
    <w:r w:rsidR="002B48C2" w:rsidRPr="00A32D21">
      <w:rPr>
        <w:iCs/>
        <w:sz w:val="24"/>
        <w:szCs w:val="24"/>
      </w:rPr>
      <w:t>2</w:t>
    </w:r>
    <w:r w:rsidR="002B48C2" w:rsidRPr="002B48C2">
      <w:rPr>
        <w:iCs/>
        <w:sz w:val="24"/>
        <w:szCs w:val="24"/>
      </w:rPr>
      <w:t>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54902"/>
    <w:multiLevelType w:val="hybridMultilevel"/>
    <w:tmpl w:val="0D22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C6283"/>
    <w:multiLevelType w:val="hybridMultilevel"/>
    <w:tmpl w:val="1E78490C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900D5"/>
    <w:multiLevelType w:val="hybridMultilevel"/>
    <w:tmpl w:val="423421E4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F00578"/>
    <w:multiLevelType w:val="hybridMultilevel"/>
    <w:tmpl w:val="001EFBE6"/>
    <w:lvl w:ilvl="0" w:tplc="BECE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4F6AF"/>
    <w:multiLevelType w:val="hybridMultilevel"/>
    <w:tmpl w:val="3FD8AB16"/>
    <w:lvl w:ilvl="0" w:tplc="E73CAAA8">
      <w:start w:val="1"/>
      <w:numFmt w:val="decimal"/>
      <w:lvlText w:val="%1."/>
      <w:lvlJc w:val="left"/>
      <w:pPr>
        <w:ind w:left="720" w:hanging="360"/>
      </w:pPr>
    </w:lvl>
    <w:lvl w:ilvl="1" w:tplc="7A20A9B8">
      <w:start w:val="1"/>
      <w:numFmt w:val="lowerLetter"/>
      <w:lvlText w:val="%2."/>
      <w:lvlJc w:val="left"/>
      <w:pPr>
        <w:ind w:left="1440" w:hanging="360"/>
      </w:pPr>
    </w:lvl>
    <w:lvl w:ilvl="2" w:tplc="6D420256">
      <w:start w:val="1"/>
      <w:numFmt w:val="lowerRoman"/>
      <w:lvlText w:val="%3."/>
      <w:lvlJc w:val="right"/>
      <w:pPr>
        <w:ind w:left="2160" w:hanging="180"/>
      </w:pPr>
    </w:lvl>
    <w:lvl w:ilvl="3" w:tplc="EF400ACC">
      <w:start w:val="1"/>
      <w:numFmt w:val="decimal"/>
      <w:lvlText w:val="%4."/>
      <w:lvlJc w:val="left"/>
      <w:pPr>
        <w:ind w:left="2880" w:hanging="360"/>
      </w:pPr>
    </w:lvl>
    <w:lvl w:ilvl="4" w:tplc="A0E87004">
      <w:start w:val="1"/>
      <w:numFmt w:val="lowerLetter"/>
      <w:lvlText w:val="%5."/>
      <w:lvlJc w:val="left"/>
      <w:pPr>
        <w:ind w:left="3600" w:hanging="360"/>
      </w:pPr>
    </w:lvl>
    <w:lvl w:ilvl="5" w:tplc="DEECBCD8">
      <w:start w:val="1"/>
      <w:numFmt w:val="lowerRoman"/>
      <w:lvlText w:val="%6."/>
      <w:lvlJc w:val="right"/>
      <w:pPr>
        <w:ind w:left="4320" w:hanging="180"/>
      </w:pPr>
    </w:lvl>
    <w:lvl w:ilvl="6" w:tplc="4F1C446A">
      <w:start w:val="1"/>
      <w:numFmt w:val="decimal"/>
      <w:lvlText w:val="%7."/>
      <w:lvlJc w:val="left"/>
      <w:pPr>
        <w:ind w:left="5040" w:hanging="360"/>
      </w:pPr>
    </w:lvl>
    <w:lvl w:ilvl="7" w:tplc="1F6E312A">
      <w:start w:val="1"/>
      <w:numFmt w:val="lowerLetter"/>
      <w:lvlText w:val="%8."/>
      <w:lvlJc w:val="left"/>
      <w:pPr>
        <w:ind w:left="5760" w:hanging="360"/>
      </w:pPr>
    </w:lvl>
    <w:lvl w:ilvl="8" w:tplc="605892E2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22795">
    <w:abstractNumId w:val="22"/>
  </w:num>
  <w:num w:numId="2" w16cid:durableId="351305695">
    <w:abstractNumId w:val="40"/>
  </w:num>
  <w:num w:numId="3" w16cid:durableId="1502040570">
    <w:abstractNumId w:val="19"/>
  </w:num>
  <w:num w:numId="4" w16cid:durableId="451555477">
    <w:abstractNumId w:val="36"/>
  </w:num>
  <w:num w:numId="5" w16cid:durableId="1889030982">
    <w:abstractNumId w:val="16"/>
  </w:num>
  <w:num w:numId="6" w16cid:durableId="624623702">
    <w:abstractNumId w:val="35"/>
  </w:num>
  <w:num w:numId="7" w16cid:durableId="2010327956">
    <w:abstractNumId w:val="23"/>
  </w:num>
  <w:num w:numId="8" w16cid:durableId="1097218696">
    <w:abstractNumId w:val="29"/>
  </w:num>
  <w:num w:numId="9" w16cid:durableId="1148984746">
    <w:abstractNumId w:val="17"/>
  </w:num>
  <w:num w:numId="10" w16cid:durableId="946353595">
    <w:abstractNumId w:val="15"/>
  </w:num>
  <w:num w:numId="11" w16cid:durableId="145324299">
    <w:abstractNumId w:val="3"/>
  </w:num>
  <w:num w:numId="12" w16cid:durableId="1982688561">
    <w:abstractNumId w:val="8"/>
  </w:num>
  <w:num w:numId="13" w16cid:durableId="967320404">
    <w:abstractNumId w:val="12"/>
  </w:num>
  <w:num w:numId="14" w16cid:durableId="522672727">
    <w:abstractNumId w:val="11"/>
  </w:num>
  <w:num w:numId="15" w16cid:durableId="472868219">
    <w:abstractNumId w:val="38"/>
  </w:num>
  <w:num w:numId="16" w16cid:durableId="1158887349">
    <w:abstractNumId w:val="31"/>
  </w:num>
  <w:num w:numId="17" w16cid:durableId="1483038925">
    <w:abstractNumId w:val="2"/>
  </w:num>
  <w:num w:numId="18" w16cid:durableId="2053117129">
    <w:abstractNumId w:val="7"/>
  </w:num>
  <w:num w:numId="19" w16cid:durableId="1780103084">
    <w:abstractNumId w:val="33"/>
  </w:num>
  <w:num w:numId="20" w16cid:durableId="2112972756">
    <w:abstractNumId w:val="14"/>
  </w:num>
  <w:num w:numId="21" w16cid:durableId="371223673">
    <w:abstractNumId w:val="24"/>
  </w:num>
  <w:num w:numId="22" w16cid:durableId="51391285">
    <w:abstractNumId w:val="20"/>
  </w:num>
  <w:num w:numId="23" w16cid:durableId="1706557565">
    <w:abstractNumId w:val="41"/>
  </w:num>
  <w:num w:numId="24" w16cid:durableId="1044409493">
    <w:abstractNumId w:val="4"/>
  </w:num>
  <w:num w:numId="25" w16cid:durableId="2054884508">
    <w:abstractNumId w:val="21"/>
  </w:num>
  <w:num w:numId="26" w16cid:durableId="1524053811">
    <w:abstractNumId w:val="18"/>
  </w:num>
  <w:num w:numId="27" w16cid:durableId="1003892623">
    <w:abstractNumId w:val="34"/>
  </w:num>
  <w:num w:numId="28" w16cid:durableId="304431235">
    <w:abstractNumId w:val="28"/>
  </w:num>
  <w:num w:numId="29" w16cid:durableId="1837499734">
    <w:abstractNumId w:val="10"/>
  </w:num>
  <w:num w:numId="30" w16cid:durableId="589512347">
    <w:abstractNumId w:val="1"/>
  </w:num>
  <w:num w:numId="31" w16cid:durableId="468985706">
    <w:abstractNumId w:val="27"/>
  </w:num>
  <w:num w:numId="32" w16cid:durableId="1853181859">
    <w:abstractNumId w:val="13"/>
  </w:num>
  <w:num w:numId="33" w16cid:durableId="1567380324">
    <w:abstractNumId w:val="26"/>
  </w:num>
  <w:num w:numId="34" w16cid:durableId="914126096">
    <w:abstractNumId w:val="39"/>
  </w:num>
  <w:num w:numId="35" w16cid:durableId="1860505941">
    <w:abstractNumId w:val="6"/>
  </w:num>
  <w:num w:numId="36" w16cid:durableId="1202863642">
    <w:abstractNumId w:val="5"/>
  </w:num>
  <w:num w:numId="37" w16cid:durableId="534856915">
    <w:abstractNumId w:val="0"/>
  </w:num>
  <w:num w:numId="38" w16cid:durableId="1465462634">
    <w:abstractNumId w:val="42"/>
  </w:num>
  <w:num w:numId="39" w16cid:durableId="1031801972">
    <w:abstractNumId w:val="9"/>
  </w:num>
  <w:num w:numId="40" w16cid:durableId="453138477">
    <w:abstractNumId w:val="32"/>
  </w:num>
  <w:num w:numId="41" w16cid:durableId="1808014046">
    <w:abstractNumId w:val="37"/>
  </w:num>
  <w:num w:numId="42" w16cid:durableId="224948473">
    <w:abstractNumId w:val="25"/>
  </w:num>
  <w:num w:numId="43" w16cid:durableId="14427264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1"/>
    <w:rsid w:val="00001E12"/>
    <w:rsid w:val="00002D26"/>
    <w:rsid w:val="00006A99"/>
    <w:rsid w:val="00007CEC"/>
    <w:rsid w:val="0001004E"/>
    <w:rsid w:val="00010EEF"/>
    <w:rsid w:val="00015EC6"/>
    <w:rsid w:val="00022220"/>
    <w:rsid w:val="0002356F"/>
    <w:rsid w:val="000252B8"/>
    <w:rsid w:val="000305AA"/>
    <w:rsid w:val="000327B4"/>
    <w:rsid w:val="00034F3C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97710"/>
    <w:rsid w:val="000A0237"/>
    <w:rsid w:val="000A42C6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03B1B"/>
    <w:rsid w:val="00110626"/>
    <w:rsid w:val="001133C2"/>
    <w:rsid w:val="00115072"/>
    <w:rsid w:val="0011616D"/>
    <w:rsid w:val="001217A7"/>
    <w:rsid w:val="00125111"/>
    <w:rsid w:val="00131B88"/>
    <w:rsid w:val="00136D60"/>
    <w:rsid w:val="0014329F"/>
    <w:rsid w:val="001460B1"/>
    <w:rsid w:val="00152EEA"/>
    <w:rsid w:val="00160878"/>
    <w:rsid w:val="00161C3A"/>
    <w:rsid w:val="00163090"/>
    <w:rsid w:val="00163314"/>
    <w:rsid w:val="0016581B"/>
    <w:rsid w:val="00176A29"/>
    <w:rsid w:val="00177222"/>
    <w:rsid w:val="0018083F"/>
    <w:rsid w:val="00180987"/>
    <w:rsid w:val="00180A81"/>
    <w:rsid w:val="001811AE"/>
    <w:rsid w:val="00186FCC"/>
    <w:rsid w:val="001901EB"/>
    <w:rsid w:val="00191A19"/>
    <w:rsid w:val="001930AE"/>
    <w:rsid w:val="001957B3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4E95"/>
    <w:rsid w:val="001C55A8"/>
    <w:rsid w:val="001C5E23"/>
    <w:rsid w:val="001D103E"/>
    <w:rsid w:val="001D2DFD"/>
    <w:rsid w:val="001D330B"/>
    <w:rsid w:val="001D353F"/>
    <w:rsid w:val="001D3621"/>
    <w:rsid w:val="001D7CC3"/>
    <w:rsid w:val="001E01C8"/>
    <w:rsid w:val="001E14EA"/>
    <w:rsid w:val="001E3836"/>
    <w:rsid w:val="001E551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0DC4"/>
    <w:rsid w:val="002B17E2"/>
    <w:rsid w:val="002B294F"/>
    <w:rsid w:val="002B30FD"/>
    <w:rsid w:val="002B48C2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2679"/>
    <w:rsid w:val="002E5267"/>
    <w:rsid w:val="002F26D3"/>
    <w:rsid w:val="00306C54"/>
    <w:rsid w:val="00314703"/>
    <w:rsid w:val="003159B0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3C55"/>
    <w:rsid w:val="003841BA"/>
    <w:rsid w:val="0039273C"/>
    <w:rsid w:val="00393132"/>
    <w:rsid w:val="00395F5D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2811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026D"/>
    <w:rsid w:val="00421306"/>
    <w:rsid w:val="00422357"/>
    <w:rsid w:val="00422A9B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1B32"/>
    <w:rsid w:val="00482FB2"/>
    <w:rsid w:val="00483DA1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B7E7F"/>
    <w:rsid w:val="004C2768"/>
    <w:rsid w:val="004C3420"/>
    <w:rsid w:val="004C666D"/>
    <w:rsid w:val="004D39D2"/>
    <w:rsid w:val="004E17B4"/>
    <w:rsid w:val="004E3ACC"/>
    <w:rsid w:val="004E7A11"/>
    <w:rsid w:val="004F1B44"/>
    <w:rsid w:val="004F3C77"/>
    <w:rsid w:val="004F6BEF"/>
    <w:rsid w:val="00501A93"/>
    <w:rsid w:val="00501C83"/>
    <w:rsid w:val="005077F3"/>
    <w:rsid w:val="005102CC"/>
    <w:rsid w:val="005129C5"/>
    <w:rsid w:val="005156EF"/>
    <w:rsid w:val="00515E54"/>
    <w:rsid w:val="00521B3D"/>
    <w:rsid w:val="00525215"/>
    <w:rsid w:val="0052639C"/>
    <w:rsid w:val="00537297"/>
    <w:rsid w:val="005402FE"/>
    <w:rsid w:val="00543A97"/>
    <w:rsid w:val="0056602B"/>
    <w:rsid w:val="005660D3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09B9"/>
    <w:rsid w:val="005B2FEA"/>
    <w:rsid w:val="005B504A"/>
    <w:rsid w:val="005C01D2"/>
    <w:rsid w:val="005D5F43"/>
    <w:rsid w:val="005E4353"/>
    <w:rsid w:val="005E54E5"/>
    <w:rsid w:val="005E63FE"/>
    <w:rsid w:val="005E6E72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4D16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10C"/>
    <w:rsid w:val="006613F3"/>
    <w:rsid w:val="00663223"/>
    <w:rsid w:val="006640B4"/>
    <w:rsid w:val="00666DC8"/>
    <w:rsid w:val="006674CF"/>
    <w:rsid w:val="00672CF7"/>
    <w:rsid w:val="00674AB6"/>
    <w:rsid w:val="00680775"/>
    <w:rsid w:val="0068478B"/>
    <w:rsid w:val="00694A28"/>
    <w:rsid w:val="006A2401"/>
    <w:rsid w:val="006A43A9"/>
    <w:rsid w:val="006A460D"/>
    <w:rsid w:val="006A579D"/>
    <w:rsid w:val="006A74EE"/>
    <w:rsid w:val="006B0295"/>
    <w:rsid w:val="006B1E28"/>
    <w:rsid w:val="006B6022"/>
    <w:rsid w:val="006B7DBF"/>
    <w:rsid w:val="006C3CD0"/>
    <w:rsid w:val="006C44ED"/>
    <w:rsid w:val="006C77D9"/>
    <w:rsid w:val="006D2E34"/>
    <w:rsid w:val="006D356F"/>
    <w:rsid w:val="006D63E7"/>
    <w:rsid w:val="006E194D"/>
    <w:rsid w:val="006E2806"/>
    <w:rsid w:val="006E4410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47375"/>
    <w:rsid w:val="00757A2D"/>
    <w:rsid w:val="00760B0C"/>
    <w:rsid w:val="00761D7C"/>
    <w:rsid w:val="00762BB5"/>
    <w:rsid w:val="00770B4E"/>
    <w:rsid w:val="00774FA1"/>
    <w:rsid w:val="007754AA"/>
    <w:rsid w:val="00775B56"/>
    <w:rsid w:val="00780302"/>
    <w:rsid w:val="0078060A"/>
    <w:rsid w:val="007815E2"/>
    <w:rsid w:val="007819E8"/>
    <w:rsid w:val="007832FF"/>
    <w:rsid w:val="00783A8E"/>
    <w:rsid w:val="00785F4C"/>
    <w:rsid w:val="00790A97"/>
    <w:rsid w:val="0079394C"/>
    <w:rsid w:val="007A27F7"/>
    <w:rsid w:val="007A69E4"/>
    <w:rsid w:val="007B0796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1AC9"/>
    <w:rsid w:val="007F6DFA"/>
    <w:rsid w:val="008001AD"/>
    <w:rsid w:val="0080142A"/>
    <w:rsid w:val="00803AA7"/>
    <w:rsid w:val="00806531"/>
    <w:rsid w:val="00811CFE"/>
    <w:rsid w:val="00813ACE"/>
    <w:rsid w:val="008172D4"/>
    <w:rsid w:val="00817B12"/>
    <w:rsid w:val="00820327"/>
    <w:rsid w:val="008277E7"/>
    <w:rsid w:val="00831DA4"/>
    <w:rsid w:val="00833C84"/>
    <w:rsid w:val="0083699C"/>
    <w:rsid w:val="00840F98"/>
    <w:rsid w:val="008417F9"/>
    <w:rsid w:val="008428E9"/>
    <w:rsid w:val="00842F84"/>
    <w:rsid w:val="0084387E"/>
    <w:rsid w:val="00852566"/>
    <w:rsid w:val="00861566"/>
    <w:rsid w:val="00861990"/>
    <w:rsid w:val="00862EA9"/>
    <w:rsid w:val="00864E42"/>
    <w:rsid w:val="00865157"/>
    <w:rsid w:val="00870BF6"/>
    <w:rsid w:val="008733AB"/>
    <w:rsid w:val="00874EED"/>
    <w:rsid w:val="00881689"/>
    <w:rsid w:val="008823AA"/>
    <w:rsid w:val="00883127"/>
    <w:rsid w:val="00884566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F7"/>
    <w:rsid w:val="008F044A"/>
    <w:rsid w:val="008F0F56"/>
    <w:rsid w:val="008F18BC"/>
    <w:rsid w:val="008F2FEE"/>
    <w:rsid w:val="008F3B44"/>
    <w:rsid w:val="008F7815"/>
    <w:rsid w:val="00902971"/>
    <w:rsid w:val="009036F8"/>
    <w:rsid w:val="00904DDF"/>
    <w:rsid w:val="00905AC7"/>
    <w:rsid w:val="009119D4"/>
    <w:rsid w:val="00913370"/>
    <w:rsid w:val="00913791"/>
    <w:rsid w:val="00916534"/>
    <w:rsid w:val="0091660E"/>
    <w:rsid w:val="00917D52"/>
    <w:rsid w:val="00921408"/>
    <w:rsid w:val="00923DC2"/>
    <w:rsid w:val="0092434A"/>
    <w:rsid w:val="009246BE"/>
    <w:rsid w:val="00930C72"/>
    <w:rsid w:val="00931055"/>
    <w:rsid w:val="00934D0E"/>
    <w:rsid w:val="00944557"/>
    <w:rsid w:val="009458D9"/>
    <w:rsid w:val="0094668B"/>
    <w:rsid w:val="00953A2D"/>
    <w:rsid w:val="00957E5D"/>
    <w:rsid w:val="0096569F"/>
    <w:rsid w:val="0096700F"/>
    <w:rsid w:val="00970072"/>
    <w:rsid w:val="00974060"/>
    <w:rsid w:val="00975F71"/>
    <w:rsid w:val="00986C2B"/>
    <w:rsid w:val="0098771A"/>
    <w:rsid w:val="00991562"/>
    <w:rsid w:val="00992F45"/>
    <w:rsid w:val="00993E65"/>
    <w:rsid w:val="0099519F"/>
    <w:rsid w:val="00997070"/>
    <w:rsid w:val="009A0CEB"/>
    <w:rsid w:val="009A1C80"/>
    <w:rsid w:val="009A1F33"/>
    <w:rsid w:val="009B1AF2"/>
    <w:rsid w:val="009B1C1D"/>
    <w:rsid w:val="009B3E76"/>
    <w:rsid w:val="009B5198"/>
    <w:rsid w:val="009B6505"/>
    <w:rsid w:val="009C4F1B"/>
    <w:rsid w:val="009C6492"/>
    <w:rsid w:val="009D29FB"/>
    <w:rsid w:val="009D4EE9"/>
    <w:rsid w:val="009D760C"/>
    <w:rsid w:val="009E068A"/>
    <w:rsid w:val="009E1752"/>
    <w:rsid w:val="009E3594"/>
    <w:rsid w:val="009E3C4A"/>
    <w:rsid w:val="009F297D"/>
    <w:rsid w:val="009F441F"/>
    <w:rsid w:val="00A024A6"/>
    <w:rsid w:val="00A0678F"/>
    <w:rsid w:val="00A11280"/>
    <w:rsid w:val="00A12330"/>
    <w:rsid w:val="00A12854"/>
    <w:rsid w:val="00A13FD0"/>
    <w:rsid w:val="00A17925"/>
    <w:rsid w:val="00A21B4F"/>
    <w:rsid w:val="00A229B6"/>
    <w:rsid w:val="00A23168"/>
    <w:rsid w:val="00A23361"/>
    <w:rsid w:val="00A26F6A"/>
    <w:rsid w:val="00A32D21"/>
    <w:rsid w:val="00A37E09"/>
    <w:rsid w:val="00A406FE"/>
    <w:rsid w:val="00A4517A"/>
    <w:rsid w:val="00A55E0F"/>
    <w:rsid w:val="00A56DCC"/>
    <w:rsid w:val="00A64913"/>
    <w:rsid w:val="00A74993"/>
    <w:rsid w:val="00A7590E"/>
    <w:rsid w:val="00A75D3B"/>
    <w:rsid w:val="00A76BDD"/>
    <w:rsid w:val="00A81A9E"/>
    <w:rsid w:val="00A83DBA"/>
    <w:rsid w:val="00A85AB9"/>
    <w:rsid w:val="00A86243"/>
    <w:rsid w:val="00A91CD6"/>
    <w:rsid w:val="00A93672"/>
    <w:rsid w:val="00A967AC"/>
    <w:rsid w:val="00A96B60"/>
    <w:rsid w:val="00A97284"/>
    <w:rsid w:val="00A9780F"/>
    <w:rsid w:val="00AA43DC"/>
    <w:rsid w:val="00AB176A"/>
    <w:rsid w:val="00AB6726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E2046"/>
    <w:rsid w:val="00AF2D17"/>
    <w:rsid w:val="00AF42AA"/>
    <w:rsid w:val="00AF7E93"/>
    <w:rsid w:val="00B118EC"/>
    <w:rsid w:val="00B12AE2"/>
    <w:rsid w:val="00B25DDC"/>
    <w:rsid w:val="00B26A50"/>
    <w:rsid w:val="00B26E9F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74748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4C56"/>
    <w:rsid w:val="00BD54E4"/>
    <w:rsid w:val="00BD5C87"/>
    <w:rsid w:val="00BD6CBC"/>
    <w:rsid w:val="00BD721D"/>
    <w:rsid w:val="00BE377C"/>
    <w:rsid w:val="00BE3D3B"/>
    <w:rsid w:val="00BE71DE"/>
    <w:rsid w:val="00BF2B8A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175F"/>
    <w:rsid w:val="00C43ACD"/>
    <w:rsid w:val="00C44C0C"/>
    <w:rsid w:val="00C5569D"/>
    <w:rsid w:val="00C55929"/>
    <w:rsid w:val="00C56394"/>
    <w:rsid w:val="00C56BC1"/>
    <w:rsid w:val="00C73BC9"/>
    <w:rsid w:val="00C762FB"/>
    <w:rsid w:val="00C76AD4"/>
    <w:rsid w:val="00C81152"/>
    <w:rsid w:val="00C83B73"/>
    <w:rsid w:val="00C845B1"/>
    <w:rsid w:val="00C93A1D"/>
    <w:rsid w:val="00C9500E"/>
    <w:rsid w:val="00C953C5"/>
    <w:rsid w:val="00C95762"/>
    <w:rsid w:val="00C965FE"/>
    <w:rsid w:val="00CA1A8B"/>
    <w:rsid w:val="00CA4446"/>
    <w:rsid w:val="00CB2ACB"/>
    <w:rsid w:val="00CB2D0B"/>
    <w:rsid w:val="00CB7564"/>
    <w:rsid w:val="00CC7854"/>
    <w:rsid w:val="00CD1A35"/>
    <w:rsid w:val="00CD70FA"/>
    <w:rsid w:val="00CE040A"/>
    <w:rsid w:val="00CF0350"/>
    <w:rsid w:val="00CF0720"/>
    <w:rsid w:val="00CF1602"/>
    <w:rsid w:val="00CF558C"/>
    <w:rsid w:val="00CF7C96"/>
    <w:rsid w:val="00D01141"/>
    <w:rsid w:val="00D028C2"/>
    <w:rsid w:val="00D02C92"/>
    <w:rsid w:val="00D03DF0"/>
    <w:rsid w:val="00D07438"/>
    <w:rsid w:val="00D11990"/>
    <w:rsid w:val="00D12DE8"/>
    <w:rsid w:val="00D40CD0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862AA"/>
    <w:rsid w:val="00D957C4"/>
    <w:rsid w:val="00D95C70"/>
    <w:rsid w:val="00DA1AA6"/>
    <w:rsid w:val="00DA3986"/>
    <w:rsid w:val="00DA4D8E"/>
    <w:rsid w:val="00DC07D6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1757"/>
    <w:rsid w:val="00E73D82"/>
    <w:rsid w:val="00E76A86"/>
    <w:rsid w:val="00E82132"/>
    <w:rsid w:val="00E86251"/>
    <w:rsid w:val="00E924B5"/>
    <w:rsid w:val="00E92D8C"/>
    <w:rsid w:val="00EA0342"/>
    <w:rsid w:val="00EA42DB"/>
    <w:rsid w:val="00EA5A7F"/>
    <w:rsid w:val="00EB2C78"/>
    <w:rsid w:val="00EB4C55"/>
    <w:rsid w:val="00EB68E4"/>
    <w:rsid w:val="00EC045E"/>
    <w:rsid w:val="00EC22EC"/>
    <w:rsid w:val="00EC2A2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0AA2"/>
    <w:rsid w:val="00F53B6A"/>
    <w:rsid w:val="00F54C3D"/>
    <w:rsid w:val="00F6180E"/>
    <w:rsid w:val="00F65847"/>
    <w:rsid w:val="00F74401"/>
    <w:rsid w:val="00F74BA2"/>
    <w:rsid w:val="00F75B93"/>
    <w:rsid w:val="00F85A76"/>
    <w:rsid w:val="00F91A40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D464C"/>
    <w:rsid w:val="00FD69C6"/>
    <w:rsid w:val="00FE2349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F7"/>
  </w:style>
  <w:style w:type="paragraph" w:styleId="Nagwek1">
    <w:name w:val="heading 1"/>
    <w:basedOn w:val="Normalny"/>
    <w:next w:val="Normalny"/>
    <w:link w:val="Nagwek1Znak"/>
    <w:uiPriority w:val="9"/>
    <w:qFormat/>
    <w:rsid w:val="00694A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4A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C8115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2F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pt.gov.pl/strefa-beneficjenta/wdrazanie-projektow/analiza-kosztow-ikorzysci/metodyka-analizy-kosztow-i-korzysci/niebieskie-ksiegi-2021-20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F4B6-ABF2-483A-AB5B-41DD19A5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Marcin Faroń</cp:lastModifiedBy>
  <cp:revision>3</cp:revision>
  <cp:lastPrinted>2023-10-06T06:15:00Z</cp:lastPrinted>
  <dcterms:created xsi:type="dcterms:W3CDTF">2024-05-02T07:27:00Z</dcterms:created>
  <dcterms:modified xsi:type="dcterms:W3CDTF">2024-05-12T19:10:00Z</dcterms:modified>
</cp:coreProperties>
</file>