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118C" w14:textId="77777777" w:rsidR="001C278C" w:rsidRDefault="002119AC">
      <w:r>
        <w:rPr>
          <w:noProof/>
          <w:lang w:eastAsia="pl-PL"/>
        </w:rPr>
        <w:drawing>
          <wp:inline distT="0" distB="0" distL="0" distR="0" wp14:anchorId="01FBC7B9" wp14:editId="3329A7BA">
            <wp:extent cx="5760720" cy="638951"/>
            <wp:effectExtent l="0" t="0" r="0" b="889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9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F9CD53" w14:textId="77777777" w:rsidR="002119AC" w:rsidRDefault="002119AC"/>
    <w:p w14:paraId="0F46BC1A" w14:textId="77777777" w:rsidR="002119AC" w:rsidRDefault="002119AC"/>
    <w:p w14:paraId="27AAF34F" w14:textId="77777777" w:rsidR="002119AC" w:rsidRDefault="002119AC"/>
    <w:p w14:paraId="42E7F12E" w14:textId="77777777" w:rsidR="002119AC" w:rsidRDefault="002119AC"/>
    <w:p w14:paraId="571C3B24" w14:textId="77777777" w:rsidR="002119AC" w:rsidRDefault="002119AC"/>
    <w:p w14:paraId="7115AE37" w14:textId="77777777" w:rsidR="002119AC" w:rsidRDefault="002119AC"/>
    <w:p w14:paraId="67C96186" w14:textId="491FCA2B" w:rsidR="002119AC" w:rsidRDefault="002119AC">
      <w:r>
        <w:rPr>
          <w:rFonts w:ascii="Calibri" w:hAnsi="Calibri" w:cs="Calibri"/>
          <w:b/>
          <w:sz w:val="44"/>
          <w:szCs w:val="44"/>
        </w:rPr>
        <w:t xml:space="preserve">ZAŁĄCZNIK NR </w:t>
      </w:r>
      <w:r w:rsidR="00402143">
        <w:rPr>
          <w:rFonts w:ascii="Calibri" w:hAnsi="Calibri" w:cs="Calibri"/>
          <w:b/>
          <w:sz w:val="44"/>
          <w:szCs w:val="44"/>
        </w:rPr>
        <w:t>9</w:t>
      </w:r>
    </w:p>
    <w:p w14:paraId="33AF4119" w14:textId="0402665A" w:rsidR="002119AC" w:rsidRDefault="002119AC">
      <w:pPr>
        <w:rPr>
          <w:rFonts w:cstheme="minorHAnsi"/>
          <w:b/>
          <w:sz w:val="44"/>
          <w:szCs w:val="44"/>
        </w:rPr>
      </w:pPr>
      <w:r w:rsidRPr="002119AC">
        <w:rPr>
          <w:rFonts w:cstheme="minorHAnsi"/>
          <w:b/>
          <w:sz w:val="44"/>
          <w:szCs w:val="44"/>
        </w:rPr>
        <w:t>Wyciąg ze Szczegółowego Opisu Priorytetów Programu Fundusze Europejskie dla Opolskiego 2021-2027</w:t>
      </w:r>
      <w:r w:rsidR="00FD543F">
        <w:rPr>
          <w:rFonts w:cstheme="minorHAnsi"/>
          <w:b/>
          <w:sz w:val="44"/>
          <w:szCs w:val="44"/>
        </w:rPr>
        <w:t xml:space="preserve"> </w:t>
      </w:r>
      <w:r w:rsidRPr="002119AC">
        <w:rPr>
          <w:rFonts w:cstheme="minorHAnsi"/>
          <w:b/>
          <w:sz w:val="44"/>
          <w:szCs w:val="44"/>
        </w:rPr>
        <w:t xml:space="preserve">(karta działania </w:t>
      </w:r>
      <w:r w:rsidR="004F0A8E">
        <w:rPr>
          <w:rFonts w:cstheme="minorHAnsi"/>
          <w:b/>
          <w:sz w:val="44"/>
          <w:szCs w:val="44"/>
        </w:rPr>
        <w:t>6</w:t>
      </w:r>
      <w:r w:rsidRPr="002119AC">
        <w:rPr>
          <w:rFonts w:cstheme="minorHAnsi"/>
          <w:b/>
          <w:sz w:val="44"/>
          <w:szCs w:val="44"/>
        </w:rPr>
        <w:t>.</w:t>
      </w:r>
      <w:r w:rsidR="004F0A8E">
        <w:rPr>
          <w:rFonts w:cstheme="minorHAnsi"/>
          <w:b/>
          <w:sz w:val="44"/>
          <w:szCs w:val="44"/>
        </w:rPr>
        <w:t>7</w:t>
      </w:r>
      <w:r>
        <w:rPr>
          <w:rFonts w:cstheme="minorHAnsi"/>
          <w:b/>
          <w:sz w:val="44"/>
          <w:szCs w:val="44"/>
        </w:rPr>
        <w:t>)</w:t>
      </w:r>
    </w:p>
    <w:p w14:paraId="656139BE" w14:textId="77777777" w:rsidR="002119AC" w:rsidRDefault="002119AC">
      <w:pPr>
        <w:rPr>
          <w:rFonts w:cstheme="minorHAnsi"/>
          <w:b/>
          <w:sz w:val="44"/>
          <w:szCs w:val="44"/>
        </w:rPr>
      </w:pPr>
    </w:p>
    <w:p w14:paraId="5DF109CF" w14:textId="77777777" w:rsidR="002119AC" w:rsidRDefault="002119AC">
      <w:pPr>
        <w:rPr>
          <w:rFonts w:cstheme="minorHAnsi"/>
          <w:b/>
          <w:sz w:val="44"/>
          <w:szCs w:val="44"/>
        </w:rPr>
      </w:pPr>
    </w:p>
    <w:p w14:paraId="03123799" w14:textId="77777777" w:rsidR="002119AC" w:rsidRDefault="002119AC">
      <w:pPr>
        <w:rPr>
          <w:rFonts w:cstheme="minorHAnsi"/>
          <w:b/>
          <w:sz w:val="44"/>
          <w:szCs w:val="44"/>
        </w:rPr>
      </w:pPr>
    </w:p>
    <w:p w14:paraId="6CEBA38C" w14:textId="77777777" w:rsidR="002119AC" w:rsidRDefault="002119AC">
      <w:pPr>
        <w:rPr>
          <w:rFonts w:cstheme="minorHAnsi"/>
          <w:b/>
          <w:sz w:val="44"/>
          <w:szCs w:val="44"/>
        </w:rPr>
      </w:pPr>
    </w:p>
    <w:p w14:paraId="26EE3031" w14:textId="77777777" w:rsidR="002119AC" w:rsidRDefault="002119AC">
      <w:pPr>
        <w:rPr>
          <w:rFonts w:cstheme="minorHAnsi"/>
          <w:b/>
          <w:sz w:val="44"/>
          <w:szCs w:val="44"/>
        </w:rPr>
      </w:pPr>
    </w:p>
    <w:p w14:paraId="1ABB9BCC" w14:textId="77777777" w:rsidR="002119AC" w:rsidRDefault="002119AC">
      <w:pPr>
        <w:rPr>
          <w:rFonts w:cstheme="minorHAnsi"/>
          <w:b/>
          <w:sz w:val="44"/>
          <w:szCs w:val="44"/>
        </w:rPr>
      </w:pPr>
    </w:p>
    <w:p w14:paraId="58AD8DAF" w14:textId="77777777" w:rsidR="00402143" w:rsidRDefault="00402143">
      <w:pPr>
        <w:rPr>
          <w:rFonts w:ascii="Calibri" w:eastAsia="Calibri" w:hAnsi="Calibri" w:cs="Times New Roman"/>
          <w:lang w:eastAsia="pl-PL"/>
        </w:rPr>
      </w:pPr>
    </w:p>
    <w:p w14:paraId="3E50AEE1" w14:textId="77777777" w:rsidR="00BF3163" w:rsidRDefault="00BF3163">
      <w:pPr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1777777B" w14:textId="77777777" w:rsidR="00501B53" w:rsidRDefault="00501B53">
      <w:pPr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4B9D7C6B" w14:textId="2E975D72" w:rsidR="00501B53" w:rsidRPr="00501B53" w:rsidRDefault="00402143" w:rsidP="00124696">
      <w:pPr>
        <w:rPr>
          <w:rFonts w:cstheme="minorHAnsi"/>
          <w:b/>
          <w:sz w:val="24"/>
          <w:szCs w:val="24"/>
        </w:rPr>
      </w:pPr>
      <w:r w:rsidRPr="00402143">
        <w:rPr>
          <w:rFonts w:ascii="Calibri" w:eastAsia="Calibri" w:hAnsi="Calibri" w:cs="Times New Roman"/>
          <w:sz w:val="24"/>
          <w:szCs w:val="24"/>
          <w:lang w:eastAsia="pl-PL"/>
        </w:rPr>
        <w:t xml:space="preserve">Opole, </w:t>
      </w:r>
      <w:r w:rsidR="004F0A8E">
        <w:rPr>
          <w:rFonts w:ascii="Calibri" w:eastAsia="Calibri" w:hAnsi="Calibri" w:cs="Times New Roman"/>
          <w:sz w:val="24"/>
          <w:szCs w:val="24"/>
          <w:lang w:eastAsia="pl-PL"/>
        </w:rPr>
        <w:t>listopad</w:t>
      </w:r>
      <w:r w:rsidRPr="00402143">
        <w:rPr>
          <w:rFonts w:ascii="Calibri" w:eastAsia="Calibri" w:hAnsi="Calibri" w:cs="Times New Roman"/>
          <w:sz w:val="24"/>
          <w:szCs w:val="24"/>
          <w:lang w:eastAsia="pl-PL"/>
        </w:rPr>
        <w:t xml:space="preserve"> 2023 r.</w:t>
      </w:r>
    </w:p>
    <w:p w14:paraId="2C499CC2" w14:textId="57C12360" w:rsidR="00B57880" w:rsidRPr="00B57880" w:rsidRDefault="00B57880" w:rsidP="00B57880">
      <w:pPr>
        <w:spacing w:line="276" w:lineRule="auto"/>
        <w:rPr>
          <w:rFonts w:cstheme="minorHAnsi"/>
          <w:b/>
          <w:bCs/>
          <w:sz w:val="28"/>
          <w:szCs w:val="28"/>
        </w:rPr>
      </w:pPr>
      <w:bookmarkStart w:id="0" w:name="_Toc145931017"/>
      <w:r w:rsidRPr="00B57880">
        <w:rPr>
          <w:rFonts w:cstheme="minorHAnsi"/>
          <w:b/>
          <w:bCs/>
          <w:sz w:val="28"/>
          <w:szCs w:val="28"/>
        </w:rPr>
        <w:lastRenderedPageBreak/>
        <w:t xml:space="preserve">Działanie </w:t>
      </w:r>
      <w:bookmarkEnd w:id="0"/>
      <w:r w:rsidR="0089624B" w:rsidRPr="0089624B">
        <w:rPr>
          <w:rFonts w:cstheme="minorHAnsi"/>
          <w:b/>
          <w:bCs/>
          <w:sz w:val="28"/>
          <w:szCs w:val="28"/>
        </w:rPr>
        <w:t>FEOP.06.07 Wsparcie rodziny i pieczy zastępczej</w:t>
      </w:r>
    </w:p>
    <w:p w14:paraId="1F0F8955" w14:textId="77777777" w:rsidR="00B57880" w:rsidRPr="00B57880" w:rsidRDefault="00B57880" w:rsidP="00B57880">
      <w:pPr>
        <w:spacing w:line="276" w:lineRule="auto"/>
        <w:rPr>
          <w:rFonts w:cstheme="minorHAnsi"/>
          <w:bCs/>
          <w:sz w:val="24"/>
          <w:szCs w:val="24"/>
        </w:rPr>
      </w:pPr>
    </w:p>
    <w:p w14:paraId="0A5968B1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Cel szczegółowy</w:t>
      </w:r>
    </w:p>
    <w:p w14:paraId="2311FD6F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EFS+.CP4.L - Wspieranie integracji społecznej osób zagrożonych ubóstwem lub wykluczeniem społecznym, w tym osób najbardziej potrzebujących i dzieci</w:t>
      </w:r>
    </w:p>
    <w:p w14:paraId="04344878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Wysokość alokacji ogółem (EUR)</w:t>
      </w:r>
    </w:p>
    <w:p w14:paraId="64CCDF76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18 823 529,00</w:t>
      </w:r>
    </w:p>
    <w:p w14:paraId="22A590BB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Wysokość alokacji UE (EUR)</w:t>
      </w:r>
    </w:p>
    <w:p w14:paraId="44AE07C3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16 000 000,00</w:t>
      </w:r>
    </w:p>
    <w:p w14:paraId="636C95A9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Zakres interwencji</w:t>
      </w:r>
    </w:p>
    <w:p w14:paraId="57B65BB8" w14:textId="7FE8A751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 xml:space="preserve">159 - Działania na rzecz poprawy świadczenia usług w zakresie opieki rodzinnej </w:t>
      </w:r>
      <w:r w:rsidR="00501B53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i środowiskowej, 163 - Promowanie integracji społecznej osób zagrożonych ubóstwem lub wykluczeniem społecznym, w tym osób najbardziej potrzebujących i dzieci</w:t>
      </w:r>
    </w:p>
    <w:p w14:paraId="75255185" w14:textId="77777777" w:rsidR="00DF1616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Opis działania</w:t>
      </w:r>
    </w:p>
    <w:p w14:paraId="7CA346A9" w14:textId="77777777" w:rsidR="00DF1616" w:rsidRDefault="0089624B" w:rsidP="0089624B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br/>
        <w:t xml:space="preserve">Planowane typy przedsięwzięć: 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Wsparcie rodzin przeżywających problemy opiekuńczo – wychowawcze poprzez usługi w ramach działań profilaktycznych, takie jak: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a)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asystentura rodzinna,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b)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rodziny wspierające,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c)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konsultacje i poradnictwo specjalistyczne, w tym prawno-obywatelskie,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d)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terapia i mediacja,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e)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usługi dla rodzin z dziećmi, w tym usługi opiekuńcze i specjalistyczne, pomoc prawna, szczególnie w zakresie prawa rodzinnego,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f)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organizowanie dla rodzin spotkań, mających na celu wymianę doświadczeń oraz zapobieganie izolacji, zwanych grupami wsparcia lub grupami samopomocowymi.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2.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Wsparcie preadopcyjne (np. diagnostyczne, szkoleniowe, doradcze) i postadopcyjne (np. diagnostyczne, rehabilitacyjne, terapeutyczne psychologiczne).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3.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Wsparcie pieczy zastępczej, w tym wsparcie procesu deinstytucjonalizacji, poprzez m.in.: 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a)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tworzenie rodzinnych form pieczy zastępczej oraz placówek opiekuńczo – wychowawczych typu rodzinnego do 8,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lastRenderedPageBreak/>
        <w:t>b)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usługi aktywnej integracji, w szczególności o charakterze społecznym, których celem jest nabycie, przywrócenie lub wzmocnienie kompetencji społecznych, zaradności, samodzielności i aktywności społecznej skierowane do osób będących w pieczy zastępczej, 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c)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usługi aktywnej integracji o charakterze zawodowym skierowane do osób będących </w:t>
      </w:r>
      <w:r w:rsidR="00DF1616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 xml:space="preserve">w pieczy zastępczej w wieku powyżej 15 roku życia, w tym podnoszenie kwalifikacji </w:t>
      </w:r>
      <w:r w:rsidR="00DF1616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i kompetencji niezbędnych na rynku pracy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d)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indywidualne programy usamodzielniania realizowane w mieszkaniach o charakterze wspomaganym/ chronionym dla osób opuszczających pieczę zastępczą, 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e)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kształcenie kandydatów na osoby prowadzące rodziny zastępcze, kandydatów na osoby prowadzące rodzinne domy dziecka oraz doskonalenie dyrektorów placówek opiekuńczo - wychowawczych typu rodzinnego i osób sprawujących rodzinną pieczę zastępczą w ramach działań prowadzących do tworzenia rodzinnych form pieczy zastępczej oraz placówek opiekuńczo-wychowawczych typu rodzinnego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f)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działania edukacyjno-informacyjne w zakresie propagowania idei pieczy zastępczej oraz promowania idei rodzicielstwa zastępczego (jako element wsparcia)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4.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Poprawa dostępu do mieszkań o charakterze wspomaganym/chronionym dla osób opuszczających pieczę zastępczą. 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5.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Kompleksowe wsparcie osób usamodzielnianych i opuszczających pieczę zastępczą, </w:t>
      </w:r>
      <w:r w:rsidR="00DF1616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w tym poprzez: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a)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wsparcie opiekunów/ asystentów usamodzielniania,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b)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budowanie kręgów wsparcia,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c)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mieszkania wspomagane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d)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metodę „usamodzielniania na próbę” (polegającą na wsparciu osoby </w:t>
      </w:r>
      <w:r w:rsidR="00DF1616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w doświadczaniu samodzielnego życia poza pieczą zastępczą, z możliwością powrotu do pieczy, albo w sytuacji kryzysu albo żeby w bardziej dojrzały sposób budować plan na usamodzielnienie, może obejmować m.in. pobyt w mieszkaniu wspomaganym lub dofinansowanie najmu mieszkania, wsparcie związane z poszukiwaniem pracy, wsparcie opiekunów/asystentów usamodzielnienia).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6.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Usługi dla dzieci i młodzieży wymagających wsparcia, przebywających w rodzinach oraz w różnego rodzaju instytucjach całodobowych (z zastrzeżeniem braku finansowania dla samych placówek świadczących opiekę instytucjonalną) np. usługi realizowane w placówkach wsparcia dziennego. 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7.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Usługi interwencji kryzysowej oraz w zakresie przeciwdziałania przemocy, w tym przemocy w rodzinie obejmujące m.in.: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a)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tworzenie i rozwój ośrodków interwencji kryzysowej i punktów interwencji kryzysowej,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b)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zapewnienie dostępu do usług dla osób w sytuacjach kryzysowych (w tym m.in. poradnictwo psychologiczne, poradnictwo socjalne, konsultacje z terapeutą, psychoterapia, </w:t>
      </w:r>
      <w:r w:rsidRPr="0089624B">
        <w:rPr>
          <w:rFonts w:eastAsia="Times New Roman" w:cstheme="minorHAnsi"/>
          <w:sz w:val="24"/>
          <w:szCs w:val="24"/>
          <w:lang w:eastAsia="pl-PL"/>
        </w:rPr>
        <w:lastRenderedPageBreak/>
        <w:t>grupy wsparcia, konsultacje prawne, telefony zaufania, mieszkania interwencyjne).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8.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Wsparcie psychologiczno-pedagogiczne dla dzieci, młodzieży i rodziców zagrożonych wykluczeniem społecznym, w tym grupy wsparcia, wsparcie rówieśnicze. 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9.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Działania na rzecz zapewnienia osobom zagrożonym ubóstwem lub wykluczeniem społecznym poprawy kompetencji w zakresie spędzania czasu wolnego i rekreacji oraz uczestnictwa w kulturze jako instrument kierowany głównie do dzieci oraz ich rodzin </w:t>
      </w:r>
      <w:r w:rsidR="00DF1616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i opiekunów w celu wzmacniania więzi, realizowany jedynie jako element projektu dot. włączenia społecznego: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a)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animacja kulturalna w środowisku lokalnym (np.: tematyczne pikniki integracyjne, warsztaty hobbistyczne),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b)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udział w formach proponowanych przez  instytucje i organizacje społeczeństwa obywatelskiego w środowisku lokalnym z zakresu aktywizacji społeczno-kulturalnej  tj. </w:t>
      </w:r>
      <w:r w:rsidR="00DF1616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w świetlicach, domach kultury, bibliotekach, stowarzyszeniach oraz innych inicjatywach lokalnych,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c)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uczestnictwo w formach proponowanych przez instytucje kultury, rekreacji i innych form spędzania czasu wolnego w regionie, 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d)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alternatywne formy spędzania czasu wolnego (np.: zespoły pieśni, tańca, kluby sportowe, wolontariat).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10.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Podnoszenie kwalifikacji i kompetencji kadr na potrzeby świadczenia usług społecznych. 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11.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Budowanie potencjału organizacji społeczeństwa obywatelskiego działających na rzecz osób zagrożonych ubóstwem lub wykluczeniem społecznym. 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12.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Przeciwdziałanie ubóstwu energetycznemu poprzez wzmacnianie świadomości </w:t>
      </w:r>
      <w:r w:rsidR="00DF1616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 xml:space="preserve">w zakresie konieczności oszczędnego korzystania z energii.  </w:t>
      </w:r>
    </w:p>
    <w:p w14:paraId="4AEB4930" w14:textId="77777777" w:rsidR="00DF1616" w:rsidRDefault="0089624B" w:rsidP="0089624B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br/>
        <w:t>Warunki realizacji projektów:</w:t>
      </w:r>
    </w:p>
    <w:p w14:paraId="6000BA4D" w14:textId="127630D0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br/>
        <w:t>1.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Działania świadomościowe (kampanie informacyjne i działania upowszechniające) będą możliwe do finansowania jedynie jeśli będą stanowić część projektu i będą uzupełniać działania o charakterze wdrożeniowym w ramach tego projektu z zastrzeżeniem iż nie mogą przekroczyć 10 % kosztów kwalifikowalnych.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2.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Wsparcie dla rodziny i pieczy zastępczej odbywa się zgodnie z ustawą z dnia 9 czerwca 2011 r. o wspieraniu rodziny i systemie pieczy zastępczej. Świadczenia wypłacane na podstawie tej ustawy nie mogą być finansowane w ramach projektu, mogą zaś stanowić wkład własny do projektu.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3.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W ramach działania nie są tworzone nowe miejsca ani wspierane istniejące miejsca opieki w placówkach świadczących opiekę instytucjonalną.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lastRenderedPageBreak/>
        <w:t>4.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W razie konieczności umieszczenia w placówce opiekuńczo – wychowawczej typu rodzinnego rodzeństwa, za zgoda dyrektora tej placówki oraz po uzyskaniu zezwolenia wojewody, dopuszczalne jest umieszczenie w tym samym czasie większej liczby dzieci (maksymalnie 10).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5.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Wsparcie dla osób odbywających karę pozbawienia wolności nie będzie udzielane,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z wyjątkiem osób objętych dozorem elektronicznym.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6.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Szczegóły interwencji wynikają z Regionalnego Planu Rozwoju Usług Społecznych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i Deinstytucjonalizacji.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7.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Zgodność realizowanych przedsięwzięć z dokumentami pn. Strategia Rozwoju Usług Społecznych, polityka publiczna do roku 2030 (z perspektywą do 2035 r. oraz Krajowy Program Przeciwdziałania Ubóstwu i Wykluczeniu Społecznemu. Aktualizacja 2021-2027, polityka publiczna z perspektywą do roku 2030.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8.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Oprócz metod pracy indywidualnej z rodziną, możliwe będzie wykorzystywanie metod pracy środowiskowej adresowanych do całych społeczności.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9.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Liczba miejsc w mieszkaniu wspomaganym nie może być większa niż 7. Pokoje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w mieszkaniu wspomaganym powinny być 1 osobowe.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10.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Mieszkania chronione, mieszkania wspomagane oraz mieszkania z usługami/ ze wsparciem nie mogą być zlokalizowane na nieruchomości, na której znajduje się placówka opieki instytucjonalnej.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11.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W przypadku nieruchomości, w której znajduje się do 7 lokali włącznie, mieszkania chronione, wspomagane lub inne mieszkania z usługami/ ze wsparciem mogą stanowić 100% lokali. W nieruchomości o większej liczbie lokali, maksymalna liczba mieszkań chronionych lub wspomaganych wynosi 7 i 25% nadwyżki powyżej 7.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12.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W przypadku mieszkań chronionych stosowany jest standard dotyczący tej formy pomocy wynikający z ustawy z dnia 12 marca 2004 r. o pomocy społecznej i aktów wykonawczych wydanych na podstawie tej ustawy. W przypadku mieszkań wspomaganych oraz innych mieszkań z usługami/ ze wsparciem stosowany jest standard określony w sekcji 4.3.5 Wytycznych dotyczących realizacji projektów z udziałem środków Europejskiego Funduszu Społecznego Plus w regionalnych programach na lata 2021-2027.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13.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W mieszkaniach chronionych, wspomaganych lub w mieszkaniach z usługami/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ze wsparciem zapewnia się: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a)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usługi wspierające pobyt osoby w mieszkaniu, w tym usługi opiekuńcze, usługi asystenckie;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b)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usługi wspierające aktywność osoby w mieszkaniu, w tym trening samodzielności, praca socjalna, poradnictwo specjalistyczne, integracja osoby ze społecznością lokalną.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14.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Usługi aktywnej integracji o charakterze zawodowym są realizowane przez podmioty wyspecjalizowane w tym zakresie.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15.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W przypadku aktywnej integracji o charakterze zawodowym wymagane jest </w:t>
      </w:r>
      <w:r w:rsidRPr="0089624B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wykorzystanie kontraktu socjalnego lub innego rodzaju programów przewidzianych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w ustawie z dnia 12 marca 2004 r. o pomocy społecznej, w tym indywidualnych programów, programów aktywności lokalnej i projektów socjalnych albo umowy na wzór kontraktu socjalnego.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16.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Wsparcie o którym mowa w pkt 14 odbywa się w oparciu o ścieżkę reintegracji, stworzoną indywidualnie dla każdej osoby, rodziny, środowiska z uwzględnieniem diagnozy sytuacji problemowej, zasobów, potencjału, predyspozycji, potrzeb.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17.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>Usługi aktywnej integracji o charakterze zawodowym dla osób, rodzin i środowisk nie stanowią pierwszego elementu wsparcia w ramach ścieżki reintegracji.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18.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W przypadku realizacji wsparcia z zakresu aktywizacji społeczno-zawodowej skierowanego do osób do 30 r.ż. realizacja wsparcia jest zgodna z zaleceniem Rady z 30 października 2020 r. w sprawie pomostu do zatrudnienia – wzmocnienia gwarancji dla młodzieży oraz zastępującym zalecenie Rady z dnia 22 kwietnia 2013 r. w sprawie ustanowienia gwarancji dla młodzieży i z polskim Planem realizacji Gwarancji dla młodzieży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z 1 sierpnia 2022 r.</w:t>
      </w:r>
      <w:r w:rsidRPr="0089624B">
        <w:rPr>
          <w:rFonts w:eastAsia="Times New Roman" w:cstheme="minorHAnsi"/>
          <w:sz w:val="24"/>
          <w:szCs w:val="24"/>
          <w:lang w:eastAsia="pl-PL"/>
        </w:rPr>
        <w:br/>
        <w:t>19.</w:t>
      </w:r>
      <w:r w:rsidRPr="0089624B">
        <w:rPr>
          <w:rFonts w:eastAsia="Times New Roman" w:cstheme="minorHAnsi"/>
          <w:sz w:val="24"/>
          <w:szCs w:val="24"/>
          <w:lang w:eastAsia="pl-PL"/>
        </w:rPr>
        <w:tab/>
        <w:t xml:space="preserve">Pozostałe warunki niezbędne do realizacji projektów niewskazane w SZOP 2021-2027 dla działania określone są w pozostałych dokumentach IZ FEO niezbędnych dla przeprowadzenia postępowania konkurencyjnego/niekonkurencyjnego, w tym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 xml:space="preserve">w Regulaminie wyboru projektów/ umowie o dofinansowanie/ decyzji o dofinansowaniu. </w:t>
      </w:r>
    </w:p>
    <w:p w14:paraId="16F80746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Maksymalny % poziom dofinansowania UE w projekcie</w:t>
      </w:r>
    </w:p>
    <w:p w14:paraId="443BC01A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85</w:t>
      </w:r>
    </w:p>
    <w:p w14:paraId="43457DB6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Maksymalny % poziom dofinansowania całkowitego wydatków kwalifikowalnych na poziomie projektu (środki UE + współfinansowanie ze środków krajowych przyznane beneficjentowi przez właściwą instytucję)</w:t>
      </w:r>
    </w:p>
    <w:p w14:paraId="5BF487E8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95</w:t>
      </w:r>
    </w:p>
    <w:p w14:paraId="4F0EB27C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Pomoc publiczna – unijna podstawa prawna</w:t>
      </w:r>
    </w:p>
    <w:p w14:paraId="01E22BC6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Bez pomocy, Rozporządzenie  Komisji (UE) nr 1407/2013 z dnia 18 grudnia 2013 r. w sprawie stosowania art. 107 i 108 Traktatu o funkcjonowaniu Unii Europejskiej do pomocy de minimis, Rozporządzenie Komisji (UE) nr 651/2014 z dnia 17 czerwca 2014 r. uznające niektóre rodzaje pomocy za zgodne z rynkiem wewnętrznym w zastosowaniu art. 107 i 108 Traktatu</w:t>
      </w:r>
    </w:p>
    <w:p w14:paraId="5CB5ED8C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Pomoc publiczna – krajowa podstawa prawna</w:t>
      </w:r>
    </w:p>
    <w:p w14:paraId="4A66EA8E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 xml:space="preserve">Bez pomocy, Rozporządzenie Ministra Funduszy i Polityki Regionalnej z dnia 20 grudnia 2022 r. w sprawie udzielania pomocy de minimis oraz pomocy publicznej w ramach programów </w:t>
      </w:r>
      <w:r w:rsidRPr="0089624B">
        <w:rPr>
          <w:rFonts w:eastAsia="Times New Roman" w:cstheme="minorHAnsi"/>
          <w:sz w:val="24"/>
          <w:szCs w:val="24"/>
          <w:lang w:eastAsia="pl-PL"/>
        </w:rPr>
        <w:lastRenderedPageBreak/>
        <w:t>finansowanych z Europejskiego Funduszu Społecznego Plus (EFS+) na lata 2021–2027 (Dz. U. z 2022 r. poz. 2782 z późn. zm.)</w:t>
      </w:r>
    </w:p>
    <w:p w14:paraId="69411A22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Uproszczone metody rozliczania</w:t>
      </w:r>
    </w:p>
    <w:p w14:paraId="01946E4F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do 25% stawka ryczałtowa na koszty pośrednie w oparciu o metodykę IZ (podstawa wyliczenia: koszty bezpośrednie) [art. 54(c) CPR]</w:t>
      </w:r>
    </w:p>
    <w:p w14:paraId="36588C04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Forma wsparcia</w:t>
      </w:r>
    </w:p>
    <w:p w14:paraId="7E003B95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Dotacja</w:t>
      </w:r>
    </w:p>
    <w:p w14:paraId="69FACF64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Dopuszczalny cross-financing (%)</w:t>
      </w:r>
    </w:p>
    <w:p w14:paraId="55F330BA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15</w:t>
      </w:r>
    </w:p>
    <w:p w14:paraId="6DA14402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Minimalny wkład własny beneficjenta</w:t>
      </w:r>
    </w:p>
    <w:p w14:paraId="5EBAE4E7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5%</w:t>
      </w:r>
    </w:p>
    <w:p w14:paraId="42EC6C93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Sposób wyboru projektów</w:t>
      </w:r>
    </w:p>
    <w:p w14:paraId="030E2A82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Konkurencyjny, Niekonkurencyjny</w:t>
      </w:r>
    </w:p>
    <w:p w14:paraId="51816E4E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Realizacja instrumentów terytorialnych</w:t>
      </w:r>
    </w:p>
    <w:p w14:paraId="6D717F33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Nie dotyczy</w:t>
      </w:r>
    </w:p>
    <w:p w14:paraId="3629C8B4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Typ beneficjenta – ogólny</w:t>
      </w:r>
    </w:p>
    <w:p w14:paraId="7C0580EC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Administracja publiczna, Organizacje społeczne i związki wyznaniowe, Służby publiczne</w:t>
      </w:r>
    </w:p>
    <w:p w14:paraId="7A2FCE46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Typ beneficjenta – szczegółowy</w:t>
      </w:r>
    </w:p>
    <w:p w14:paraId="17094D0B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Centra aktywności lokalnej, Instytucje integracji i pomocy społecznej, Jednostki Samorządu Terytorialnego, Kościoły i związki wyznaniowe, Niepubliczne podmioty integracji i pomocy społecznej, Organizacje pozarządowe, Podmioty ekonomii społecznej</w:t>
      </w:r>
    </w:p>
    <w:p w14:paraId="5ADD4AFA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Grupa docelowa</w:t>
      </w:r>
    </w:p>
    <w:p w14:paraId="76924A8F" w14:textId="5B3B69B6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 xml:space="preserve">dzieci i młodzież przebywające w pieczy zastępczej lub ją opuszczające, kadra realizująca działania w obszarze usług społecznych, ofiary przemocy, w tym przemocy w rodzinie i ich otoczenie, organizacje społeczeństwa obywatelskiego, osoby doświadczające przemocy,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 xml:space="preserve">w tym przemocy w rodzinie i ich otoczenie, osoby pełniące funkcję/kandydaci do pełnienia funkcji rodziny zastępczej, rodzinnego domu dziecka lub prowadzących placówki opiekuńczo-wychowawcze typu rodzinnego oraz członkowie ich rodzin, osoby potrzebujące interwencji </w:t>
      </w:r>
      <w:r w:rsidRPr="0089624B">
        <w:rPr>
          <w:rFonts w:eastAsia="Times New Roman" w:cstheme="minorHAnsi"/>
          <w:sz w:val="24"/>
          <w:szCs w:val="24"/>
          <w:lang w:eastAsia="pl-PL"/>
        </w:rPr>
        <w:lastRenderedPageBreak/>
        <w:t>kryzysowej, osoby zagrożone ubóstwem i wykluczeniem społecznym, otoczenie osób zagrożonych ubóstwem lub wykluczeniem społecznym, rodziny z dziećmi doświadczające trudności opiekuńczo-wychowawczych</w:t>
      </w:r>
    </w:p>
    <w:p w14:paraId="654345CF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Słowa kluczowe</w:t>
      </w:r>
    </w:p>
    <w:p w14:paraId="60DA0BC3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deinstytucjonalizacja, mieszkania_chronione, mieszkania_wspierane, mieszkania_wspomagane, opieka_nad_dziećmi, piecza_zastępcza, szkolenie_opiekunów</w:t>
      </w:r>
    </w:p>
    <w:p w14:paraId="28021175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Kryteria wyboru projektów</w:t>
      </w:r>
    </w:p>
    <w:p w14:paraId="72647245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https://rpo.opolskie.pl/?page_id=47909</w:t>
      </w:r>
    </w:p>
    <w:p w14:paraId="1280A6D2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Wskaźniki produktu</w:t>
      </w:r>
    </w:p>
    <w:p w14:paraId="6C8C938A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WLWK-EECO01 - Całkowita liczba osób objętych wsparciem</w:t>
      </w:r>
    </w:p>
    <w:p w14:paraId="6804F962" w14:textId="11535645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 xml:space="preserve">WLWK-PL0CO02 - Liczba obiektów dostosowanych do potrzeb osób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z niepełnosprawnościami</w:t>
      </w:r>
    </w:p>
    <w:p w14:paraId="21E0264E" w14:textId="45213ECD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 xml:space="preserve">WLWK-EECO19 - Liczba objętych wsparciem mikro-, małych i średnich przedsiębiorstw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(w tym spółdzielni i przedsiębiorstw społecznych)</w:t>
      </w:r>
    </w:p>
    <w:p w14:paraId="2F2A41EC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WLWK-EECO18 - Liczba objętych wsparciem podmiotów administracji publicznej lub służb publicznych na szczeblu krajowym, regionalnym lub lokalnym</w:t>
      </w:r>
    </w:p>
    <w:p w14:paraId="032FCE6F" w14:textId="27731EFB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 xml:space="preserve">WLWK-PLKLCO03 - Liczba opiekunów faktycznych/nieformalnych objętych wsparciem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w programie</w:t>
      </w:r>
    </w:p>
    <w:p w14:paraId="5C0F27AD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WLWK-EECO04 - Liczba osób biernych zawodowo objętych wsparciem w programie</w:t>
      </w:r>
    </w:p>
    <w:p w14:paraId="4C721042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WLWK-EECO15 - Liczba osób należących do mniejszości, w tym społeczności marginalizowanych takich jak Romowie, objętych wsparciem w programie</w:t>
      </w:r>
    </w:p>
    <w:p w14:paraId="4EE6A0D9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WLWK-EECO14 - Liczba osób obcego pochodzenia objętych wsparciem w programie</w:t>
      </w:r>
    </w:p>
    <w:p w14:paraId="00B57BC1" w14:textId="06785B3A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 xml:space="preserve">WLWK-PLKLCO02 - Liczba osób objętych usługami świadczonymi w społeczności lokalnej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w programie</w:t>
      </w:r>
    </w:p>
    <w:p w14:paraId="4D594333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WLWK-PLKLCO01 - Liczba osób objętych usługami w zakresie wspierania rodziny i pieczy zastępczej</w:t>
      </w:r>
    </w:p>
    <w:p w14:paraId="7473DC2F" w14:textId="525083F4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 xml:space="preserve">WLWK-EECO16 - Liczba osób w kryzysie bezdomności lub dotkniętych wykluczeniem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z dostępu do mieszkań, objętych wsparciem w programie</w:t>
      </w:r>
    </w:p>
    <w:p w14:paraId="1BD2E885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lastRenderedPageBreak/>
        <w:t>WLWK-EECO13 - Liczba osób z krajów trzecich objętych wsparciem w programie</w:t>
      </w:r>
    </w:p>
    <w:p w14:paraId="052EEA19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WLWK-EECO12 - Liczba osób z niepełnosprawnościami objętych wsparciem w programie</w:t>
      </w:r>
    </w:p>
    <w:p w14:paraId="73D761E6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WLWK-PL0CO01 - Liczba projektów, w których sfinansowano koszty racjonalnych usprawnień dla osób z niepełnosprawnościami</w:t>
      </w:r>
    </w:p>
    <w:p w14:paraId="28D3A3D3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b/>
          <w:sz w:val="24"/>
          <w:szCs w:val="24"/>
          <w:lang w:eastAsia="pl-PL"/>
        </w:rPr>
        <w:t>Wskaźniki rezultatu</w:t>
      </w:r>
    </w:p>
    <w:p w14:paraId="5A40A573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WLWK-PLKLCR01 - Liczba dzieci i młodzieży, które opuściły opiekę instytucjonalną dzięki wsparciu w programie</w:t>
      </w:r>
    </w:p>
    <w:p w14:paraId="7D1817C6" w14:textId="75E31735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 xml:space="preserve">WLWK-PLKLCR05 - Liczba osób, które opuściły opiekę instytucjonalną dzięki wsparciu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w programie</w:t>
      </w:r>
    </w:p>
    <w:p w14:paraId="2054EF75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WLWK-PLHILCR01 - Liczba osób, których sytuacja społeczna uległa poprawie po opuszczeniu programu</w:t>
      </w:r>
    </w:p>
    <w:p w14:paraId="75731DF6" w14:textId="23FE37DA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 xml:space="preserve">WLWK-PLKLCR04 - Liczba osób świadczących usługi w społeczności lokalnej dzięki wsparciu </w:t>
      </w:r>
      <w:r w:rsidR="00B964CA">
        <w:rPr>
          <w:rFonts w:eastAsia="Times New Roman" w:cstheme="minorHAnsi"/>
          <w:sz w:val="24"/>
          <w:szCs w:val="24"/>
          <w:lang w:eastAsia="pl-PL"/>
        </w:rPr>
        <w:br/>
      </w:r>
      <w:r w:rsidRPr="0089624B">
        <w:rPr>
          <w:rFonts w:eastAsia="Times New Roman" w:cstheme="minorHAnsi"/>
          <w:sz w:val="24"/>
          <w:szCs w:val="24"/>
          <w:lang w:eastAsia="pl-PL"/>
        </w:rPr>
        <w:t>w programie</w:t>
      </w:r>
    </w:p>
    <w:p w14:paraId="5C516AFD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WLWK-PLKLCR03 - Liczba podmiotów, które rozszerzyły ofertę wsparcia lub podniosły jakość oferowanych usług</w:t>
      </w:r>
    </w:p>
    <w:p w14:paraId="3A82593B" w14:textId="77777777" w:rsidR="0089624B" w:rsidRPr="0089624B" w:rsidRDefault="0089624B" w:rsidP="0089624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WLWK-PLKLCR02 - Liczba utworzonych miejsc świadczenia usług w społeczności lokalnej</w:t>
      </w:r>
    </w:p>
    <w:p w14:paraId="340E5394" w14:textId="35A606CC" w:rsidR="00B57880" w:rsidRPr="0089624B" w:rsidRDefault="0089624B" w:rsidP="0089624B">
      <w:pPr>
        <w:spacing w:line="276" w:lineRule="auto"/>
        <w:rPr>
          <w:rFonts w:cstheme="minorHAnsi"/>
          <w:bCs/>
          <w:sz w:val="24"/>
          <w:szCs w:val="24"/>
        </w:rPr>
      </w:pPr>
      <w:r w:rsidRPr="0089624B">
        <w:rPr>
          <w:rFonts w:eastAsia="Times New Roman" w:cstheme="minorHAnsi"/>
          <w:sz w:val="24"/>
          <w:szCs w:val="24"/>
          <w:lang w:eastAsia="pl-PL"/>
        </w:rPr>
        <w:t>WLWK-PLKLCR06 - Liczba utworzonych w programie miejsc świadczenia usług wspierania rodziny i pieczy zastępczej istniejących po zakończeniu projektu</w:t>
      </w:r>
    </w:p>
    <w:sectPr w:rsidR="00B57880" w:rsidRPr="00896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EF14" w14:textId="77777777" w:rsidR="009A258D" w:rsidRDefault="009A258D" w:rsidP="002119AC">
      <w:pPr>
        <w:spacing w:after="0" w:line="240" w:lineRule="auto"/>
      </w:pPr>
      <w:r>
        <w:separator/>
      </w:r>
    </w:p>
  </w:endnote>
  <w:endnote w:type="continuationSeparator" w:id="0">
    <w:p w14:paraId="48C08E3F" w14:textId="77777777" w:rsidR="009A258D" w:rsidRDefault="009A258D" w:rsidP="002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AE46" w14:textId="77777777" w:rsidR="009A258D" w:rsidRDefault="009A258D" w:rsidP="002119AC">
      <w:pPr>
        <w:spacing w:after="0" w:line="240" w:lineRule="auto"/>
      </w:pPr>
      <w:r>
        <w:separator/>
      </w:r>
    </w:p>
  </w:footnote>
  <w:footnote w:type="continuationSeparator" w:id="0">
    <w:p w14:paraId="7A6E1D65" w14:textId="77777777" w:rsidR="009A258D" w:rsidRDefault="009A258D" w:rsidP="0021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1537" w14:textId="7536AFCA" w:rsidR="00BF3163" w:rsidRPr="004F0A8E" w:rsidRDefault="00BF3163" w:rsidP="004F0A8E">
    <w:pPr>
      <w:autoSpaceDE w:val="0"/>
      <w:autoSpaceDN w:val="0"/>
      <w:spacing w:after="0" w:line="276" w:lineRule="auto"/>
      <w:rPr>
        <w:rFonts w:ascii="Calibri" w:eastAsia="Calibri" w:hAnsi="Calibri" w:cs="Times New Roman"/>
        <w:bCs/>
        <w:iCs/>
        <w:sz w:val="24"/>
        <w:szCs w:val="24"/>
      </w:rPr>
    </w:pPr>
    <w:r w:rsidRPr="00BF3163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9</w:t>
    </w:r>
    <w:r w:rsidRPr="00BF3163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 xml:space="preserve">do </w:t>
    </w:r>
    <w:r w:rsidR="004F0A8E" w:rsidRPr="004F0A8E">
      <w:rPr>
        <w:rFonts w:ascii="Calibri" w:eastAsia="Calibri" w:hAnsi="Calibri" w:cs="Times New Roman" w:hint="eastAsia"/>
        <w:bCs/>
        <w:iCs/>
        <w:sz w:val="24"/>
        <w:szCs w:val="24"/>
      </w:rPr>
      <w:t>Regulamin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>u</w:t>
    </w:r>
    <w:r w:rsidR="004F0A8E" w:rsidRPr="004F0A8E">
      <w:rPr>
        <w:rFonts w:ascii="Calibri" w:eastAsia="Calibri" w:hAnsi="Calibri" w:cs="Times New Roman" w:hint="eastAsia"/>
        <w:bCs/>
        <w:iCs/>
        <w:sz w:val="24"/>
        <w:szCs w:val="24"/>
      </w:rPr>
      <w:t xml:space="preserve"> wyboru projektów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 xml:space="preserve"> dotycz</w:t>
    </w:r>
    <w:r w:rsidR="004F0A8E" w:rsidRPr="004F0A8E">
      <w:rPr>
        <w:rFonts w:ascii="Calibri" w:eastAsia="Calibri" w:hAnsi="Calibri" w:cs="Times New Roman" w:hint="cs"/>
        <w:bCs/>
        <w:iCs/>
        <w:sz w:val="24"/>
        <w:szCs w:val="24"/>
      </w:rPr>
      <w:t>ą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>cego projekt</w:t>
    </w:r>
    <w:r w:rsidR="004F0A8E" w:rsidRPr="004F0A8E">
      <w:rPr>
        <w:rFonts w:ascii="Calibri" w:eastAsia="Calibri" w:hAnsi="Calibri" w:cs="Times New Roman" w:hint="eastAsia"/>
        <w:bCs/>
        <w:iCs/>
        <w:sz w:val="24"/>
        <w:szCs w:val="24"/>
      </w:rPr>
      <w:t>ó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>w z</w:t>
    </w:r>
    <w:r w:rsidR="004F0A8E" w:rsidRPr="004F0A8E">
      <w:rPr>
        <w:rFonts w:ascii="Calibri" w:eastAsia="Calibri" w:hAnsi="Calibri" w:cs="Times New Roman" w:hint="cs"/>
        <w:bCs/>
        <w:iCs/>
        <w:sz w:val="24"/>
        <w:szCs w:val="24"/>
      </w:rPr>
      <w:t>ł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>o</w:t>
    </w:r>
    <w:r w:rsidR="004F0A8E" w:rsidRPr="004F0A8E">
      <w:rPr>
        <w:rFonts w:ascii="Calibri" w:eastAsia="Calibri" w:hAnsi="Calibri" w:cs="Times New Roman" w:hint="cs"/>
        <w:bCs/>
        <w:iCs/>
        <w:sz w:val="24"/>
        <w:szCs w:val="24"/>
      </w:rPr>
      <w:t>ż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 xml:space="preserve">onych </w:t>
    </w:r>
    <w:r w:rsidR="004F0A8E">
      <w:rPr>
        <w:rFonts w:ascii="Calibri" w:eastAsia="Calibri" w:hAnsi="Calibri" w:cs="Times New Roman"/>
        <w:bCs/>
        <w:iCs/>
        <w:sz w:val="24"/>
        <w:szCs w:val="24"/>
      </w:rPr>
      <w:br/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>w ramach</w:t>
    </w:r>
    <w:r w:rsidR="004F0A8E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>post</w:t>
    </w:r>
    <w:r w:rsidR="004F0A8E" w:rsidRPr="004F0A8E">
      <w:rPr>
        <w:rFonts w:ascii="Calibri" w:eastAsia="Calibri" w:hAnsi="Calibri" w:cs="Times New Roman" w:hint="cs"/>
        <w:bCs/>
        <w:iCs/>
        <w:sz w:val="24"/>
        <w:szCs w:val="24"/>
      </w:rPr>
      <w:t>ę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>powania konkurencyjnego dzia</w:t>
    </w:r>
    <w:r w:rsidR="004F0A8E" w:rsidRPr="004F0A8E">
      <w:rPr>
        <w:rFonts w:ascii="Calibri" w:eastAsia="Calibri" w:hAnsi="Calibri" w:cs="Times New Roman" w:hint="cs"/>
        <w:bCs/>
        <w:iCs/>
        <w:sz w:val="24"/>
        <w:szCs w:val="24"/>
      </w:rPr>
      <w:t>ł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 xml:space="preserve">ania </w:t>
    </w:r>
    <w:bookmarkStart w:id="1" w:name="_Hlk148958871"/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>6.7 Wsparcie rodziny i pieczy zastępczej</w:t>
    </w:r>
    <w:bookmarkEnd w:id="1"/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 xml:space="preserve">, 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br/>
      <w:t>priorytetu 6 Fundusze europejskie wspieraj</w:t>
    </w:r>
    <w:r w:rsidR="004F0A8E" w:rsidRPr="004F0A8E">
      <w:rPr>
        <w:rFonts w:ascii="Calibri" w:eastAsia="Calibri" w:hAnsi="Calibri" w:cs="Times New Roman" w:hint="cs"/>
        <w:bCs/>
        <w:iCs/>
        <w:sz w:val="24"/>
        <w:szCs w:val="24"/>
      </w:rPr>
      <w:t>ą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>ce w</w:t>
    </w:r>
    <w:r w:rsidR="004F0A8E" w:rsidRPr="004F0A8E">
      <w:rPr>
        <w:rFonts w:ascii="Calibri" w:eastAsia="Calibri" w:hAnsi="Calibri" w:cs="Times New Roman" w:hint="cs"/>
        <w:bCs/>
        <w:iCs/>
        <w:sz w:val="24"/>
        <w:szCs w:val="24"/>
      </w:rPr>
      <w:t>łą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>czenie spo</w:t>
    </w:r>
    <w:r w:rsidR="004F0A8E" w:rsidRPr="004F0A8E">
      <w:rPr>
        <w:rFonts w:ascii="Calibri" w:eastAsia="Calibri" w:hAnsi="Calibri" w:cs="Times New Roman" w:hint="cs"/>
        <w:bCs/>
        <w:iCs/>
        <w:sz w:val="24"/>
        <w:szCs w:val="24"/>
      </w:rPr>
      <w:t>ł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 xml:space="preserve">eczne </w:t>
    </w:r>
    <w:r w:rsidR="004F0A8E" w:rsidRPr="004F0A8E">
      <w:rPr>
        <w:rFonts w:ascii="Calibri" w:eastAsia="Calibri" w:hAnsi="Calibri" w:cs="Times New Roman" w:hint="eastAsia"/>
        <w:bCs/>
        <w:iCs/>
        <w:sz w:val="24"/>
        <w:szCs w:val="24"/>
      </w:rPr>
      <w:t>w opolskim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="004F0A8E" w:rsidRPr="004F0A8E">
      <w:rPr>
        <w:rFonts w:ascii="Calibri" w:eastAsia="Calibri" w:hAnsi="Calibri" w:cs="Times New Roman"/>
        <w:bCs/>
        <w:iCs/>
        <w:sz w:val="24"/>
        <w:szCs w:val="24"/>
      </w:rPr>
      <w:br/>
      <w:t>programu regionalnego FEO 2021-2027 (…), listopad 2023 r.</w:t>
    </w:r>
  </w:p>
  <w:p w14:paraId="4C560B98" w14:textId="77777777" w:rsidR="002119AC" w:rsidRPr="00A72D08" w:rsidRDefault="002119AC" w:rsidP="00BF3163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AC"/>
    <w:rsid w:val="00066B6F"/>
    <w:rsid w:val="00124696"/>
    <w:rsid w:val="001C278C"/>
    <w:rsid w:val="002119AC"/>
    <w:rsid w:val="002B02F9"/>
    <w:rsid w:val="002B337F"/>
    <w:rsid w:val="00301B54"/>
    <w:rsid w:val="00393474"/>
    <w:rsid w:val="00402143"/>
    <w:rsid w:val="004174E9"/>
    <w:rsid w:val="00487104"/>
    <w:rsid w:val="004F0A8E"/>
    <w:rsid w:val="00501B53"/>
    <w:rsid w:val="00642F6A"/>
    <w:rsid w:val="00677325"/>
    <w:rsid w:val="006A7E8F"/>
    <w:rsid w:val="006C000E"/>
    <w:rsid w:val="006D6C0D"/>
    <w:rsid w:val="00735F97"/>
    <w:rsid w:val="007712DD"/>
    <w:rsid w:val="0089624B"/>
    <w:rsid w:val="008D059B"/>
    <w:rsid w:val="008F38F4"/>
    <w:rsid w:val="009736BD"/>
    <w:rsid w:val="009936E9"/>
    <w:rsid w:val="009A258D"/>
    <w:rsid w:val="00A72D08"/>
    <w:rsid w:val="00A956E1"/>
    <w:rsid w:val="00AA118F"/>
    <w:rsid w:val="00AD29DF"/>
    <w:rsid w:val="00B06981"/>
    <w:rsid w:val="00B32267"/>
    <w:rsid w:val="00B57880"/>
    <w:rsid w:val="00B964CA"/>
    <w:rsid w:val="00BA66C5"/>
    <w:rsid w:val="00BF3163"/>
    <w:rsid w:val="00C47CA3"/>
    <w:rsid w:val="00D507C2"/>
    <w:rsid w:val="00D5499D"/>
    <w:rsid w:val="00DE3D68"/>
    <w:rsid w:val="00DE5AA9"/>
    <w:rsid w:val="00DF1616"/>
    <w:rsid w:val="00DF65CE"/>
    <w:rsid w:val="00DF7344"/>
    <w:rsid w:val="00E370D2"/>
    <w:rsid w:val="00ED18FC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643A7"/>
  <w15:chartTrackingRefBased/>
  <w15:docId w15:val="{C6E0B8DF-B282-4171-A9A6-31BD3F31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AC"/>
  </w:style>
  <w:style w:type="paragraph" w:styleId="Stopka">
    <w:name w:val="footer"/>
    <w:basedOn w:val="Normalny"/>
    <w:link w:val="StopkaZnak"/>
    <w:uiPriority w:val="99"/>
    <w:unhideWhenUsed/>
    <w:rsid w:val="002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AC"/>
  </w:style>
  <w:style w:type="paragraph" w:customStyle="1" w:styleId="Default">
    <w:name w:val="Default"/>
    <w:rsid w:val="001246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06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2215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Katarzyna Trumpus</cp:lastModifiedBy>
  <cp:revision>2</cp:revision>
  <dcterms:created xsi:type="dcterms:W3CDTF">2023-10-31T09:49:00Z</dcterms:created>
  <dcterms:modified xsi:type="dcterms:W3CDTF">2023-10-31T09:49:00Z</dcterms:modified>
</cp:coreProperties>
</file>