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B34F" w14:textId="77777777" w:rsidR="00136D60" w:rsidRPr="00483DA1" w:rsidRDefault="00136D60" w:rsidP="00136D60">
      <w:pPr>
        <w:jc w:val="center"/>
        <w:rPr>
          <w:rFonts w:ascii="Arial" w:eastAsiaTheme="minorEastAsia" w:hAnsi="Arial" w:cs="Arial"/>
          <w:i/>
          <w:color w:val="000099"/>
          <w:sz w:val="18"/>
          <w:szCs w:val="18"/>
          <w:lang w:eastAsia="pl-PL"/>
        </w:rPr>
      </w:pPr>
    </w:p>
    <w:p w14:paraId="4C37BFA1" w14:textId="1A102806" w:rsidR="00136D60" w:rsidRPr="00483DA1" w:rsidRDefault="00421306" w:rsidP="00136D60">
      <w:pPr>
        <w:jc w:val="center"/>
        <w:rPr>
          <w:rFonts w:ascii="Arial" w:eastAsiaTheme="minorEastAsia" w:hAnsi="Arial" w:cs="Arial"/>
          <w:i/>
          <w:color w:val="000099"/>
          <w:sz w:val="18"/>
          <w:szCs w:val="18"/>
          <w:lang w:eastAsia="pl-PL"/>
        </w:rPr>
      </w:pPr>
      <w:r>
        <w:rPr>
          <w:rFonts w:ascii="Times New Roman" w:eastAsia="Times New Roman" w:hAnsi="Times New Roman"/>
          <w:noProof/>
          <w:sz w:val="24"/>
          <w:szCs w:val="24"/>
          <w:lang w:eastAsia="pl-PL"/>
        </w:rPr>
        <w:drawing>
          <wp:inline distT="0" distB="0" distL="0" distR="0" wp14:anchorId="78DC2014" wp14:editId="536BB68E">
            <wp:extent cx="8476461" cy="828675"/>
            <wp:effectExtent l="0" t="0" r="127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4244" cy="832369"/>
                    </a:xfrm>
                    <a:prstGeom prst="rect">
                      <a:avLst/>
                    </a:prstGeom>
                    <a:noFill/>
                    <a:ln>
                      <a:noFill/>
                    </a:ln>
                  </pic:spPr>
                </pic:pic>
              </a:graphicData>
            </a:graphic>
          </wp:inline>
        </w:drawing>
      </w:r>
    </w:p>
    <w:p w14:paraId="77C21649" w14:textId="3B3BB160" w:rsidR="00136D60" w:rsidRPr="00483DA1" w:rsidRDefault="00136D60" w:rsidP="00136D60">
      <w:pPr>
        <w:jc w:val="center"/>
        <w:rPr>
          <w:rFonts w:ascii="Arial" w:eastAsiaTheme="minorEastAsia" w:hAnsi="Arial" w:cs="Arial"/>
          <w:i/>
          <w:color w:val="000099"/>
          <w:sz w:val="18"/>
          <w:szCs w:val="18"/>
          <w:lang w:eastAsia="pl-PL"/>
        </w:rPr>
      </w:pPr>
    </w:p>
    <w:p w14:paraId="05850690" w14:textId="77777777" w:rsidR="00103B1B" w:rsidRDefault="00103B1B" w:rsidP="00FD69C6">
      <w:pPr>
        <w:jc w:val="center"/>
        <w:rPr>
          <w:rFonts w:ascii="Arial" w:eastAsiaTheme="minorEastAsia" w:hAnsi="Arial" w:cs="Arial"/>
          <w:i/>
          <w:color w:val="000099"/>
          <w:sz w:val="36"/>
          <w:szCs w:val="36"/>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06690D85" w14:textId="54A49AF9" w:rsidR="00421306" w:rsidRDefault="00421306" w:rsidP="00421306">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ZAŁĄCZNIK NR 9</w:t>
      </w:r>
    </w:p>
    <w:p w14:paraId="4F068695" w14:textId="77777777" w:rsidR="00421306" w:rsidRDefault="005B09B9" w:rsidP="00421306">
      <w:pPr>
        <w:spacing w:after="0" w:line="360" w:lineRule="auto"/>
        <w:rPr>
          <w:rFonts w:ascii="Calibri" w:eastAsia="Times New Roman" w:hAnsi="Calibri" w:cs="Times New Roman"/>
          <w:b/>
          <w:color w:val="000099"/>
          <w:sz w:val="36"/>
          <w:szCs w:val="36"/>
        </w:rPr>
      </w:pPr>
      <w:r w:rsidRPr="00421306">
        <w:rPr>
          <w:rFonts w:ascii="Calibri" w:eastAsia="Times New Roman" w:hAnsi="Calibri" w:cs="Times New Roman"/>
          <w:b/>
          <w:color w:val="000099"/>
          <w:sz w:val="36"/>
          <w:szCs w:val="36"/>
        </w:rPr>
        <w:t xml:space="preserve">Lista wskaźników na poziomie projektu </w:t>
      </w:r>
    </w:p>
    <w:p w14:paraId="07910092" w14:textId="4865EB07" w:rsidR="005B09B9" w:rsidRPr="00421306" w:rsidRDefault="005B09B9" w:rsidP="00421306">
      <w:pPr>
        <w:spacing w:after="0" w:line="360" w:lineRule="auto"/>
        <w:rPr>
          <w:rFonts w:ascii="Calibri" w:eastAsia="Times New Roman" w:hAnsi="Calibri" w:cs="Times New Roman"/>
          <w:b/>
          <w:color w:val="000099"/>
          <w:sz w:val="36"/>
          <w:szCs w:val="36"/>
        </w:rPr>
      </w:pPr>
      <w:r w:rsidRPr="00421306">
        <w:rPr>
          <w:rFonts w:ascii="Calibri" w:eastAsia="Times New Roman" w:hAnsi="Calibri" w:cs="Times New Roman"/>
          <w:b/>
          <w:color w:val="000099"/>
          <w:sz w:val="36"/>
          <w:szCs w:val="36"/>
        </w:rPr>
        <w:t>dla działania 2.1 Poprawa efektywności energetycznej w województwie opolskim</w:t>
      </w:r>
    </w:p>
    <w:p w14:paraId="334E28F9" w14:textId="77777777" w:rsidR="00136D60" w:rsidRDefault="00136D60" w:rsidP="00421306">
      <w:pPr>
        <w:spacing w:after="0" w:line="360" w:lineRule="auto"/>
        <w:rPr>
          <w:rFonts w:ascii="Calibri" w:eastAsia="Times New Roman" w:hAnsi="Calibri" w:cs="Times New Roman"/>
          <w:b/>
          <w:sz w:val="44"/>
          <w:szCs w:val="44"/>
        </w:rPr>
      </w:pPr>
    </w:p>
    <w:p w14:paraId="326FB9A0" w14:textId="77777777" w:rsidR="00421306" w:rsidRPr="00421306" w:rsidRDefault="00421306" w:rsidP="00421306">
      <w:pPr>
        <w:spacing w:after="0" w:line="360" w:lineRule="auto"/>
        <w:rPr>
          <w:rFonts w:ascii="Calibri" w:eastAsia="Times New Roman" w:hAnsi="Calibri" w:cs="Times New Roman"/>
          <w:b/>
          <w:sz w:val="44"/>
          <w:szCs w:val="44"/>
        </w:rPr>
      </w:pPr>
    </w:p>
    <w:p w14:paraId="76A0830C" w14:textId="77777777" w:rsidR="00421306" w:rsidRPr="00524139" w:rsidRDefault="00421306" w:rsidP="00421306">
      <w:pPr>
        <w:spacing w:after="0" w:line="24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Wersja 1</w:t>
      </w:r>
    </w:p>
    <w:p w14:paraId="06D06703" w14:textId="77777777" w:rsidR="00421306" w:rsidRPr="00524139" w:rsidRDefault="00421306" w:rsidP="00421306">
      <w:pPr>
        <w:spacing w:after="0" w:line="24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 xml:space="preserve">październik </w:t>
      </w:r>
      <w:r w:rsidRPr="00524139">
        <w:rPr>
          <w:rFonts w:ascii="Calibri" w:eastAsia="Times New Roman" w:hAnsi="Calibri" w:cs="Times New Roman"/>
          <w:b/>
          <w:color w:val="000099"/>
          <w:sz w:val="36"/>
          <w:szCs w:val="36"/>
        </w:rPr>
        <w:t>2023 r.</w:t>
      </w:r>
    </w:p>
    <w:p w14:paraId="3DDEB17B" w14:textId="12DC386C" w:rsidR="00136D60" w:rsidRPr="00483DA1" w:rsidRDefault="00136D60" w:rsidP="00421306">
      <w:pPr>
        <w:spacing w:after="0" w:line="360" w:lineRule="auto"/>
        <w:rPr>
          <w:rFonts w:ascii="Arial" w:eastAsiaTheme="minorEastAsia" w:hAnsi="Arial" w:cs="Arial"/>
          <w:sz w:val="18"/>
          <w:szCs w:val="18"/>
          <w:lang w:eastAsia="pl-PL"/>
        </w:rPr>
      </w:pPr>
      <w:r w:rsidRPr="00421306">
        <w:rPr>
          <w:rFonts w:ascii="Calibri" w:eastAsia="Times New Roman" w:hAnsi="Calibri" w:cs="Times New Roman"/>
          <w:b/>
          <w:sz w:val="44"/>
          <w:szCs w:val="44"/>
        </w:rPr>
        <w:br w:type="page"/>
      </w:r>
    </w:p>
    <w:p w14:paraId="31E4A7F6" w14:textId="77777777" w:rsidR="008E7FF7" w:rsidRDefault="008E7FF7" w:rsidP="00E01179">
      <w:pPr>
        <w:spacing w:after="0"/>
        <w:rPr>
          <w:rFonts w:ascii="Arial" w:eastAsiaTheme="minorEastAsia" w:hAnsi="Arial" w:cs="Arial"/>
          <w:sz w:val="18"/>
          <w:szCs w:val="18"/>
          <w:lang w:eastAsia="pl-PL"/>
        </w:rPr>
      </w:pP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276"/>
        <w:gridCol w:w="1276"/>
        <w:gridCol w:w="1417"/>
        <w:gridCol w:w="992"/>
        <w:gridCol w:w="6096"/>
      </w:tblGrid>
      <w:tr w:rsidR="005B09B9" w:rsidRPr="000F4CA9" w14:paraId="034791AC" w14:textId="77777777" w:rsidTr="00CB2ACB">
        <w:trPr>
          <w:trHeight w:hRule="exact" w:val="839"/>
          <w:tblHeader/>
        </w:trPr>
        <w:tc>
          <w:tcPr>
            <w:tcW w:w="552" w:type="dxa"/>
            <w:tcBorders>
              <w:top w:val="single" w:sz="8" w:space="0" w:color="33CC33"/>
              <w:bottom w:val="single" w:sz="12" w:space="0" w:color="33CC33"/>
              <w:right w:val="single" w:sz="12" w:space="0" w:color="33CC33"/>
            </w:tcBorders>
            <w:shd w:val="clear" w:color="auto" w:fill="F2F2F2"/>
            <w:vAlign w:val="center"/>
          </w:tcPr>
          <w:p w14:paraId="1F5BF369"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595D90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0B3281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4152E8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BA6D1C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Typ wskaźnika</w:t>
            </w:r>
          </w:p>
        </w:tc>
        <w:tc>
          <w:tcPr>
            <w:tcW w:w="992"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9CA917C"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Inne uwagi</w:t>
            </w:r>
          </w:p>
        </w:tc>
        <w:tc>
          <w:tcPr>
            <w:tcW w:w="6096" w:type="dxa"/>
            <w:tcBorders>
              <w:top w:val="single" w:sz="8" w:space="0" w:color="33CC33"/>
              <w:left w:val="single" w:sz="12" w:space="0" w:color="33CC33"/>
              <w:bottom w:val="single" w:sz="12" w:space="0" w:color="33CC33"/>
            </w:tcBorders>
            <w:shd w:val="clear" w:color="auto" w:fill="F2F2F2"/>
            <w:vAlign w:val="center"/>
          </w:tcPr>
          <w:p w14:paraId="6B3C4C4A"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Definicja</w:t>
            </w:r>
          </w:p>
        </w:tc>
      </w:tr>
      <w:tr w:rsidR="005B09B9" w:rsidRPr="000F4CA9" w14:paraId="4517CBC9" w14:textId="77777777" w:rsidTr="005B09B9">
        <w:trPr>
          <w:trHeight w:val="364"/>
        </w:trPr>
        <w:tc>
          <w:tcPr>
            <w:tcW w:w="14586" w:type="dxa"/>
            <w:gridSpan w:val="7"/>
            <w:tcBorders>
              <w:top w:val="single" w:sz="12" w:space="0" w:color="33CC33"/>
              <w:bottom w:val="single" w:sz="12" w:space="0" w:color="33CC33"/>
            </w:tcBorders>
            <w:shd w:val="clear" w:color="auto" w:fill="FFFFFF" w:themeFill="background1"/>
          </w:tcPr>
          <w:p w14:paraId="6BAC1E6A" w14:textId="77777777" w:rsidR="005B09B9" w:rsidRPr="000F4CA9" w:rsidRDefault="005B09B9" w:rsidP="005B09B9">
            <w:pPr>
              <w:spacing w:before="80" w:after="80"/>
              <w:rPr>
                <w:rFonts w:cstheme="minorHAnsi"/>
                <w:b/>
                <w:color w:val="000099"/>
                <w:sz w:val="24"/>
                <w:szCs w:val="24"/>
              </w:rPr>
            </w:pPr>
            <w:r w:rsidRPr="000F4CA9">
              <w:rPr>
                <w:rFonts w:cstheme="minorHAnsi"/>
                <w:b/>
                <w:color w:val="000099"/>
                <w:sz w:val="24"/>
                <w:szCs w:val="24"/>
              </w:rPr>
              <w:t>Wskaźniki horyzontalne</w:t>
            </w:r>
          </w:p>
        </w:tc>
      </w:tr>
      <w:tr w:rsidR="005B09B9" w:rsidRPr="000F4CA9" w14:paraId="71792A80" w14:textId="77777777" w:rsidTr="00CB2ACB">
        <w:tc>
          <w:tcPr>
            <w:tcW w:w="552" w:type="dxa"/>
            <w:tcBorders>
              <w:top w:val="single" w:sz="12" w:space="0" w:color="33CC33"/>
            </w:tcBorders>
            <w:shd w:val="clear" w:color="auto" w:fill="FFFFFF" w:themeFill="background1"/>
            <w:vAlign w:val="center"/>
          </w:tcPr>
          <w:p w14:paraId="22BE72B3" w14:textId="1D2D7F83" w:rsidR="005B09B9" w:rsidRPr="002B30FD" w:rsidRDefault="00EA42DB" w:rsidP="005B09B9">
            <w:pPr>
              <w:spacing w:before="80" w:after="80"/>
              <w:rPr>
                <w:rFonts w:cstheme="minorHAnsi"/>
                <w:sz w:val="20"/>
                <w:szCs w:val="20"/>
              </w:rPr>
            </w:pPr>
            <w:r>
              <w:rPr>
                <w:rFonts w:cstheme="minorHAnsi"/>
                <w:sz w:val="20"/>
                <w:szCs w:val="20"/>
              </w:rPr>
              <w:t>1</w:t>
            </w:r>
            <w:r w:rsidR="005B09B9" w:rsidRPr="002B30FD">
              <w:rPr>
                <w:rFonts w:cstheme="minorHAnsi"/>
                <w:sz w:val="20"/>
                <w:szCs w:val="20"/>
              </w:rPr>
              <w:t>.</w:t>
            </w:r>
          </w:p>
        </w:tc>
        <w:tc>
          <w:tcPr>
            <w:tcW w:w="2977" w:type="dxa"/>
            <w:tcBorders>
              <w:top w:val="single" w:sz="12" w:space="0" w:color="33CC33"/>
            </w:tcBorders>
            <w:shd w:val="clear" w:color="auto" w:fill="FFFFFF" w:themeFill="background1"/>
            <w:vAlign w:val="center"/>
          </w:tcPr>
          <w:p w14:paraId="7F430362" w14:textId="77777777" w:rsidR="005B09B9" w:rsidRPr="00EA42DB" w:rsidRDefault="005B09B9" w:rsidP="005B09B9">
            <w:pPr>
              <w:spacing w:before="80" w:after="80"/>
              <w:rPr>
                <w:rFonts w:cstheme="minorHAnsi"/>
                <w:i/>
                <w:sz w:val="20"/>
                <w:szCs w:val="20"/>
              </w:rPr>
            </w:pPr>
            <w:r w:rsidRPr="004F1B44">
              <w:rPr>
                <w:rFonts w:cstheme="minorHAnsi"/>
                <w:i/>
                <w:color w:val="000000"/>
                <w:sz w:val="20"/>
                <w:szCs w:val="20"/>
              </w:rPr>
              <w:t>Liczba obiektów dostosowanych do potrzeb osób z niepełnosprawnościami</w:t>
            </w:r>
          </w:p>
        </w:tc>
        <w:tc>
          <w:tcPr>
            <w:tcW w:w="1276" w:type="dxa"/>
            <w:tcBorders>
              <w:top w:val="single" w:sz="12" w:space="0" w:color="33CC33"/>
            </w:tcBorders>
            <w:shd w:val="clear" w:color="auto" w:fill="FFFFFF" w:themeFill="background1"/>
            <w:vAlign w:val="center"/>
          </w:tcPr>
          <w:p w14:paraId="48E5B5F2"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szt.</w:t>
            </w:r>
          </w:p>
        </w:tc>
        <w:tc>
          <w:tcPr>
            <w:tcW w:w="1276" w:type="dxa"/>
            <w:tcBorders>
              <w:top w:val="single" w:sz="12" w:space="0" w:color="33CC33"/>
            </w:tcBorders>
            <w:shd w:val="clear" w:color="auto" w:fill="FFFFFF" w:themeFill="background1"/>
            <w:vAlign w:val="center"/>
          </w:tcPr>
          <w:p w14:paraId="2F81DBC2"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shd w:val="clear" w:color="auto" w:fill="FFFFFF" w:themeFill="background1"/>
            <w:vAlign w:val="center"/>
          </w:tcPr>
          <w:p w14:paraId="23D868F6"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12" w:space="0" w:color="33CC33"/>
            </w:tcBorders>
            <w:shd w:val="clear" w:color="auto" w:fill="FFFFFF" w:themeFill="background1"/>
            <w:vAlign w:val="center"/>
          </w:tcPr>
          <w:p w14:paraId="403F63C8"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12" w:space="0" w:color="33CC33"/>
            </w:tcBorders>
            <w:shd w:val="clear" w:color="auto" w:fill="FFFFFF" w:themeFill="background1"/>
            <w:vAlign w:val="center"/>
          </w:tcPr>
          <w:p w14:paraId="5AE3D542" w14:textId="77777777" w:rsidR="005B09B9" w:rsidRPr="002B30FD" w:rsidRDefault="005B09B9" w:rsidP="005B09B9">
            <w:pPr>
              <w:tabs>
                <w:tab w:val="left" w:pos="3402"/>
                <w:tab w:val="left" w:pos="5103"/>
              </w:tabs>
              <w:spacing w:before="60" w:after="60"/>
              <w:ind w:left="-6"/>
              <w:jc w:val="both"/>
              <w:rPr>
                <w:rFonts w:eastAsia="Times New Roman" w:cstheme="minorHAnsi"/>
                <w:sz w:val="20"/>
                <w:szCs w:val="20"/>
              </w:rPr>
            </w:pPr>
            <w:r w:rsidRPr="002B30FD">
              <w:rPr>
                <w:rFonts w:cstheme="minorHAnsi"/>
                <w:color w:val="000000"/>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5B09B9" w:rsidRPr="000F4CA9" w14:paraId="529A1F17" w14:textId="77777777" w:rsidTr="00CB2ACB">
        <w:tc>
          <w:tcPr>
            <w:tcW w:w="552" w:type="dxa"/>
            <w:tcBorders>
              <w:top w:val="single" w:sz="12" w:space="0" w:color="33CC33"/>
            </w:tcBorders>
            <w:shd w:val="clear" w:color="auto" w:fill="FFFFFF" w:themeFill="background1"/>
            <w:vAlign w:val="center"/>
          </w:tcPr>
          <w:p w14:paraId="69596CBC" w14:textId="03A2CD72" w:rsidR="005B09B9" w:rsidRPr="005E63FE" w:rsidRDefault="00EA42DB" w:rsidP="005B09B9">
            <w:pPr>
              <w:spacing w:before="80" w:after="80"/>
              <w:rPr>
                <w:rFonts w:cstheme="minorHAnsi"/>
                <w:sz w:val="20"/>
                <w:szCs w:val="20"/>
                <w:highlight w:val="yellow"/>
              </w:rPr>
            </w:pPr>
            <w:r w:rsidRPr="00EA42DB">
              <w:rPr>
                <w:rFonts w:cstheme="minorHAnsi"/>
                <w:sz w:val="20"/>
                <w:szCs w:val="20"/>
              </w:rPr>
              <w:t>2</w:t>
            </w:r>
            <w:r w:rsidR="005B09B9" w:rsidRPr="00EA42DB">
              <w:rPr>
                <w:rFonts w:cstheme="minorHAnsi"/>
                <w:sz w:val="20"/>
                <w:szCs w:val="20"/>
              </w:rPr>
              <w:t>.</w:t>
            </w:r>
          </w:p>
        </w:tc>
        <w:tc>
          <w:tcPr>
            <w:tcW w:w="2977" w:type="dxa"/>
            <w:tcBorders>
              <w:top w:val="single" w:sz="12" w:space="0" w:color="33CC33"/>
            </w:tcBorders>
            <w:shd w:val="clear" w:color="auto" w:fill="FFFFFF" w:themeFill="background1"/>
            <w:vAlign w:val="center"/>
          </w:tcPr>
          <w:p w14:paraId="26AD5A1D" w14:textId="77777777" w:rsidR="005B09B9" w:rsidRPr="00EA42DB" w:rsidRDefault="005B09B9" w:rsidP="005B09B9">
            <w:pPr>
              <w:spacing w:before="80" w:after="80"/>
              <w:rPr>
                <w:rFonts w:cstheme="minorHAnsi"/>
                <w:i/>
                <w:sz w:val="20"/>
                <w:szCs w:val="20"/>
              </w:rPr>
            </w:pPr>
            <w:r w:rsidRPr="004F1B44">
              <w:rPr>
                <w:rFonts w:cstheme="minorHAnsi"/>
                <w:i/>
                <w:color w:val="000000"/>
                <w:sz w:val="20"/>
                <w:szCs w:val="20"/>
              </w:rPr>
              <w:t>Liczba projektów, w których sfinansowano koszty racjonalnych usprawnień dla osób z niepełnosprawnościami</w:t>
            </w:r>
            <w:r w:rsidRPr="00EA42DB">
              <w:rPr>
                <w:rFonts w:cstheme="minorHAnsi"/>
                <w:i/>
                <w:color w:val="000000"/>
                <w:sz w:val="20"/>
                <w:szCs w:val="20"/>
              </w:rPr>
              <w:t xml:space="preserve"> </w:t>
            </w:r>
          </w:p>
        </w:tc>
        <w:tc>
          <w:tcPr>
            <w:tcW w:w="1276" w:type="dxa"/>
            <w:tcBorders>
              <w:top w:val="single" w:sz="12" w:space="0" w:color="33CC33"/>
            </w:tcBorders>
            <w:shd w:val="clear" w:color="auto" w:fill="FFFFFF" w:themeFill="background1"/>
            <w:vAlign w:val="center"/>
          </w:tcPr>
          <w:p w14:paraId="6366E100"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szt.</w:t>
            </w:r>
          </w:p>
        </w:tc>
        <w:tc>
          <w:tcPr>
            <w:tcW w:w="1276" w:type="dxa"/>
            <w:tcBorders>
              <w:top w:val="single" w:sz="12" w:space="0" w:color="33CC33"/>
            </w:tcBorders>
            <w:shd w:val="clear" w:color="auto" w:fill="FFFFFF" w:themeFill="background1"/>
            <w:vAlign w:val="center"/>
          </w:tcPr>
          <w:p w14:paraId="7CD2AE5D"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shd w:val="clear" w:color="auto" w:fill="FFFFFF" w:themeFill="background1"/>
            <w:vAlign w:val="center"/>
          </w:tcPr>
          <w:p w14:paraId="39781F2B"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12" w:space="0" w:color="33CC33"/>
            </w:tcBorders>
            <w:shd w:val="clear" w:color="auto" w:fill="FFFFFF" w:themeFill="background1"/>
            <w:vAlign w:val="center"/>
          </w:tcPr>
          <w:p w14:paraId="5050985A"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12" w:space="0" w:color="33CC33"/>
            </w:tcBorders>
            <w:shd w:val="clear" w:color="auto" w:fill="FFFFFF" w:themeFill="background1"/>
            <w:vAlign w:val="center"/>
          </w:tcPr>
          <w:p w14:paraId="3EF18578" w14:textId="77777777" w:rsidR="005B09B9" w:rsidRPr="002B30FD" w:rsidRDefault="005B09B9" w:rsidP="005B09B9">
            <w:pPr>
              <w:tabs>
                <w:tab w:val="left" w:pos="3402"/>
                <w:tab w:val="left" w:pos="5103"/>
              </w:tabs>
              <w:spacing w:before="60" w:after="60"/>
              <w:ind w:left="-6"/>
              <w:jc w:val="both"/>
              <w:rPr>
                <w:rFonts w:eastAsia="Times New Roman" w:cstheme="minorHAnsi"/>
                <w:sz w:val="20"/>
                <w:szCs w:val="20"/>
              </w:rPr>
            </w:pPr>
            <w:r w:rsidRPr="002B30FD">
              <w:rPr>
                <w:rFonts w:cstheme="minorHAnsi"/>
                <w:color w:val="000000"/>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t>
            </w:r>
            <w:r w:rsidRPr="002B30FD">
              <w:rPr>
                <w:rFonts w:cstheme="minorHAnsi"/>
                <w:color w:val="000000"/>
                <w:sz w:val="20"/>
                <w:szCs w:val="20"/>
              </w:rPr>
              <w:lastRenderedPageBreak/>
              <w:t>wliczone zarówno projekty ogólnodostępne, w których sfinansowano koszty racjonalnych usprawnień, jak i dedykowane (zgodnie z kategoryzacją projektów z  Wytycznych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podstawie:  Wytyczne w zakresie realizacji zasad równościowych  w ramach funduszy unijnych na lata 2021-2027.</w:t>
            </w:r>
          </w:p>
        </w:tc>
      </w:tr>
      <w:tr w:rsidR="005B09B9" w:rsidRPr="000F4CA9" w14:paraId="201923BE" w14:textId="77777777" w:rsidTr="005B09B9">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7DA78EAB" w14:textId="41CD66C3" w:rsidR="005B09B9" w:rsidRPr="000F4CA9" w:rsidRDefault="005B09B9" w:rsidP="005B09B9">
            <w:pPr>
              <w:spacing w:before="80" w:after="80"/>
              <w:rPr>
                <w:rFonts w:cstheme="minorHAnsi"/>
                <w:i/>
                <w:color w:val="000099"/>
                <w:sz w:val="24"/>
                <w:szCs w:val="24"/>
              </w:rPr>
            </w:pPr>
            <w:r>
              <w:rPr>
                <w:rFonts w:cstheme="minorHAnsi"/>
                <w:i/>
                <w:color w:val="000099"/>
                <w:sz w:val="24"/>
                <w:szCs w:val="24"/>
              </w:rPr>
              <w:lastRenderedPageBreak/>
              <w:t>Oś priorytetowa II</w:t>
            </w:r>
            <w:r w:rsidRPr="000F4CA9">
              <w:rPr>
                <w:rFonts w:cstheme="minorHAnsi"/>
                <w:i/>
                <w:color w:val="000099"/>
                <w:sz w:val="24"/>
                <w:szCs w:val="24"/>
              </w:rPr>
              <w:t xml:space="preserve"> </w:t>
            </w:r>
            <w:r>
              <w:rPr>
                <w:rFonts w:cstheme="minorHAnsi"/>
                <w:b/>
                <w:i/>
                <w:color w:val="000099"/>
                <w:sz w:val="24"/>
                <w:szCs w:val="24"/>
              </w:rPr>
              <w:t>Fundusze Europejskie dla czystej energii i ochrony środowiska naturalnego w województwie opolskim</w:t>
            </w:r>
          </w:p>
        </w:tc>
      </w:tr>
      <w:tr w:rsidR="005B09B9" w:rsidRPr="000F4CA9" w14:paraId="7974C606" w14:textId="77777777" w:rsidTr="005B09B9">
        <w:trPr>
          <w:trHeight w:hRule="exact" w:val="567"/>
        </w:trPr>
        <w:tc>
          <w:tcPr>
            <w:tcW w:w="14586" w:type="dxa"/>
            <w:gridSpan w:val="7"/>
            <w:tcBorders>
              <w:top w:val="single" w:sz="12" w:space="0" w:color="33CC33"/>
              <w:bottom w:val="single" w:sz="12" w:space="0" w:color="33CC33"/>
            </w:tcBorders>
            <w:shd w:val="clear" w:color="auto" w:fill="EAF1DD"/>
            <w:vAlign w:val="center"/>
          </w:tcPr>
          <w:p w14:paraId="7F7CFFF8" w14:textId="1DD35A86" w:rsidR="005B09B9" w:rsidRPr="000F4CA9" w:rsidRDefault="005B09B9" w:rsidP="005B09B9">
            <w:pPr>
              <w:spacing w:before="80" w:after="80"/>
              <w:rPr>
                <w:rFonts w:cstheme="minorHAnsi"/>
                <w:i/>
                <w:color w:val="000099"/>
                <w:sz w:val="24"/>
                <w:szCs w:val="24"/>
              </w:rPr>
            </w:pPr>
            <w:r>
              <w:rPr>
                <w:rFonts w:cstheme="minorHAnsi"/>
                <w:i/>
                <w:color w:val="000099"/>
                <w:sz w:val="24"/>
                <w:szCs w:val="24"/>
              </w:rPr>
              <w:t>Działanie 2.1</w:t>
            </w:r>
            <w:r w:rsidRPr="000F4CA9">
              <w:rPr>
                <w:rFonts w:cstheme="minorHAnsi"/>
                <w:i/>
                <w:color w:val="000099"/>
                <w:sz w:val="24"/>
                <w:szCs w:val="24"/>
              </w:rPr>
              <w:t xml:space="preserve">  </w:t>
            </w:r>
            <w:r>
              <w:rPr>
                <w:rFonts w:cstheme="minorHAnsi"/>
                <w:b/>
                <w:i/>
                <w:color w:val="000099"/>
                <w:sz w:val="24"/>
                <w:szCs w:val="24"/>
              </w:rPr>
              <w:t>Poprawa efektywności energetycznej w województwie opolskim</w:t>
            </w:r>
          </w:p>
        </w:tc>
      </w:tr>
      <w:tr w:rsidR="005B09B9" w:rsidRPr="000F4CA9" w14:paraId="472508D5" w14:textId="77777777" w:rsidTr="00CB2ACB">
        <w:trPr>
          <w:trHeight w:val="1041"/>
        </w:trPr>
        <w:tc>
          <w:tcPr>
            <w:tcW w:w="552" w:type="dxa"/>
            <w:tcBorders>
              <w:top w:val="single" w:sz="12" w:space="0" w:color="33CC33"/>
            </w:tcBorders>
            <w:vAlign w:val="center"/>
          </w:tcPr>
          <w:p w14:paraId="0FDDDAFB" w14:textId="77777777" w:rsidR="005B09B9" w:rsidRPr="004F1B44" w:rsidRDefault="005B09B9" w:rsidP="005B09B9">
            <w:pPr>
              <w:spacing w:before="60" w:after="60"/>
              <w:rPr>
                <w:rFonts w:cstheme="minorHAnsi"/>
                <w:sz w:val="20"/>
                <w:szCs w:val="20"/>
              </w:rPr>
            </w:pPr>
            <w:r w:rsidRPr="004F1B44">
              <w:rPr>
                <w:rFonts w:cstheme="minorHAnsi"/>
                <w:sz w:val="20"/>
                <w:szCs w:val="20"/>
              </w:rPr>
              <w:t>1.</w:t>
            </w:r>
          </w:p>
        </w:tc>
        <w:tc>
          <w:tcPr>
            <w:tcW w:w="2977" w:type="dxa"/>
            <w:tcBorders>
              <w:top w:val="single" w:sz="12" w:space="0" w:color="33CC33"/>
            </w:tcBorders>
            <w:vAlign w:val="center"/>
          </w:tcPr>
          <w:p w14:paraId="4D2679F8" w14:textId="54447F64" w:rsidR="005B09B9" w:rsidRPr="004F1B44" w:rsidRDefault="005B09B9" w:rsidP="005B09B9">
            <w:pPr>
              <w:spacing w:before="60" w:after="60"/>
              <w:rPr>
                <w:rFonts w:eastAsia="Times New Roman" w:cstheme="minorHAnsi"/>
                <w:i/>
                <w:color w:val="000000"/>
                <w:sz w:val="20"/>
                <w:szCs w:val="20"/>
              </w:rPr>
            </w:pPr>
            <w:r w:rsidRPr="004F1B44">
              <w:rPr>
                <w:rFonts w:cstheme="minorHAnsi"/>
                <w:i/>
                <w:sz w:val="20"/>
                <w:szCs w:val="20"/>
              </w:rPr>
              <w:t>Budynki publiczne o udoskonalonej charakterystyce energetycznej</w:t>
            </w:r>
          </w:p>
        </w:tc>
        <w:tc>
          <w:tcPr>
            <w:tcW w:w="1276" w:type="dxa"/>
            <w:tcBorders>
              <w:top w:val="single" w:sz="12" w:space="0" w:color="33CC33"/>
            </w:tcBorders>
            <w:vAlign w:val="center"/>
          </w:tcPr>
          <w:p w14:paraId="5821EE11" w14:textId="62D80BBF"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t>
            </w:r>
            <w:r w:rsidRPr="002B30FD">
              <w:rPr>
                <w:rFonts w:cstheme="minorHAnsi"/>
                <w:sz w:val="20"/>
                <w:szCs w:val="20"/>
                <w:vertAlign w:val="superscript"/>
              </w:rPr>
              <w:t>2</w:t>
            </w:r>
          </w:p>
        </w:tc>
        <w:tc>
          <w:tcPr>
            <w:tcW w:w="1276" w:type="dxa"/>
            <w:tcBorders>
              <w:top w:val="single" w:sz="12" w:space="0" w:color="33CC33"/>
            </w:tcBorders>
            <w:vAlign w:val="center"/>
          </w:tcPr>
          <w:p w14:paraId="28B6ED40" w14:textId="15479839"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vAlign w:val="center"/>
          </w:tcPr>
          <w:p w14:paraId="0CB87962" w14:textId="73E64D43" w:rsidR="005B09B9" w:rsidRPr="002B30FD" w:rsidRDefault="00EA42DB" w:rsidP="002B30FD">
            <w:pPr>
              <w:spacing w:before="60" w:after="60"/>
              <w:jc w:val="center"/>
              <w:rPr>
                <w:rFonts w:cstheme="minorHAnsi"/>
                <w:sz w:val="20"/>
                <w:szCs w:val="20"/>
              </w:rPr>
            </w:pPr>
            <w:r>
              <w:rPr>
                <w:rFonts w:cstheme="minorHAnsi"/>
                <w:sz w:val="20"/>
                <w:szCs w:val="20"/>
              </w:rPr>
              <w:t>programowy</w:t>
            </w:r>
          </w:p>
        </w:tc>
        <w:tc>
          <w:tcPr>
            <w:tcW w:w="992" w:type="dxa"/>
            <w:tcBorders>
              <w:top w:val="single" w:sz="12" w:space="0" w:color="33CC33"/>
            </w:tcBorders>
            <w:vAlign w:val="center"/>
          </w:tcPr>
          <w:p w14:paraId="1C1562DF" w14:textId="76A78384"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tcBorders>
              <w:top w:val="single" w:sz="12" w:space="0" w:color="33CC33"/>
            </w:tcBorders>
            <w:vAlign w:val="center"/>
          </w:tcPr>
          <w:p w14:paraId="7B7EB650" w14:textId="136D63BB" w:rsidR="005B09B9" w:rsidRPr="002B30FD" w:rsidRDefault="005B09B9" w:rsidP="005B09B9">
            <w:pPr>
              <w:spacing w:before="60" w:after="60"/>
              <w:jc w:val="both"/>
              <w:rPr>
                <w:rFonts w:cstheme="minorHAnsi"/>
                <w:sz w:val="20"/>
                <w:szCs w:val="20"/>
              </w:rPr>
            </w:pPr>
            <w:r w:rsidRPr="002B30FD">
              <w:rPr>
                <w:rFonts w:cstheme="minorHAnsi"/>
                <w:sz w:val="20"/>
                <w:szCs w:val="20"/>
              </w:rPr>
              <w:t xml:space="preserve">Powierzchnia netto budynków publicznych, które osiągają lepszą charakterystykę energetyczną dzięki otrzymanemu wsparciu. Udoskonaloną charakterystykę energetyczną należy rozumieć jako poprawę klasyfikacji energetycznej budynku publicznego o co najmniej jedną klasę energetyczną i należy ją udokumentować na podstawie świadectw charakterystyki energetycznej. Klasyfikacja energetyczna, o której mowa, jest zgodna z definicją zawartą w krajowym świadectwie charakterystyki energetycznej, zgodnie z dyrektywą 2010/31/UE.   Budynki publiczne definiuje się jako budynki będące własnością instytucji publicznych i budynki będące własnością organizacji non-profit. Organizacja non-profit to osoba prawna zorganizowana i działająca dla zbiorowego, publicznego lub społecznego pożytku, w przeciwieństwie do podmiotu prowadzącego działalność gospodarczą, której celem jest generowanie zysku dla jego właścicieli. Przykłady obejmują budynki administracji publicznej, szkoły, szpitale itp.   Wskaźnik nie obejmuje:   - </w:t>
            </w:r>
            <w:r w:rsidRPr="002B30FD">
              <w:rPr>
                <w:rFonts w:cstheme="minorHAnsi"/>
                <w:sz w:val="20"/>
                <w:szCs w:val="20"/>
              </w:rPr>
              <w:lastRenderedPageBreak/>
              <w:t xml:space="preserve">lokali socjalnych (ponieważ są uwzględniane we wskaźniku </w:t>
            </w:r>
            <w:r w:rsidRPr="002B30FD">
              <w:rPr>
                <w:rFonts w:cstheme="minorHAnsi"/>
                <w:i/>
                <w:sz w:val="20"/>
                <w:szCs w:val="20"/>
              </w:rPr>
              <w:t>RCO18 Lokale mieszkalne o udoskonalonej charakterystyce energetycznej</w:t>
            </w:r>
            <w:r w:rsidRPr="002B30FD">
              <w:rPr>
                <w:rFonts w:cstheme="minorHAnsi"/>
                <w:sz w:val="20"/>
                <w:szCs w:val="20"/>
              </w:rPr>
              <w:t xml:space="preserve">),   - szkół prywatnych lub szpitali prywatnych będących własnością inwestorów prywatnych. Wsparcie dla takich podmiotów prywatnych należy zgłaszać jako wsparcie dla przedsiębiorstw wykorzystując wskaźnik </w:t>
            </w:r>
            <w:r w:rsidRPr="002B30FD">
              <w:rPr>
                <w:rFonts w:cstheme="minorHAnsi"/>
                <w:i/>
                <w:sz w:val="20"/>
                <w:szCs w:val="20"/>
              </w:rPr>
              <w:t>RCO01 Przedsiębiorstwa objęte wsparciem (w tym: mikro, małe, średnie, duże)</w:t>
            </w:r>
            <w:r w:rsidRPr="002B30FD">
              <w:rPr>
                <w:rFonts w:cstheme="minorHAnsi"/>
                <w:sz w:val="20"/>
                <w:szCs w:val="20"/>
              </w:rPr>
              <w:t xml:space="preserve"> itp.</w:t>
            </w:r>
          </w:p>
        </w:tc>
      </w:tr>
      <w:tr w:rsidR="005B09B9" w:rsidRPr="000F4CA9" w14:paraId="13D124DA" w14:textId="77777777" w:rsidTr="00CB2ACB">
        <w:trPr>
          <w:trHeight w:val="1133"/>
        </w:trPr>
        <w:tc>
          <w:tcPr>
            <w:tcW w:w="552" w:type="dxa"/>
            <w:vAlign w:val="center"/>
          </w:tcPr>
          <w:p w14:paraId="72D0B143" w14:textId="77777777" w:rsidR="005B09B9" w:rsidRPr="00EA42DB" w:rsidRDefault="005B09B9" w:rsidP="005B09B9">
            <w:pPr>
              <w:spacing w:before="60" w:after="60"/>
              <w:rPr>
                <w:rFonts w:cstheme="minorHAnsi"/>
                <w:sz w:val="20"/>
                <w:szCs w:val="20"/>
              </w:rPr>
            </w:pPr>
            <w:r w:rsidRPr="00EA42DB">
              <w:rPr>
                <w:rFonts w:cstheme="minorHAnsi"/>
                <w:sz w:val="20"/>
                <w:szCs w:val="20"/>
              </w:rPr>
              <w:lastRenderedPageBreak/>
              <w:t>2.</w:t>
            </w:r>
          </w:p>
        </w:tc>
        <w:tc>
          <w:tcPr>
            <w:tcW w:w="2977" w:type="dxa"/>
            <w:vAlign w:val="center"/>
          </w:tcPr>
          <w:p w14:paraId="4B2D4808" w14:textId="6697AB50" w:rsidR="005B09B9" w:rsidRPr="00EA42DB" w:rsidRDefault="005B09B9" w:rsidP="005B09B9">
            <w:pPr>
              <w:spacing w:before="60" w:after="60"/>
              <w:rPr>
                <w:rFonts w:eastAsia="Times New Roman" w:cstheme="minorHAnsi"/>
                <w:i/>
                <w:sz w:val="20"/>
                <w:szCs w:val="20"/>
              </w:rPr>
            </w:pPr>
            <w:r w:rsidRPr="004F1B44">
              <w:rPr>
                <w:rFonts w:cstheme="minorHAnsi"/>
                <w:i/>
                <w:sz w:val="20"/>
                <w:szCs w:val="20"/>
              </w:rPr>
              <w:t>Liczba zmodernizowanych energetycznie budynków</w:t>
            </w:r>
          </w:p>
        </w:tc>
        <w:tc>
          <w:tcPr>
            <w:tcW w:w="1276" w:type="dxa"/>
            <w:vAlign w:val="center"/>
          </w:tcPr>
          <w:p w14:paraId="23313BF1" w14:textId="6394069C"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szt.</w:t>
            </w:r>
          </w:p>
        </w:tc>
        <w:tc>
          <w:tcPr>
            <w:tcW w:w="1276" w:type="dxa"/>
            <w:vAlign w:val="center"/>
          </w:tcPr>
          <w:p w14:paraId="32D548A5" w14:textId="40CE73C0"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vAlign w:val="center"/>
          </w:tcPr>
          <w:p w14:paraId="3B50AF58" w14:textId="76912BD9" w:rsidR="005B09B9" w:rsidRPr="002B30FD" w:rsidRDefault="00EA42DB" w:rsidP="002B30FD">
            <w:pPr>
              <w:spacing w:before="60" w:after="60"/>
              <w:jc w:val="center"/>
              <w:rPr>
                <w:rFonts w:cstheme="minorHAnsi"/>
                <w:sz w:val="20"/>
                <w:szCs w:val="20"/>
              </w:rPr>
            </w:pPr>
            <w:r>
              <w:rPr>
                <w:rFonts w:cstheme="minorHAnsi"/>
                <w:sz w:val="20"/>
                <w:szCs w:val="20"/>
              </w:rPr>
              <w:t>programowy</w:t>
            </w:r>
          </w:p>
        </w:tc>
        <w:tc>
          <w:tcPr>
            <w:tcW w:w="992" w:type="dxa"/>
            <w:vAlign w:val="center"/>
          </w:tcPr>
          <w:p w14:paraId="21638ECC" w14:textId="410C5E54"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vAlign w:val="center"/>
          </w:tcPr>
          <w:p w14:paraId="128B9C94" w14:textId="77777777" w:rsidR="005B09B9" w:rsidRPr="002B30FD" w:rsidRDefault="005B09B9" w:rsidP="005B09B9">
            <w:pPr>
              <w:jc w:val="both"/>
              <w:rPr>
                <w:rFonts w:cstheme="minorHAnsi"/>
                <w:sz w:val="20"/>
                <w:szCs w:val="20"/>
              </w:rPr>
            </w:pPr>
            <w:r w:rsidRPr="002B30FD">
              <w:rPr>
                <w:rFonts w:cstheme="minorHAnsi"/>
                <w:sz w:val="20"/>
                <w:szCs w:val="20"/>
              </w:rPr>
              <w:t>Wskaźnik mierzy liczbę zmodernizowanych energetycznie budynków w wyniku realizacji projektu. Modernizacja – obejmuje przebudowę, remont oraz rozbudowę budynków w celu dokonania modernizacji urządzeń energetycznych. 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Remont – wykonywanie w istniejącym obiekcie budowlanym robót budowlanych polegających na odtworzeniu stanu pierwotnego, a niestanowiących bieżącej konserwacji, przy czym dopuszcza się stosowanie wyrobów budowlanych innych niż użyto w stanie pierwotnym. Rozbudowa – w budownictwie rodzaj budowy, w wyniku którego powstaje nowa część istniejącego już obiektu budowlanego.</w:t>
            </w:r>
          </w:p>
          <w:p w14:paraId="0369FB0F" w14:textId="11028800" w:rsidR="005B09B9" w:rsidRPr="002B30FD" w:rsidRDefault="005B09B9" w:rsidP="005B09B9">
            <w:pPr>
              <w:spacing w:before="60" w:after="60"/>
              <w:jc w:val="both"/>
              <w:rPr>
                <w:rFonts w:cstheme="minorHAnsi"/>
                <w:sz w:val="20"/>
                <w:szCs w:val="20"/>
              </w:rPr>
            </w:pPr>
            <w:r w:rsidRPr="002B30FD">
              <w:rPr>
                <w:rFonts w:cstheme="minorHAnsi"/>
                <w:sz w:val="20"/>
                <w:szCs w:val="20"/>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B09B9" w:rsidRPr="000F4CA9" w14:paraId="67BC0499" w14:textId="77777777" w:rsidTr="00CB2ACB">
        <w:tc>
          <w:tcPr>
            <w:tcW w:w="552" w:type="dxa"/>
            <w:tcBorders>
              <w:top w:val="single" w:sz="4" w:space="0" w:color="33CC33"/>
              <w:bottom w:val="single" w:sz="4" w:space="0" w:color="33CC33"/>
            </w:tcBorders>
            <w:vAlign w:val="center"/>
          </w:tcPr>
          <w:p w14:paraId="2D1B82DD" w14:textId="7401010A" w:rsidR="005B09B9" w:rsidRPr="002B30FD" w:rsidRDefault="00AE2046" w:rsidP="005B09B9">
            <w:pPr>
              <w:spacing w:before="60" w:after="60"/>
              <w:rPr>
                <w:rFonts w:cstheme="minorHAnsi"/>
                <w:sz w:val="20"/>
                <w:szCs w:val="20"/>
              </w:rPr>
            </w:pPr>
            <w:r>
              <w:rPr>
                <w:rFonts w:cstheme="minorHAnsi"/>
                <w:sz w:val="20"/>
                <w:szCs w:val="20"/>
              </w:rPr>
              <w:t>3</w:t>
            </w:r>
            <w:r w:rsidR="005B09B9" w:rsidRPr="002B30FD">
              <w:rPr>
                <w:rFonts w:cstheme="minorHAnsi"/>
                <w:sz w:val="20"/>
                <w:szCs w:val="20"/>
              </w:rPr>
              <w:t>.</w:t>
            </w:r>
          </w:p>
        </w:tc>
        <w:tc>
          <w:tcPr>
            <w:tcW w:w="2977" w:type="dxa"/>
            <w:tcBorders>
              <w:top w:val="single" w:sz="4" w:space="0" w:color="33CC33"/>
              <w:bottom w:val="single" w:sz="4" w:space="0" w:color="33CC33"/>
            </w:tcBorders>
            <w:vAlign w:val="center"/>
          </w:tcPr>
          <w:p w14:paraId="137819DA" w14:textId="01862731" w:rsidR="005B09B9" w:rsidRPr="004F1B44" w:rsidRDefault="005B09B9" w:rsidP="005B09B9">
            <w:pPr>
              <w:spacing w:before="60" w:after="60"/>
              <w:rPr>
                <w:rFonts w:cstheme="minorHAnsi"/>
                <w:i/>
                <w:color w:val="000000"/>
                <w:sz w:val="20"/>
                <w:szCs w:val="20"/>
              </w:rPr>
            </w:pPr>
            <w:r w:rsidRPr="004F1B44">
              <w:rPr>
                <w:rFonts w:cstheme="minorHAnsi"/>
                <w:i/>
                <w:sz w:val="20"/>
                <w:szCs w:val="20"/>
              </w:rPr>
              <w:t>Liczba zmodernizowanych źródeł ciepła (innych niż indywidualne)</w:t>
            </w:r>
          </w:p>
        </w:tc>
        <w:tc>
          <w:tcPr>
            <w:tcW w:w="1276" w:type="dxa"/>
            <w:tcBorders>
              <w:top w:val="single" w:sz="4" w:space="0" w:color="33CC33"/>
              <w:bottom w:val="single" w:sz="4" w:space="0" w:color="33CC33"/>
            </w:tcBorders>
            <w:vAlign w:val="center"/>
          </w:tcPr>
          <w:p w14:paraId="01847134" w14:textId="129A3010"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szt.</w:t>
            </w:r>
          </w:p>
        </w:tc>
        <w:tc>
          <w:tcPr>
            <w:tcW w:w="1276" w:type="dxa"/>
            <w:tcBorders>
              <w:top w:val="single" w:sz="4" w:space="0" w:color="33CC33"/>
              <w:bottom w:val="single" w:sz="4" w:space="0" w:color="33CC33"/>
            </w:tcBorders>
            <w:vAlign w:val="center"/>
          </w:tcPr>
          <w:p w14:paraId="50F7836C" w14:textId="40327E33"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tcBorders>
              <w:top w:val="single" w:sz="4" w:space="0" w:color="33CC33"/>
              <w:bottom w:val="single" w:sz="4" w:space="0" w:color="33CC33"/>
            </w:tcBorders>
            <w:vAlign w:val="center"/>
          </w:tcPr>
          <w:p w14:paraId="4279B488" w14:textId="6C204C32"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tcBorders>
              <w:top w:val="single" w:sz="4" w:space="0" w:color="33CC33"/>
              <w:bottom w:val="single" w:sz="4" w:space="0" w:color="33CC33"/>
            </w:tcBorders>
            <w:vAlign w:val="center"/>
          </w:tcPr>
          <w:p w14:paraId="520F92BB" w14:textId="2E17FE45"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tcBorders>
              <w:top w:val="single" w:sz="4" w:space="0" w:color="33CC33"/>
              <w:bottom w:val="single" w:sz="4" w:space="0" w:color="33CC33"/>
            </w:tcBorders>
            <w:vAlign w:val="center"/>
          </w:tcPr>
          <w:p w14:paraId="3A7CFB28" w14:textId="7A75A273" w:rsidR="005B09B9" w:rsidRPr="002B30FD" w:rsidRDefault="005B09B9" w:rsidP="00931055">
            <w:pPr>
              <w:spacing w:before="60" w:after="60"/>
              <w:jc w:val="both"/>
              <w:rPr>
                <w:rFonts w:cstheme="minorHAnsi"/>
                <w:sz w:val="20"/>
                <w:szCs w:val="20"/>
              </w:rPr>
            </w:pPr>
            <w:r w:rsidRPr="002B30FD">
              <w:rPr>
                <w:rFonts w:cstheme="minorHAnsi"/>
                <w:sz w:val="20"/>
                <w:szCs w:val="20"/>
              </w:rPr>
              <w:t xml:space="preserve">Liczba  zmodernizowanych lokalnych źródeł ciepła.  Źródło ciepła rozumiane jest jako zespół urządzeń lub instalacji służących do wytwarzania ciepła (spoza systemów ciepłowniczych). Wsparcie dotyczy </w:t>
            </w:r>
            <w:r w:rsidRPr="002B30FD">
              <w:rPr>
                <w:rFonts w:cstheme="minorHAnsi"/>
                <w:sz w:val="20"/>
                <w:szCs w:val="20"/>
              </w:rPr>
              <w:lastRenderedPageBreak/>
              <w:t xml:space="preserve">lokalnych źródeł ciepła, gdzie  produkcja ciepła jest przeznaczona dla budynku publicznego lub wielorodzinnego mieszkalnego, zespołu budynków (np. kompleksu szpitala) lub też osiedla, bądź danej części miejscowości.    Lokalne źródła ciepła stanowią: a) kotłownia lub węzeł cieplny, z których nośnik ciepła jest dostarczany bezpośrednio do instalacji ogrzewania i ciepłej wody w budynku, b) ciepłownia osiedlowa lub grupowy wymiennik ciepła wraz z siecią ciepłowniczą o mocy nominalnej do 11,6 MW, dostarczającej ciepło do budynków. Zakresem wskaźnika nie są objęte  inwestycje dotyczące sieci ciepłowniczych oraz ogrzewania węglowego tj. piece i kotły węglowe. </w:t>
            </w:r>
            <w:r w:rsidR="00931055" w:rsidRPr="002B30FD">
              <w:rPr>
                <w:rFonts w:cstheme="minorHAnsi"/>
                <w:sz w:val="20"/>
                <w:szCs w:val="20"/>
              </w:rPr>
              <w:t>Z</w:t>
            </w:r>
            <w:r w:rsidRPr="002B30FD">
              <w:rPr>
                <w:rFonts w:cstheme="minorHAnsi"/>
                <w:sz w:val="20"/>
                <w:szCs w:val="20"/>
              </w:rPr>
              <w:t>akres wskaźnika nie odnosi się do indywidualnych źródeł ciepła przeznaczonych na potrzeby budynków jednorodzinnych lub indywidualnych lokali mieszkalnych.</w:t>
            </w:r>
          </w:p>
        </w:tc>
      </w:tr>
      <w:tr w:rsidR="005B09B9" w:rsidRPr="000F4CA9" w14:paraId="5D1D58A6" w14:textId="77777777" w:rsidTr="00CB2ACB">
        <w:trPr>
          <w:trHeight w:val="767"/>
        </w:trPr>
        <w:tc>
          <w:tcPr>
            <w:tcW w:w="552" w:type="dxa"/>
            <w:tcBorders>
              <w:top w:val="single" w:sz="4" w:space="0" w:color="33CC33"/>
            </w:tcBorders>
            <w:vAlign w:val="center"/>
          </w:tcPr>
          <w:p w14:paraId="33093DF8" w14:textId="23654272" w:rsidR="005B09B9" w:rsidRPr="002B30FD" w:rsidRDefault="00AE2046" w:rsidP="005B09B9">
            <w:pPr>
              <w:spacing w:before="60" w:after="60"/>
              <w:rPr>
                <w:rFonts w:cstheme="minorHAnsi"/>
                <w:sz w:val="20"/>
                <w:szCs w:val="20"/>
              </w:rPr>
            </w:pPr>
            <w:r>
              <w:rPr>
                <w:rFonts w:cstheme="minorHAnsi"/>
                <w:sz w:val="20"/>
                <w:szCs w:val="20"/>
              </w:rPr>
              <w:lastRenderedPageBreak/>
              <w:t>4</w:t>
            </w:r>
            <w:r w:rsidR="005B09B9" w:rsidRPr="002B30FD">
              <w:rPr>
                <w:rFonts w:cstheme="minorHAnsi"/>
                <w:sz w:val="20"/>
                <w:szCs w:val="20"/>
              </w:rPr>
              <w:t>.</w:t>
            </w:r>
          </w:p>
        </w:tc>
        <w:tc>
          <w:tcPr>
            <w:tcW w:w="2977" w:type="dxa"/>
            <w:tcBorders>
              <w:top w:val="single" w:sz="4" w:space="0" w:color="33CC33"/>
            </w:tcBorders>
            <w:vAlign w:val="center"/>
          </w:tcPr>
          <w:p w14:paraId="049B2B83" w14:textId="4B3589AE" w:rsidR="005B09B9" w:rsidRPr="004F1B44" w:rsidRDefault="005B09B9" w:rsidP="005B09B9">
            <w:pPr>
              <w:spacing w:before="60" w:after="60"/>
              <w:rPr>
                <w:rFonts w:cstheme="minorHAnsi"/>
                <w:i/>
                <w:color w:val="000000"/>
                <w:sz w:val="20"/>
                <w:szCs w:val="20"/>
              </w:rPr>
            </w:pPr>
            <w:r w:rsidRPr="004F1B44">
              <w:rPr>
                <w:rFonts w:cstheme="minorHAnsi"/>
                <w:i/>
                <w:sz w:val="20"/>
                <w:szCs w:val="20"/>
              </w:rPr>
              <w:t>Dodatkowa zdolność́ wytwarzania energii odnawialnej (w tym: energii elektrycznej, energii cieplnej)</w:t>
            </w:r>
          </w:p>
        </w:tc>
        <w:tc>
          <w:tcPr>
            <w:tcW w:w="1276" w:type="dxa"/>
            <w:tcBorders>
              <w:top w:val="single" w:sz="4" w:space="0" w:color="33CC33"/>
            </w:tcBorders>
            <w:vAlign w:val="center"/>
          </w:tcPr>
          <w:p w14:paraId="4FE100F4" w14:textId="5FEFB366"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w:t>
            </w:r>
          </w:p>
        </w:tc>
        <w:tc>
          <w:tcPr>
            <w:tcW w:w="1276" w:type="dxa"/>
            <w:tcBorders>
              <w:top w:val="single" w:sz="4" w:space="0" w:color="33CC33"/>
            </w:tcBorders>
            <w:vAlign w:val="center"/>
          </w:tcPr>
          <w:p w14:paraId="05EE6B9C" w14:textId="09C22C12"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tcBorders>
              <w:top w:val="single" w:sz="4" w:space="0" w:color="33CC33"/>
            </w:tcBorders>
            <w:vAlign w:val="center"/>
          </w:tcPr>
          <w:p w14:paraId="26A2E06B" w14:textId="7921641C"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tcBorders>
              <w:top w:val="single" w:sz="4" w:space="0" w:color="33CC33"/>
            </w:tcBorders>
            <w:vAlign w:val="center"/>
          </w:tcPr>
          <w:p w14:paraId="51882ACF" w14:textId="51F9A4CD" w:rsidR="005B09B9" w:rsidRPr="002B30FD" w:rsidRDefault="00EA42DB" w:rsidP="002B30FD">
            <w:pPr>
              <w:spacing w:before="60" w:after="60"/>
              <w:jc w:val="center"/>
              <w:rPr>
                <w:rFonts w:cstheme="minorHAnsi"/>
                <w:sz w:val="20"/>
                <w:szCs w:val="20"/>
              </w:rPr>
            </w:pPr>
            <w:r>
              <w:rPr>
                <w:rFonts w:cstheme="minorHAnsi"/>
                <w:sz w:val="20"/>
                <w:szCs w:val="20"/>
              </w:rPr>
              <w:t>agregat</w:t>
            </w:r>
          </w:p>
        </w:tc>
        <w:tc>
          <w:tcPr>
            <w:tcW w:w="6096" w:type="dxa"/>
            <w:tcBorders>
              <w:top w:val="single" w:sz="4" w:space="0" w:color="33CC33"/>
            </w:tcBorders>
            <w:vAlign w:val="center"/>
          </w:tcPr>
          <w:p w14:paraId="6FDF1B0B" w14:textId="5B170B1A" w:rsidR="005B09B9" w:rsidRPr="002B30FD" w:rsidRDefault="005B09B9" w:rsidP="005B09B9">
            <w:pPr>
              <w:spacing w:before="60" w:after="60"/>
              <w:jc w:val="both"/>
              <w:rPr>
                <w:rFonts w:cstheme="minorHAnsi"/>
                <w:sz w:val="20"/>
                <w:szCs w:val="20"/>
              </w:rPr>
            </w:pPr>
            <w:r w:rsidRPr="002B30FD">
              <w:rPr>
                <w:rFonts w:cstheme="minorHAnsi"/>
                <w:sz w:val="20"/>
                <w:szCs w:val="20"/>
              </w:rPr>
              <w:t xml:space="preserve">Dodatkowa zdolność produkcyjną  energii ze źródeł odnawialnych  wybudowana lub rozbudowane dzięki wsparciu. Wskaźnik obejmuje również zdolność produkcyjną , która została zbudowana lub rozbudowana i nie została jeszcze podłączona do sieci (jeśli dotyczy) lub nie jest jeszcze w pełni gotowa do wytwarzania energii.   Zdolność wytwarzania rozumiana jest jako „maksymalna moc wytwórcza energii elektrycznej netto”, definiowana przez Eurostat jako „maksymalna moc czynna, która może być dostarczana stale przez ciągle działający zakład w punkcie wyjścia (tj. po pobraniu energii dla potrzeb urządzeń pomocniczych stacji oraz uwzględniając straty w transformatorach uznawanych za integralne ze stacją)”. Energia odnawialna oznacza „energię z odnawialnych źródeł niekopalnych, a mianowicie energię wiatru, energię promieniowania słonecznego (energię słoneczną termiczną i energię fotowoltaiczną) oraz energię geotermalną, energię otoczenia, energię pływów, fal i inną energię oceanów, hydroenergię, biomasę oraz gaz pochodzący z wysypisk śmieci, oczyszczalni ścieków i ze źródeł biologicznych (biogaz)”. (Zob. dyrektywę 2018/2011). </w:t>
            </w:r>
            <w:proofErr w:type="spellStart"/>
            <w:r w:rsidRPr="002B30FD">
              <w:rPr>
                <w:rFonts w:cstheme="minorHAnsi"/>
                <w:sz w:val="20"/>
                <w:szCs w:val="20"/>
              </w:rPr>
              <w:t>Dezagregacja</w:t>
            </w:r>
            <w:proofErr w:type="spellEnd"/>
            <w:r w:rsidRPr="002B30FD">
              <w:rPr>
                <w:rFonts w:cstheme="minorHAnsi"/>
                <w:sz w:val="20"/>
                <w:szCs w:val="20"/>
              </w:rPr>
              <w:t xml:space="preserve"> zdolności wytwarzania energii elektrycznej i cieplnej odnosi się do rodzaju wytwarzanej energii.</w:t>
            </w:r>
          </w:p>
        </w:tc>
      </w:tr>
      <w:tr w:rsidR="005B09B9" w:rsidRPr="000F4CA9" w14:paraId="0C9108A0" w14:textId="77777777" w:rsidTr="00CB2ACB">
        <w:trPr>
          <w:trHeight w:val="1683"/>
        </w:trPr>
        <w:tc>
          <w:tcPr>
            <w:tcW w:w="552" w:type="dxa"/>
            <w:vAlign w:val="center"/>
          </w:tcPr>
          <w:p w14:paraId="49DEC89F" w14:textId="2DC2B5C8" w:rsidR="005B09B9" w:rsidRPr="002B30FD" w:rsidRDefault="00AE2046" w:rsidP="005B09B9">
            <w:pPr>
              <w:spacing w:before="60" w:after="60"/>
              <w:rPr>
                <w:rFonts w:cstheme="minorHAnsi"/>
                <w:sz w:val="20"/>
                <w:szCs w:val="20"/>
              </w:rPr>
            </w:pPr>
            <w:r>
              <w:rPr>
                <w:rFonts w:cstheme="minorHAnsi"/>
                <w:sz w:val="20"/>
                <w:szCs w:val="20"/>
              </w:rPr>
              <w:lastRenderedPageBreak/>
              <w:t>5</w:t>
            </w:r>
            <w:r w:rsidR="005B09B9" w:rsidRPr="002B30FD">
              <w:rPr>
                <w:rFonts w:cstheme="minorHAnsi"/>
                <w:sz w:val="20"/>
                <w:szCs w:val="20"/>
              </w:rPr>
              <w:t>.</w:t>
            </w:r>
          </w:p>
        </w:tc>
        <w:tc>
          <w:tcPr>
            <w:tcW w:w="2977" w:type="dxa"/>
            <w:vAlign w:val="center"/>
          </w:tcPr>
          <w:p w14:paraId="02C36052" w14:textId="604469C3" w:rsidR="005B09B9" w:rsidRPr="004F1B44" w:rsidRDefault="005B09B9" w:rsidP="005B09B9">
            <w:pPr>
              <w:spacing w:before="60" w:after="60"/>
              <w:rPr>
                <w:rFonts w:cstheme="minorHAnsi"/>
                <w:i/>
                <w:color w:val="000000"/>
                <w:sz w:val="20"/>
                <w:szCs w:val="20"/>
              </w:rPr>
            </w:pPr>
            <w:r w:rsidRPr="004F1B44">
              <w:rPr>
                <w:rFonts w:cstheme="minorHAnsi"/>
                <w:i/>
                <w:sz w:val="20"/>
                <w:szCs w:val="20"/>
              </w:rPr>
              <w:t>Dodatkowa zdolność wytwarzania energii elektrycznej ze źródeł OZE</w:t>
            </w:r>
          </w:p>
        </w:tc>
        <w:tc>
          <w:tcPr>
            <w:tcW w:w="1276" w:type="dxa"/>
            <w:vAlign w:val="center"/>
          </w:tcPr>
          <w:p w14:paraId="1C52D420" w14:textId="3B9A4744"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w:t>
            </w:r>
          </w:p>
        </w:tc>
        <w:tc>
          <w:tcPr>
            <w:tcW w:w="1276" w:type="dxa"/>
            <w:vAlign w:val="center"/>
          </w:tcPr>
          <w:p w14:paraId="30A09B28" w14:textId="28ACC4FC"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vAlign w:val="center"/>
          </w:tcPr>
          <w:p w14:paraId="1C6D1B9C" w14:textId="070DC3C1"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vAlign w:val="center"/>
          </w:tcPr>
          <w:p w14:paraId="20C8ED7D" w14:textId="361B6C2D"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vAlign w:val="center"/>
          </w:tcPr>
          <w:p w14:paraId="574BA8A1" w14:textId="5511C281" w:rsidR="005B09B9" w:rsidRPr="002B30FD" w:rsidRDefault="005B09B9" w:rsidP="005B09B9">
            <w:pPr>
              <w:spacing w:before="60" w:after="60"/>
              <w:jc w:val="both"/>
              <w:rPr>
                <w:rFonts w:cstheme="minorHAnsi"/>
                <w:i/>
                <w:color w:val="C00000"/>
                <w:sz w:val="20"/>
                <w:szCs w:val="20"/>
              </w:rPr>
            </w:pPr>
            <w:r w:rsidRPr="002B30FD">
              <w:rPr>
                <w:rFonts w:cstheme="minorHAnsi"/>
                <w:sz w:val="20"/>
                <w:szCs w:val="20"/>
              </w:rPr>
              <w:t xml:space="preserve">Wskaźnik obejmuje dodatkową zdolność produkcyjną energii elektrycznej ze źródeł odnawialnych. Zdolność produkcyjna jest rozumiana jako maksymalna moc zainstalowana.    Zgodnie z dyrektywą 2018/2011 oraz ustawą z dnia 20 lutego 2015 r. o odnawialnych źródłach energii (Dz.U. z 2015 r. poz. 478, z </w:t>
            </w:r>
            <w:proofErr w:type="spellStart"/>
            <w:r w:rsidRPr="002B30FD">
              <w:rPr>
                <w:rFonts w:cstheme="minorHAnsi"/>
                <w:sz w:val="20"/>
                <w:szCs w:val="20"/>
              </w:rPr>
              <w:t>późn</w:t>
            </w:r>
            <w:proofErr w:type="spellEnd"/>
            <w:r w:rsidRPr="002B30FD">
              <w:rPr>
                <w:rFonts w:cstheme="minorHAnsi"/>
                <w:sz w:val="20"/>
                <w:szCs w:val="20"/>
              </w:rPr>
              <w:t xml:space="preserve">. zm.), energia odnawialna oznacza odnawialne, niekopalne źródła energii obejmujące: energię wiatru, energię promieniowania słonecznego, energię </w:t>
            </w:r>
            <w:proofErr w:type="spellStart"/>
            <w:r w:rsidRPr="002B30FD">
              <w:rPr>
                <w:rFonts w:cstheme="minorHAnsi"/>
                <w:sz w:val="20"/>
                <w:szCs w:val="20"/>
              </w:rPr>
              <w:t>aerotermalną</w:t>
            </w:r>
            <w:proofErr w:type="spellEnd"/>
            <w:r w:rsidRPr="002B30FD">
              <w:rPr>
                <w:rFonts w:cstheme="minorHAnsi"/>
                <w:sz w:val="20"/>
                <w:szCs w:val="20"/>
              </w:rPr>
              <w:t xml:space="preserve">, energię geotermalną, energię hydrotermalną, hydroenergię, energię fal, prądów i pływów morskich, energię otrzymywaną z biomasy, biogazu, biogazu rolniczego oraz z </w:t>
            </w:r>
            <w:proofErr w:type="spellStart"/>
            <w:r w:rsidRPr="002B30FD">
              <w:rPr>
                <w:rFonts w:cstheme="minorHAnsi"/>
                <w:sz w:val="20"/>
                <w:szCs w:val="20"/>
              </w:rPr>
              <w:t>biopłynów</w:t>
            </w:r>
            <w:proofErr w:type="spellEnd"/>
            <w:r w:rsidRPr="002B30FD">
              <w:rPr>
                <w:rFonts w:cstheme="minorHAnsi"/>
                <w:sz w:val="20"/>
                <w:szCs w:val="20"/>
              </w:rPr>
              <w:t>.</w:t>
            </w:r>
          </w:p>
        </w:tc>
      </w:tr>
      <w:tr w:rsidR="005B09B9" w:rsidRPr="000F4CA9" w14:paraId="3B096FA0" w14:textId="77777777" w:rsidTr="00CB2ACB">
        <w:tc>
          <w:tcPr>
            <w:tcW w:w="552" w:type="dxa"/>
            <w:vAlign w:val="center"/>
          </w:tcPr>
          <w:p w14:paraId="33049753" w14:textId="0C474D3A" w:rsidR="005B09B9" w:rsidRPr="002B30FD" w:rsidRDefault="00AE2046" w:rsidP="005B09B9">
            <w:pPr>
              <w:spacing w:before="60" w:after="60"/>
              <w:rPr>
                <w:rFonts w:cstheme="minorHAnsi"/>
                <w:sz w:val="20"/>
                <w:szCs w:val="20"/>
              </w:rPr>
            </w:pPr>
            <w:r>
              <w:rPr>
                <w:rFonts w:cstheme="minorHAnsi"/>
                <w:sz w:val="20"/>
                <w:szCs w:val="20"/>
              </w:rPr>
              <w:t>6</w:t>
            </w:r>
            <w:r w:rsidR="005B09B9" w:rsidRPr="002B30FD">
              <w:rPr>
                <w:rFonts w:cstheme="minorHAnsi"/>
                <w:sz w:val="20"/>
                <w:szCs w:val="20"/>
              </w:rPr>
              <w:t>.</w:t>
            </w:r>
          </w:p>
        </w:tc>
        <w:tc>
          <w:tcPr>
            <w:tcW w:w="2977" w:type="dxa"/>
            <w:vAlign w:val="center"/>
          </w:tcPr>
          <w:p w14:paraId="522E23A4" w14:textId="255FA5A2" w:rsidR="005B09B9" w:rsidRPr="004F1B44" w:rsidRDefault="005B09B9" w:rsidP="005B09B9">
            <w:pPr>
              <w:spacing w:before="60" w:after="60"/>
              <w:rPr>
                <w:rFonts w:eastAsia="Times New Roman" w:cstheme="minorHAnsi"/>
                <w:i/>
                <w:sz w:val="20"/>
                <w:szCs w:val="20"/>
              </w:rPr>
            </w:pPr>
            <w:r w:rsidRPr="004F1B44">
              <w:rPr>
                <w:rFonts w:cstheme="minorHAnsi"/>
                <w:i/>
                <w:sz w:val="20"/>
                <w:szCs w:val="20"/>
              </w:rPr>
              <w:t>Dodatkowa zdolność wytwarzania energii cieplnej ze źródeł OZE</w:t>
            </w:r>
          </w:p>
        </w:tc>
        <w:tc>
          <w:tcPr>
            <w:tcW w:w="1276" w:type="dxa"/>
            <w:vAlign w:val="center"/>
          </w:tcPr>
          <w:p w14:paraId="4F1A3846" w14:textId="6161F85D"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w:t>
            </w:r>
          </w:p>
        </w:tc>
        <w:tc>
          <w:tcPr>
            <w:tcW w:w="1276" w:type="dxa"/>
            <w:vAlign w:val="center"/>
          </w:tcPr>
          <w:p w14:paraId="3BEDAC46" w14:textId="0681F0B0"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vAlign w:val="center"/>
          </w:tcPr>
          <w:p w14:paraId="27F6C0EA" w14:textId="41FB4ECD"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vAlign w:val="center"/>
          </w:tcPr>
          <w:p w14:paraId="40538F6C" w14:textId="610AF785"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vAlign w:val="center"/>
          </w:tcPr>
          <w:p w14:paraId="28E38246" w14:textId="7CC69C7A" w:rsidR="005B09B9" w:rsidRPr="002B30FD" w:rsidRDefault="005B09B9" w:rsidP="005B09B9">
            <w:pPr>
              <w:spacing w:before="60" w:after="60"/>
              <w:jc w:val="both"/>
              <w:rPr>
                <w:rFonts w:cstheme="minorHAnsi"/>
                <w:color w:val="C00000"/>
                <w:sz w:val="20"/>
                <w:szCs w:val="20"/>
              </w:rPr>
            </w:pPr>
            <w:r w:rsidRPr="002B30FD">
              <w:rPr>
                <w:rFonts w:cstheme="minorHAnsi"/>
                <w:sz w:val="20"/>
                <w:szCs w:val="20"/>
              </w:rPr>
              <w:t xml:space="preserve">Wskaźnik obejmuje dodatkową zdolność produkcyjną energii cieplnej ze źródeł odnawialnych. Zdolność produkcyjna jest rozumiana jako maksymalna moc zainstalowana. Zgodnie z dyrektywą 2018/2011 oraz ustawą z dnia 20 lutego 2015 r. o odnawialnych źródłach energii (Dz.U. z 2015 r. poz. 478, z </w:t>
            </w:r>
            <w:proofErr w:type="spellStart"/>
            <w:r w:rsidRPr="002B30FD">
              <w:rPr>
                <w:rFonts w:cstheme="minorHAnsi"/>
                <w:sz w:val="20"/>
                <w:szCs w:val="20"/>
              </w:rPr>
              <w:t>późn</w:t>
            </w:r>
            <w:proofErr w:type="spellEnd"/>
            <w:r w:rsidRPr="002B30FD">
              <w:rPr>
                <w:rFonts w:cstheme="minorHAnsi"/>
                <w:sz w:val="20"/>
                <w:szCs w:val="20"/>
              </w:rPr>
              <w:t xml:space="preserve">. zm.), energia odnawialna oznacza odnawialne, niekopalne źródła energii obejmujące: energię wiatru, energię promieniowania słonecznego, energię </w:t>
            </w:r>
            <w:proofErr w:type="spellStart"/>
            <w:r w:rsidRPr="002B30FD">
              <w:rPr>
                <w:rFonts w:cstheme="minorHAnsi"/>
                <w:sz w:val="20"/>
                <w:szCs w:val="20"/>
              </w:rPr>
              <w:t>aerotermalną</w:t>
            </w:r>
            <w:proofErr w:type="spellEnd"/>
            <w:r w:rsidRPr="002B30FD">
              <w:rPr>
                <w:rFonts w:cstheme="minorHAnsi"/>
                <w:sz w:val="20"/>
                <w:szCs w:val="20"/>
              </w:rPr>
              <w:t xml:space="preserve">, energię geotermalną, energię hydrotermalną, hydroenergię, energię fal, prądów i pływów morskich, energię otrzymywaną z biomasy, biogazu, biogazu rolniczego oraz z </w:t>
            </w:r>
            <w:proofErr w:type="spellStart"/>
            <w:r w:rsidRPr="002B30FD">
              <w:rPr>
                <w:rFonts w:cstheme="minorHAnsi"/>
                <w:sz w:val="20"/>
                <w:szCs w:val="20"/>
              </w:rPr>
              <w:t>biopłynów</w:t>
            </w:r>
            <w:proofErr w:type="spellEnd"/>
            <w:r w:rsidRPr="002B30FD">
              <w:rPr>
                <w:rFonts w:cstheme="minorHAnsi"/>
                <w:sz w:val="20"/>
                <w:szCs w:val="20"/>
              </w:rPr>
              <w:t>.</w:t>
            </w:r>
          </w:p>
        </w:tc>
      </w:tr>
      <w:tr w:rsidR="005B09B9" w:rsidRPr="000F4CA9" w14:paraId="1CF1936F" w14:textId="77777777" w:rsidTr="00CB2ACB">
        <w:trPr>
          <w:trHeight w:val="63"/>
        </w:trPr>
        <w:tc>
          <w:tcPr>
            <w:tcW w:w="552" w:type="dxa"/>
            <w:tcBorders>
              <w:top w:val="single" w:sz="8" w:space="0" w:color="33CC33"/>
              <w:bottom w:val="single" w:sz="8" w:space="0" w:color="33CC33"/>
            </w:tcBorders>
            <w:vAlign w:val="center"/>
          </w:tcPr>
          <w:p w14:paraId="4415D23F" w14:textId="64380EF5" w:rsidR="005B09B9" w:rsidRPr="002B30FD" w:rsidRDefault="00AE2046" w:rsidP="005B09B9">
            <w:pPr>
              <w:spacing w:before="60" w:after="60"/>
              <w:rPr>
                <w:rFonts w:cstheme="minorHAnsi"/>
                <w:sz w:val="20"/>
                <w:szCs w:val="20"/>
              </w:rPr>
            </w:pPr>
            <w:r>
              <w:rPr>
                <w:rFonts w:cstheme="minorHAnsi"/>
                <w:sz w:val="20"/>
                <w:szCs w:val="20"/>
              </w:rPr>
              <w:t>7</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142F87C4" w14:textId="25949BA7"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jednostek wytwarzania energii elektrycznej i cieplnej z OZE</w:t>
            </w:r>
          </w:p>
        </w:tc>
        <w:tc>
          <w:tcPr>
            <w:tcW w:w="1276" w:type="dxa"/>
            <w:tcBorders>
              <w:top w:val="single" w:sz="8" w:space="0" w:color="33CC33"/>
              <w:bottom w:val="single" w:sz="8" w:space="0" w:color="33CC33"/>
            </w:tcBorders>
            <w:vAlign w:val="center"/>
          </w:tcPr>
          <w:p w14:paraId="7E782B9D" w14:textId="51241DAC"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632E15D4" w14:textId="71933EAD"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7A084027" w14:textId="38D861F8"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299205B7" w14:textId="18BE0A64" w:rsidR="005B09B9" w:rsidRPr="002B30FD" w:rsidRDefault="00EA42DB" w:rsidP="002B30FD">
            <w:pPr>
              <w:spacing w:before="80" w:after="80"/>
              <w:jc w:val="center"/>
              <w:rPr>
                <w:rFonts w:cstheme="minorHAnsi"/>
                <w:sz w:val="20"/>
                <w:szCs w:val="20"/>
              </w:rPr>
            </w:pPr>
            <w:r>
              <w:rPr>
                <w:rFonts w:cstheme="minorHAnsi"/>
                <w:sz w:val="20"/>
                <w:szCs w:val="20"/>
              </w:rPr>
              <w:t>agregat</w:t>
            </w:r>
          </w:p>
        </w:tc>
        <w:tc>
          <w:tcPr>
            <w:tcW w:w="6096" w:type="dxa"/>
            <w:tcBorders>
              <w:top w:val="single" w:sz="8" w:space="0" w:color="33CC33"/>
              <w:bottom w:val="single" w:sz="8" w:space="0" w:color="33CC33"/>
            </w:tcBorders>
            <w:vAlign w:val="center"/>
          </w:tcPr>
          <w:p w14:paraId="61F20689" w14:textId="25B70BE2"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obejmuje wybudowane i zmodernizowane jednostki służące wytwarzaniu energii elektrycznej i cieplnej ze źródeł odnawialnych. Jednostka wytwarzania energii elektrycznej i cieplnej obejmuje: 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i/lub cieplnej z OZE.</w:t>
            </w:r>
          </w:p>
        </w:tc>
      </w:tr>
      <w:tr w:rsidR="005B09B9" w:rsidRPr="000F4CA9" w14:paraId="2668122F" w14:textId="77777777" w:rsidTr="00CB2ACB">
        <w:trPr>
          <w:trHeight w:val="63"/>
        </w:trPr>
        <w:tc>
          <w:tcPr>
            <w:tcW w:w="552" w:type="dxa"/>
            <w:tcBorders>
              <w:top w:val="single" w:sz="8" w:space="0" w:color="33CC33"/>
              <w:bottom w:val="single" w:sz="8" w:space="0" w:color="33CC33"/>
            </w:tcBorders>
            <w:vAlign w:val="center"/>
          </w:tcPr>
          <w:p w14:paraId="25781DA1" w14:textId="39339F35" w:rsidR="005B09B9" w:rsidRPr="002B30FD" w:rsidRDefault="00AE2046" w:rsidP="005B09B9">
            <w:pPr>
              <w:spacing w:before="60" w:after="60"/>
              <w:rPr>
                <w:rFonts w:cstheme="minorHAnsi"/>
                <w:sz w:val="20"/>
                <w:szCs w:val="20"/>
              </w:rPr>
            </w:pPr>
            <w:r>
              <w:rPr>
                <w:rFonts w:cstheme="minorHAnsi"/>
                <w:sz w:val="20"/>
                <w:szCs w:val="20"/>
              </w:rPr>
              <w:lastRenderedPageBreak/>
              <w:t>8</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0C157ED6" w14:textId="7A4F9E83"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wybudowanych jednostek wytwarzania energii elektrycznej z OZE</w:t>
            </w:r>
          </w:p>
        </w:tc>
        <w:tc>
          <w:tcPr>
            <w:tcW w:w="1276" w:type="dxa"/>
            <w:tcBorders>
              <w:top w:val="single" w:sz="8" w:space="0" w:color="33CC33"/>
              <w:bottom w:val="single" w:sz="8" w:space="0" w:color="33CC33"/>
            </w:tcBorders>
            <w:vAlign w:val="center"/>
          </w:tcPr>
          <w:p w14:paraId="2FAF86F3" w14:textId="5B80F762"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7BD8DC62" w14:textId="7D9F44BD"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498BA013" w14:textId="621CF434"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0C88D824" w14:textId="0BD15E50"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78D88B61" w14:textId="7A1BDA5B"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obejmuje wybudowane, w wyniku realizacji projektu, jednostki służące wytwarzaniu energii elektrycznej  ze źródeł odnawialnych. Definicja jednostki wytwarzania energii elektrycznej taka jak w definicji wskaźnika agregującego: „Liczba jednostek wytwarzania energii elektrycznej i cieplnej z OZE”.</w:t>
            </w:r>
          </w:p>
        </w:tc>
      </w:tr>
      <w:tr w:rsidR="005B09B9" w:rsidRPr="000F4CA9" w14:paraId="723C1077" w14:textId="77777777" w:rsidTr="00CB2ACB">
        <w:trPr>
          <w:trHeight w:val="63"/>
        </w:trPr>
        <w:tc>
          <w:tcPr>
            <w:tcW w:w="552" w:type="dxa"/>
            <w:tcBorders>
              <w:top w:val="single" w:sz="8" w:space="0" w:color="33CC33"/>
              <w:bottom w:val="single" w:sz="8" w:space="0" w:color="33CC33"/>
            </w:tcBorders>
            <w:vAlign w:val="center"/>
          </w:tcPr>
          <w:p w14:paraId="1B3D8197" w14:textId="776BF655" w:rsidR="005B09B9" w:rsidRPr="002B30FD" w:rsidRDefault="00AE2046" w:rsidP="005B09B9">
            <w:pPr>
              <w:spacing w:before="60" w:after="60"/>
              <w:rPr>
                <w:rFonts w:cstheme="minorHAnsi"/>
                <w:sz w:val="20"/>
                <w:szCs w:val="20"/>
              </w:rPr>
            </w:pPr>
            <w:r>
              <w:rPr>
                <w:rFonts w:cstheme="minorHAnsi"/>
                <w:sz w:val="20"/>
                <w:szCs w:val="20"/>
              </w:rPr>
              <w:t>9</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21A14437" w14:textId="1994D736"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zmodernizowanych jednostek wytwarzania energii elektrycznej z OZE</w:t>
            </w:r>
          </w:p>
        </w:tc>
        <w:tc>
          <w:tcPr>
            <w:tcW w:w="1276" w:type="dxa"/>
            <w:tcBorders>
              <w:top w:val="single" w:sz="8" w:space="0" w:color="33CC33"/>
              <w:bottom w:val="single" w:sz="8" w:space="0" w:color="33CC33"/>
            </w:tcBorders>
            <w:vAlign w:val="center"/>
          </w:tcPr>
          <w:p w14:paraId="42C2BAF6" w14:textId="7E10F9B8"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438B460F" w14:textId="6C491681"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510B8D5B" w14:textId="4AF14D12"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433AC914" w14:textId="26268F45"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4140E91F" w14:textId="30531AD7"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obejmuje zmodernizowane, w wyniku realizacji projektu, jednostki służące wytwarzaniu energii elektrycznej  ze źródeł odnawialnych. Modernizacja jednostki musi wiązać się ze zwiększeniem mocy istniejącej instalacji.   Definicja jednostki wytwarzania energii elektrycznej taka jak w definicji wskaźnika agregującego: „Liczba jednostek wytwarzania energii elektrycznej i cieplnej z OZE”.</w:t>
            </w:r>
          </w:p>
        </w:tc>
      </w:tr>
      <w:tr w:rsidR="005B09B9" w:rsidRPr="000F4CA9" w14:paraId="01400D4D" w14:textId="77777777" w:rsidTr="00CB2ACB">
        <w:trPr>
          <w:trHeight w:val="63"/>
        </w:trPr>
        <w:tc>
          <w:tcPr>
            <w:tcW w:w="552" w:type="dxa"/>
            <w:tcBorders>
              <w:top w:val="single" w:sz="8" w:space="0" w:color="33CC33"/>
              <w:bottom w:val="single" w:sz="8" w:space="0" w:color="33CC33"/>
            </w:tcBorders>
            <w:vAlign w:val="center"/>
          </w:tcPr>
          <w:p w14:paraId="3CCE67FF" w14:textId="49131834"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0</w:t>
            </w:r>
            <w:r w:rsidRPr="002B30FD">
              <w:rPr>
                <w:rFonts w:cstheme="minorHAnsi"/>
                <w:sz w:val="20"/>
                <w:szCs w:val="20"/>
              </w:rPr>
              <w:t>.</w:t>
            </w:r>
          </w:p>
        </w:tc>
        <w:tc>
          <w:tcPr>
            <w:tcW w:w="2977" w:type="dxa"/>
            <w:tcBorders>
              <w:top w:val="single" w:sz="8" w:space="0" w:color="33CC33"/>
              <w:bottom w:val="single" w:sz="8" w:space="0" w:color="33CC33"/>
            </w:tcBorders>
            <w:vAlign w:val="center"/>
          </w:tcPr>
          <w:p w14:paraId="55786718" w14:textId="7F397C99"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wybudowanych jednostek wytwarzania energii cieplnej z OZE</w:t>
            </w:r>
          </w:p>
        </w:tc>
        <w:tc>
          <w:tcPr>
            <w:tcW w:w="1276" w:type="dxa"/>
            <w:tcBorders>
              <w:top w:val="single" w:sz="8" w:space="0" w:color="33CC33"/>
              <w:bottom w:val="single" w:sz="8" w:space="0" w:color="33CC33"/>
            </w:tcBorders>
            <w:vAlign w:val="center"/>
          </w:tcPr>
          <w:p w14:paraId="0717EC2C" w14:textId="5B6DF942"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3BCC0F67" w14:textId="25004699"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1E77BDD5" w14:textId="16A12B75"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72BA5EEE" w14:textId="400CF31B"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72D8C665" w14:textId="4BD73736"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obejmuje wybudowane, w wyniku realizacji projektu, jednostki służące wytwarzaniu energii cieplnej  ze źródeł odnawialnych. Definicja jednostki wytwarzania energii cieplnej taka jak w definicji wskaźnika agregującego: „Liczba jednostek wytwarzania energii elektrycznej i cieplnej z OZE”.</w:t>
            </w:r>
          </w:p>
        </w:tc>
      </w:tr>
      <w:tr w:rsidR="005B09B9" w:rsidRPr="000F4CA9" w14:paraId="15ECAE00" w14:textId="77777777" w:rsidTr="00CB2ACB">
        <w:trPr>
          <w:trHeight w:val="63"/>
        </w:trPr>
        <w:tc>
          <w:tcPr>
            <w:tcW w:w="552" w:type="dxa"/>
            <w:tcBorders>
              <w:top w:val="single" w:sz="8" w:space="0" w:color="33CC33"/>
              <w:bottom w:val="single" w:sz="8" w:space="0" w:color="33CC33"/>
            </w:tcBorders>
            <w:vAlign w:val="center"/>
          </w:tcPr>
          <w:p w14:paraId="4183291C" w14:textId="6451511C"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1</w:t>
            </w:r>
            <w:r w:rsidRPr="002B30FD">
              <w:rPr>
                <w:rFonts w:cstheme="minorHAnsi"/>
                <w:sz w:val="20"/>
                <w:szCs w:val="20"/>
              </w:rPr>
              <w:t>.</w:t>
            </w:r>
          </w:p>
        </w:tc>
        <w:tc>
          <w:tcPr>
            <w:tcW w:w="2977" w:type="dxa"/>
            <w:tcBorders>
              <w:top w:val="single" w:sz="8" w:space="0" w:color="33CC33"/>
              <w:bottom w:val="single" w:sz="8" w:space="0" w:color="33CC33"/>
            </w:tcBorders>
            <w:vAlign w:val="center"/>
          </w:tcPr>
          <w:p w14:paraId="5FCCE77E" w14:textId="1A6DFBBF"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zmodernizowanych jednostek wytwarzania energii cieplnej z OZE</w:t>
            </w:r>
          </w:p>
        </w:tc>
        <w:tc>
          <w:tcPr>
            <w:tcW w:w="1276" w:type="dxa"/>
            <w:tcBorders>
              <w:top w:val="single" w:sz="8" w:space="0" w:color="33CC33"/>
              <w:bottom w:val="single" w:sz="8" w:space="0" w:color="33CC33"/>
            </w:tcBorders>
            <w:vAlign w:val="center"/>
          </w:tcPr>
          <w:p w14:paraId="52D9C22F" w14:textId="085F7BCC"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06FB771E" w14:textId="521CF76E"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78157EE8" w14:textId="3C4D2B40"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6BB26F48" w14:textId="77810C7D"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376417AA" w14:textId="2CC91A3D"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obejmuje zmodernizowane, w wyniku realizacji projektu, jednostki służące wytwarzaniu energii cieplnej ze źródeł odnawialnych. Modernizacja jednostki musi wiązać się ze zwiększeniem mocy istniejącej instalacji.   Definicja jednostki wytwarzania energii cieplnej taka jak w definicji wskaźnika agregującego: „Liczba jednostek wytwarzania energii elektrycznej i cieplnej z OZE”.</w:t>
            </w:r>
          </w:p>
        </w:tc>
      </w:tr>
      <w:tr w:rsidR="005B09B9" w:rsidRPr="000F4CA9" w14:paraId="068E511A" w14:textId="77777777" w:rsidTr="00CB2ACB">
        <w:trPr>
          <w:trHeight w:val="63"/>
        </w:trPr>
        <w:tc>
          <w:tcPr>
            <w:tcW w:w="552" w:type="dxa"/>
            <w:tcBorders>
              <w:top w:val="single" w:sz="8" w:space="0" w:color="33CC33"/>
              <w:bottom w:val="single" w:sz="8" w:space="0" w:color="33CC33"/>
            </w:tcBorders>
            <w:vAlign w:val="center"/>
          </w:tcPr>
          <w:p w14:paraId="627F7C43" w14:textId="3749D01F"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2</w:t>
            </w:r>
            <w:r w:rsidRPr="002B30FD">
              <w:rPr>
                <w:rFonts w:cstheme="minorHAnsi"/>
                <w:sz w:val="20"/>
                <w:szCs w:val="20"/>
              </w:rPr>
              <w:t>.</w:t>
            </w:r>
          </w:p>
        </w:tc>
        <w:tc>
          <w:tcPr>
            <w:tcW w:w="2977" w:type="dxa"/>
            <w:tcBorders>
              <w:top w:val="single" w:sz="8" w:space="0" w:color="33CC33"/>
              <w:bottom w:val="single" w:sz="8" w:space="0" w:color="33CC33"/>
            </w:tcBorders>
            <w:vAlign w:val="center"/>
          </w:tcPr>
          <w:p w14:paraId="4FCF0994" w14:textId="3A004F55"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Roczne zużycie energii pierwotnej (w tym: w lokalach mieszkalnych, budynkach publicznych, przedsiębiorstwach, innych)</w:t>
            </w:r>
          </w:p>
        </w:tc>
        <w:tc>
          <w:tcPr>
            <w:tcW w:w="1276" w:type="dxa"/>
            <w:tcBorders>
              <w:top w:val="single" w:sz="8" w:space="0" w:color="33CC33"/>
              <w:bottom w:val="single" w:sz="8" w:space="0" w:color="33CC33"/>
            </w:tcBorders>
            <w:vAlign w:val="center"/>
          </w:tcPr>
          <w:p w14:paraId="54AF5A8A" w14:textId="38F03A0F"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66314FEC" w14:textId="72F0248B"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0CD4113D" w14:textId="544F23C8" w:rsidR="005B09B9" w:rsidRPr="002B30FD" w:rsidRDefault="00EA42DB" w:rsidP="002B30FD">
            <w:pPr>
              <w:spacing w:before="80" w:after="80"/>
              <w:jc w:val="center"/>
              <w:rPr>
                <w:rFonts w:cstheme="minorHAnsi"/>
                <w:sz w:val="20"/>
                <w:szCs w:val="20"/>
              </w:rPr>
            </w:pPr>
            <w:r>
              <w:rPr>
                <w:rFonts w:cstheme="minorHAnsi"/>
                <w:sz w:val="20"/>
                <w:szCs w:val="20"/>
              </w:rPr>
              <w:t>programowy</w:t>
            </w:r>
          </w:p>
        </w:tc>
        <w:tc>
          <w:tcPr>
            <w:tcW w:w="992" w:type="dxa"/>
            <w:tcBorders>
              <w:top w:val="single" w:sz="8" w:space="0" w:color="33CC33"/>
              <w:bottom w:val="single" w:sz="8" w:space="0" w:color="33CC33"/>
            </w:tcBorders>
            <w:vAlign w:val="center"/>
          </w:tcPr>
          <w:p w14:paraId="3EA61858" w14:textId="5DD0F1D0"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0500B0E1" w14:textId="33D9B1CD"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Całkowite roczne zużycie energii pierwotnej podmiotów objętych wsparciem. Wartość bazowa odnosi się do rocznego zużycia energii pierwotnej przed interwencją, a osiągnięta wartość odnosi się do rocznego zużycia energii pierwotnej rok po interwencji. W przypadku budynków obie wartości należy udokumentować na podstawie świadectw charakterystyki energetycznej, zgodnie z dyrektywą 2010/31/UE. W przypadku procesów w przedsiębiorstwach roczne </w:t>
            </w:r>
            <w:r w:rsidRPr="002B30FD">
              <w:rPr>
                <w:rFonts w:cstheme="minorHAnsi"/>
                <w:sz w:val="20"/>
                <w:szCs w:val="20"/>
              </w:rPr>
              <w:lastRenderedPageBreak/>
              <w:t>zużycie energii pierwotnej należy udokumentować na podstawie audytów energetycznych lub innych odpowiednich specyfikacji technicznych.  Budynki publiczne definiuje się jako budynki będące własnością instytucji publicznych i budynki będące własnością organizacji non-profit, pod warunkiem że takie instytucje realizują w budynku objętym projektem cele leżące w interesie ogólnym, takie jak edukacja, zdrowie, środowisko i transport. Przykłady obejmują budynki administracji publicznej, szkoły, szpitale itp.</w:t>
            </w:r>
          </w:p>
        </w:tc>
      </w:tr>
      <w:tr w:rsidR="005B09B9" w:rsidRPr="000F4CA9" w14:paraId="64786A51" w14:textId="77777777" w:rsidTr="00CB2ACB">
        <w:trPr>
          <w:trHeight w:val="63"/>
        </w:trPr>
        <w:tc>
          <w:tcPr>
            <w:tcW w:w="552" w:type="dxa"/>
            <w:tcBorders>
              <w:top w:val="single" w:sz="8" w:space="0" w:color="33CC33"/>
              <w:bottom w:val="single" w:sz="8" w:space="0" w:color="33CC33"/>
            </w:tcBorders>
            <w:vAlign w:val="center"/>
          </w:tcPr>
          <w:p w14:paraId="1EF0C533" w14:textId="1D54D1F4" w:rsidR="005B09B9" w:rsidRPr="00EA42DB" w:rsidRDefault="00D862AA" w:rsidP="005B09B9">
            <w:pPr>
              <w:spacing w:before="60" w:after="60"/>
              <w:rPr>
                <w:rFonts w:cstheme="minorHAnsi"/>
                <w:sz w:val="20"/>
                <w:szCs w:val="20"/>
              </w:rPr>
            </w:pPr>
            <w:r w:rsidRPr="00EA42DB">
              <w:rPr>
                <w:rFonts w:cstheme="minorHAnsi"/>
                <w:sz w:val="20"/>
                <w:szCs w:val="20"/>
              </w:rPr>
              <w:lastRenderedPageBreak/>
              <w:t>1</w:t>
            </w:r>
            <w:r w:rsidR="00AE2046">
              <w:rPr>
                <w:rFonts w:cstheme="minorHAnsi"/>
                <w:sz w:val="20"/>
                <w:szCs w:val="20"/>
              </w:rPr>
              <w:t>3</w:t>
            </w:r>
            <w:r w:rsidRPr="00EA42DB">
              <w:rPr>
                <w:rFonts w:cstheme="minorHAnsi"/>
                <w:sz w:val="20"/>
                <w:szCs w:val="20"/>
              </w:rPr>
              <w:t>.</w:t>
            </w:r>
          </w:p>
        </w:tc>
        <w:tc>
          <w:tcPr>
            <w:tcW w:w="2977" w:type="dxa"/>
            <w:tcBorders>
              <w:top w:val="single" w:sz="8" w:space="0" w:color="33CC33"/>
              <w:bottom w:val="single" w:sz="8" w:space="0" w:color="33CC33"/>
            </w:tcBorders>
            <w:vAlign w:val="center"/>
          </w:tcPr>
          <w:p w14:paraId="15CA028E" w14:textId="4186CBE8"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Szacowana emisja gazów cieplarnianych</w:t>
            </w:r>
          </w:p>
        </w:tc>
        <w:tc>
          <w:tcPr>
            <w:tcW w:w="1276" w:type="dxa"/>
            <w:tcBorders>
              <w:top w:val="single" w:sz="8" w:space="0" w:color="33CC33"/>
              <w:bottom w:val="single" w:sz="8" w:space="0" w:color="33CC33"/>
            </w:tcBorders>
            <w:vAlign w:val="center"/>
          </w:tcPr>
          <w:p w14:paraId="01D0D0F0" w14:textId="6B49533A" w:rsidR="005B09B9" w:rsidRPr="002B30FD" w:rsidRDefault="005B09B9" w:rsidP="002B30FD">
            <w:pPr>
              <w:spacing w:before="60" w:after="60"/>
              <w:jc w:val="center"/>
              <w:rPr>
                <w:rFonts w:cstheme="minorHAnsi"/>
                <w:sz w:val="20"/>
                <w:szCs w:val="20"/>
              </w:rPr>
            </w:pPr>
            <w:r w:rsidRPr="002B30FD">
              <w:rPr>
                <w:rFonts w:cstheme="minorHAnsi"/>
                <w:sz w:val="20"/>
                <w:szCs w:val="20"/>
              </w:rPr>
              <w:t>tony równoważnika CO2/rok</w:t>
            </w:r>
          </w:p>
        </w:tc>
        <w:tc>
          <w:tcPr>
            <w:tcW w:w="1276" w:type="dxa"/>
            <w:tcBorders>
              <w:top w:val="single" w:sz="8" w:space="0" w:color="33CC33"/>
              <w:bottom w:val="single" w:sz="8" w:space="0" w:color="33CC33"/>
            </w:tcBorders>
            <w:vAlign w:val="center"/>
          </w:tcPr>
          <w:p w14:paraId="42EC4860" w14:textId="770AD100"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7DA165C3" w14:textId="11DEF2C9" w:rsidR="005B09B9" w:rsidRPr="002B30FD" w:rsidRDefault="00EA42DB" w:rsidP="002B30FD">
            <w:pPr>
              <w:spacing w:before="80" w:after="80"/>
              <w:jc w:val="center"/>
              <w:rPr>
                <w:rFonts w:cstheme="minorHAnsi"/>
                <w:sz w:val="20"/>
                <w:szCs w:val="20"/>
              </w:rPr>
            </w:pPr>
            <w:r>
              <w:rPr>
                <w:rFonts w:cstheme="minorHAnsi"/>
                <w:sz w:val="20"/>
                <w:szCs w:val="20"/>
              </w:rPr>
              <w:t>programowy</w:t>
            </w:r>
          </w:p>
        </w:tc>
        <w:tc>
          <w:tcPr>
            <w:tcW w:w="992" w:type="dxa"/>
            <w:tcBorders>
              <w:top w:val="single" w:sz="8" w:space="0" w:color="33CC33"/>
              <w:bottom w:val="single" w:sz="8" w:space="0" w:color="33CC33"/>
            </w:tcBorders>
            <w:vAlign w:val="center"/>
          </w:tcPr>
          <w:p w14:paraId="33C9E759" w14:textId="4095AA42"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63BCFE66" w14:textId="48B17507"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Całkowita szacowana emisja gazów cieplarnianych podmiotów lub procesów objętych wsparciem.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w roku następującym po zakończeniu interwencji.   Wskaźnika tego nie stosuje się w operacjach wykorzystujących wskaźniki </w:t>
            </w:r>
            <w:r w:rsidRPr="002B30FD">
              <w:rPr>
                <w:rFonts w:cstheme="minorHAnsi"/>
                <w:i/>
                <w:sz w:val="20"/>
                <w:szCs w:val="20"/>
              </w:rPr>
              <w:t>RCR105 Szacowana emisja gazów cieplarnianych z kotłów przekształconych na zasilanie gazem</w:t>
            </w:r>
            <w:r w:rsidRPr="002B30FD">
              <w:rPr>
                <w:rFonts w:cstheme="minorHAnsi"/>
                <w:sz w:val="20"/>
                <w:szCs w:val="20"/>
              </w:rPr>
              <w:t xml:space="preserve"> lub </w:t>
            </w:r>
            <w:r w:rsidRPr="002B30FD">
              <w:rPr>
                <w:rFonts w:cstheme="minorHAnsi"/>
                <w:i/>
                <w:sz w:val="20"/>
                <w:szCs w:val="20"/>
              </w:rPr>
              <w:t>RCR29a FST: Szacowana emisja gazów cieplarnianych w przedsiębiorstwach</w:t>
            </w:r>
            <w:r w:rsidRPr="002B30FD">
              <w:rPr>
                <w:rFonts w:cstheme="minorHAnsi"/>
                <w:sz w:val="20"/>
                <w:szCs w:val="20"/>
              </w:rPr>
              <w:t xml:space="preserve"> (dyr. 2003/87/WE)”, aby uniknąć konieczności stosowania dwóch wskaźników emisji gazów cieplarnianych w odniesieniu do operacji objętych wsparciem.</w:t>
            </w:r>
          </w:p>
        </w:tc>
      </w:tr>
      <w:tr w:rsidR="005B09B9" w:rsidRPr="000F4CA9" w14:paraId="4BA9BC08" w14:textId="77777777" w:rsidTr="00CB2ACB">
        <w:trPr>
          <w:trHeight w:val="63"/>
        </w:trPr>
        <w:tc>
          <w:tcPr>
            <w:tcW w:w="552" w:type="dxa"/>
            <w:tcBorders>
              <w:top w:val="single" w:sz="8" w:space="0" w:color="33CC33"/>
              <w:bottom w:val="single" w:sz="8" w:space="0" w:color="33CC33"/>
            </w:tcBorders>
            <w:vAlign w:val="center"/>
          </w:tcPr>
          <w:p w14:paraId="37C802AE" w14:textId="616158A7"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4</w:t>
            </w:r>
            <w:r w:rsidRPr="002B30FD">
              <w:rPr>
                <w:rFonts w:cstheme="minorHAnsi"/>
                <w:sz w:val="20"/>
                <w:szCs w:val="20"/>
              </w:rPr>
              <w:t>.</w:t>
            </w:r>
          </w:p>
        </w:tc>
        <w:tc>
          <w:tcPr>
            <w:tcW w:w="2977" w:type="dxa"/>
            <w:tcBorders>
              <w:top w:val="single" w:sz="8" w:space="0" w:color="33CC33"/>
              <w:bottom w:val="single" w:sz="8" w:space="0" w:color="33CC33"/>
            </w:tcBorders>
            <w:vAlign w:val="center"/>
          </w:tcPr>
          <w:p w14:paraId="0F1B9179" w14:textId="5AE35938"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zaoszczędzonej energii elektrycznej i cieplnej</w:t>
            </w:r>
          </w:p>
        </w:tc>
        <w:tc>
          <w:tcPr>
            <w:tcW w:w="1276" w:type="dxa"/>
            <w:tcBorders>
              <w:top w:val="single" w:sz="8" w:space="0" w:color="33CC33"/>
              <w:bottom w:val="single" w:sz="8" w:space="0" w:color="33CC33"/>
            </w:tcBorders>
            <w:vAlign w:val="center"/>
          </w:tcPr>
          <w:p w14:paraId="2FA894A4" w14:textId="5EE2A4B7"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715B2E91" w14:textId="37D5E57C"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2166C75" w14:textId="23D19A32"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414BA10A" w14:textId="418E5063" w:rsidR="005B09B9" w:rsidRPr="002B30FD" w:rsidRDefault="00EA42DB" w:rsidP="002B30FD">
            <w:pPr>
              <w:spacing w:before="80" w:after="80"/>
              <w:jc w:val="center"/>
              <w:rPr>
                <w:rFonts w:cstheme="minorHAnsi"/>
                <w:sz w:val="20"/>
                <w:szCs w:val="20"/>
              </w:rPr>
            </w:pPr>
            <w:r>
              <w:rPr>
                <w:rFonts w:cstheme="minorHAnsi"/>
                <w:sz w:val="20"/>
                <w:szCs w:val="20"/>
              </w:rPr>
              <w:t>agregat</w:t>
            </w:r>
          </w:p>
        </w:tc>
        <w:tc>
          <w:tcPr>
            <w:tcW w:w="6096" w:type="dxa"/>
            <w:tcBorders>
              <w:top w:val="single" w:sz="8" w:space="0" w:color="33CC33"/>
              <w:bottom w:val="single" w:sz="8" w:space="0" w:color="33CC33"/>
            </w:tcBorders>
            <w:vAlign w:val="center"/>
          </w:tcPr>
          <w:p w14:paraId="0D6DE2FD" w14:textId="34EB3D6A"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Ilość zaoszczędzonej w wyniku realizacji projektu energii elektrycznej i cieplnej w ciągu pełnego roku po zakończeniu projektu w stosunku do roku bazowego.    Wskaźnik odnosi się do energii końcowej. Sposób pomiaru: W przypadku przedsiębiorstw produkcyjnych: różnica między rocznym zużyciem energii elektrycznej i/lub cieplnej w roku bazowym w stosunku do rocznego zużycia energii elektrycznej i/lub cieplnej po zakończeniu projektu, skorygowana w przypadku zmiany wielkości produkcji.    W przypadku modernizacji energetycznej budynków: różnica między rocznym zużyciem energii elektrycznej i/lub cieplnej w roku </w:t>
            </w:r>
            <w:r w:rsidRPr="002B30FD">
              <w:rPr>
                <w:rFonts w:cstheme="minorHAnsi"/>
                <w:sz w:val="20"/>
                <w:szCs w:val="20"/>
              </w:rPr>
              <w:lastRenderedPageBreak/>
              <w:t>bazowym w stosunku do rocznego zużycia energii elektrycznej po zakończeniu projektu.</w:t>
            </w:r>
          </w:p>
        </w:tc>
      </w:tr>
      <w:tr w:rsidR="005B09B9" w:rsidRPr="000F4CA9" w14:paraId="40C004DB" w14:textId="77777777" w:rsidTr="00CB2ACB">
        <w:trPr>
          <w:trHeight w:val="63"/>
        </w:trPr>
        <w:tc>
          <w:tcPr>
            <w:tcW w:w="552" w:type="dxa"/>
            <w:tcBorders>
              <w:top w:val="single" w:sz="8" w:space="0" w:color="33CC33"/>
              <w:bottom w:val="single" w:sz="8" w:space="0" w:color="33CC33"/>
            </w:tcBorders>
            <w:vAlign w:val="center"/>
          </w:tcPr>
          <w:p w14:paraId="5AA1D8A7" w14:textId="3DAE23F7" w:rsidR="005B09B9" w:rsidRPr="002B30FD" w:rsidRDefault="00AE2046" w:rsidP="005B09B9">
            <w:pPr>
              <w:spacing w:before="60" w:after="60"/>
              <w:rPr>
                <w:rFonts w:cstheme="minorHAnsi"/>
                <w:sz w:val="20"/>
                <w:szCs w:val="20"/>
              </w:rPr>
            </w:pPr>
            <w:r>
              <w:rPr>
                <w:rFonts w:cstheme="minorHAnsi"/>
                <w:sz w:val="20"/>
                <w:szCs w:val="20"/>
              </w:rPr>
              <w:lastRenderedPageBreak/>
              <w:t>15</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0E0173A2" w14:textId="3F9FE3A0"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zaoszczędzonej energii elektrycznej</w:t>
            </w:r>
          </w:p>
        </w:tc>
        <w:tc>
          <w:tcPr>
            <w:tcW w:w="1276" w:type="dxa"/>
            <w:tcBorders>
              <w:top w:val="single" w:sz="8" w:space="0" w:color="33CC33"/>
              <w:bottom w:val="single" w:sz="8" w:space="0" w:color="33CC33"/>
            </w:tcBorders>
            <w:vAlign w:val="center"/>
          </w:tcPr>
          <w:p w14:paraId="68BDD615" w14:textId="73EC3BFA"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55CAC15D" w14:textId="48C5D144"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E68EF8A" w14:textId="67FA09D3"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7ABA6A67" w14:textId="7E57C19C"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5C90F97C" w14:textId="07AB7556"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Ilość zaoszczędzonej w wyniku realizacji projektu energii elektrycznej i cieplnej w ciągu pełnego roku po zakończeniu projektu w stosunku do roku bazowego.    Wskaźnik odnosi się do energii końcowej. Sposób pomiaru: W przypadku przedsiębiorstw produkcyjnych: różnica między rocznym zużyciem energii elektrycznej i/lub cieplnej w roku bazowym w stosunku do rocznego zużycia energii elektrycznej i/lub cieplnej po zakończeniu projektu, skorygowana w przypadku zmiany wielkości produkcji.    W przypadku modernizacji energetycznej budynków: różnica między rocznym zużyciem energii elektrycznej i/lub cieplnej w roku bazowym w stosunku do rocznego zużycia energii elektrycznej po zakończeniu projektu.</w:t>
            </w:r>
          </w:p>
        </w:tc>
      </w:tr>
      <w:tr w:rsidR="005B09B9" w:rsidRPr="000F4CA9" w14:paraId="0237B418" w14:textId="77777777" w:rsidTr="00CB2ACB">
        <w:trPr>
          <w:trHeight w:val="63"/>
        </w:trPr>
        <w:tc>
          <w:tcPr>
            <w:tcW w:w="552" w:type="dxa"/>
            <w:tcBorders>
              <w:top w:val="single" w:sz="8" w:space="0" w:color="33CC33"/>
              <w:bottom w:val="single" w:sz="8" w:space="0" w:color="33CC33"/>
            </w:tcBorders>
            <w:vAlign w:val="center"/>
          </w:tcPr>
          <w:p w14:paraId="2596953C" w14:textId="6D020046" w:rsidR="005B09B9" w:rsidRPr="002B30FD" w:rsidRDefault="00AE2046" w:rsidP="005B09B9">
            <w:pPr>
              <w:spacing w:before="60" w:after="60"/>
              <w:rPr>
                <w:rFonts w:cstheme="minorHAnsi"/>
                <w:sz w:val="20"/>
                <w:szCs w:val="20"/>
              </w:rPr>
            </w:pPr>
            <w:r>
              <w:rPr>
                <w:rFonts w:cstheme="minorHAnsi"/>
                <w:sz w:val="20"/>
                <w:szCs w:val="20"/>
              </w:rPr>
              <w:t>16</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1CE7D3B3" w14:textId="57C11ADD"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zaoszczędzonej energii cieplnej</w:t>
            </w:r>
          </w:p>
        </w:tc>
        <w:tc>
          <w:tcPr>
            <w:tcW w:w="1276" w:type="dxa"/>
            <w:tcBorders>
              <w:top w:val="single" w:sz="8" w:space="0" w:color="33CC33"/>
              <w:bottom w:val="single" w:sz="8" w:space="0" w:color="33CC33"/>
            </w:tcBorders>
            <w:vAlign w:val="center"/>
          </w:tcPr>
          <w:p w14:paraId="04B136A6" w14:textId="26307A16"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1D8A2FC3" w14:textId="2CC863C0"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956FAD2" w14:textId="1EA79AB6"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78E11FDB" w14:textId="1EE7096B"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2061046C" w14:textId="77777777" w:rsidR="005B09B9" w:rsidRPr="002B30FD" w:rsidRDefault="005B09B9" w:rsidP="005B09B9">
            <w:pPr>
              <w:jc w:val="both"/>
              <w:rPr>
                <w:rFonts w:cstheme="minorHAnsi"/>
                <w:sz w:val="20"/>
                <w:szCs w:val="20"/>
              </w:rPr>
            </w:pPr>
            <w:r w:rsidRPr="002B30FD">
              <w:rPr>
                <w:rFonts w:cstheme="minorHAnsi"/>
                <w:sz w:val="20"/>
                <w:szCs w:val="20"/>
              </w:rPr>
              <w:t>Ilość zaoszczędzonej w wyniku realizacji projektu energii cieplnej w ciągu pełnego roku po zakończeniu projektu.   Wskaźnik odnosi się do energii końcowej.   W przypadku przedsiębiorstw produkcyjnych: różnica między rocznym zużyciem energii cieplnej w roku bazowym w stosunku do rocznego zużycia energii cieplnej po zakończeniu projektu, skorygowana w przypadku zmiany wielkości produkcji.    W przypadku modernizacji energetycznej budynków: różnica między rocznym zużyciem energii cieplnej  w roku bazowym w stosunku do rocznego zużycia energii cieplnej po zakończeniu projektu.</w:t>
            </w:r>
          </w:p>
          <w:p w14:paraId="6F8FFF07" w14:textId="44F35FB4"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B09B9" w:rsidRPr="000F4CA9" w14:paraId="09F926C9" w14:textId="77777777" w:rsidTr="00CB2ACB">
        <w:trPr>
          <w:trHeight w:val="63"/>
        </w:trPr>
        <w:tc>
          <w:tcPr>
            <w:tcW w:w="552" w:type="dxa"/>
            <w:tcBorders>
              <w:top w:val="single" w:sz="8" w:space="0" w:color="33CC33"/>
              <w:bottom w:val="single" w:sz="8" w:space="0" w:color="33CC33"/>
            </w:tcBorders>
            <w:vAlign w:val="center"/>
          </w:tcPr>
          <w:p w14:paraId="2C814CE4" w14:textId="1B243D44" w:rsidR="005B09B9" w:rsidRPr="002B30FD" w:rsidRDefault="00AE2046" w:rsidP="005B09B9">
            <w:pPr>
              <w:spacing w:before="60" w:after="60"/>
              <w:rPr>
                <w:rFonts w:cstheme="minorHAnsi"/>
                <w:sz w:val="20"/>
                <w:szCs w:val="20"/>
              </w:rPr>
            </w:pPr>
            <w:r>
              <w:rPr>
                <w:rFonts w:cstheme="minorHAnsi"/>
                <w:sz w:val="20"/>
                <w:szCs w:val="20"/>
              </w:rPr>
              <w:lastRenderedPageBreak/>
              <w:t>17</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776F9F9D" w14:textId="25737E96"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Wytworzona energia odnawialna ogółem (w tym: energia elektryczna, energia cieplna)</w:t>
            </w:r>
          </w:p>
        </w:tc>
        <w:tc>
          <w:tcPr>
            <w:tcW w:w="1276" w:type="dxa"/>
            <w:tcBorders>
              <w:top w:val="single" w:sz="8" w:space="0" w:color="33CC33"/>
              <w:bottom w:val="single" w:sz="8" w:space="0" w:color="33CC33"/>
            </w:tcBorders>
            <w:vAlign w:val="center"/>
          </w:tcPr>
          <w:p w14:paraId="104B539B" w14:textId="5ACBF5D7"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34D327AB" w14:textId="5DA31F88"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23A5941A" w14:textId="55FD89DC"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222F8024" w14:textId="6DF2EFC6" w:rsidR="005B09B9" w:rsidRPr="002B30FD" w:rsidRDefault="00EA42DB" w:rsidP="002B30FD">
            <w:pPr>
              <w:spacing w:before="80" w:after="80"/>
              <w:jc w:val="center"/>
              <w:rPr>
                <w:rFonts w:cstheme="minorHAnsi"/>
                <w:sz w:val="20"/>
                <w:szCs w:val="20"/>
              </w:rPr>
            </w:pPr>
            <w:r>
              <w:rPr>
                <w:rFonts w:cstheme="minorHAnsi"/>
                <w:sz w:val="20"/>
                <w:szCs w:val="20"/>
              </w:rPr>
              <w:t>agregat</w:t>
            </w:r>
          </w:p>
        </w:tc>
        <w:tc>
          <w:tcPr>
            <w:tcW w:w="6096" w:type="dxa"/>
            <w:tcBorders>
              <w:top w:val="single" w:sz="8" w:space="0" w:color="33CC33"/>
              <w:bottom w:val="single" w:sz="8" w:space="0" w:color="33CC33"/>
            </w:tcBorders>
            <w:vAlign w:val="center"/>
          </w:tcPr>
          <w:p w14:paraId="13539EA0" w14:textId="30B44C65"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Produkcja energii ze źródeł odnawialnych  przed interwencją i po niej w ramach   projektów objętych wsparciem. Wartość bazowa odnosi się do rocznej energii wyprodukowanej w roku poprzedzającym rozpoczęcie projektu i może być większa od zera w przypadkach, gdy zdolność produkcyjna zostaje zwiększona. Osiągnięta wartość to roczna energia wytworzona w roku po zakończeniu interwencji. </w:t>
            </w:r>
            <w:proofErr w:type="spellStart"/>
            <w:r w:rsidRPr="002B30FD">
              <w:rPr>
                <w:rFonts w:cstheme="minorHAnsi"/>
                <w:sz w:val="20"/>
                <w:szCs w:val="20"/>
              </w:rPr>
              <w:t>Dezagregacja</w:t>
            </w:r>
            <w:proofErr w:type="spellEnd"/>
            <w:r w:rsidRPr="002B30FD">
              <w:rPr>
                <w:rFonts w:cstheme="minorHAnsi"/>
                <w:sz w:val="20"/>
                <w:szCs w:val="20"/>
              </w:rPr>
              <w:t xml:space="preserve"> według energii elektrycznej i energii cieplnej odnosi się do źródła energii odnawialnej.   Definicja energii odnawialnej znajduje się we wskaźniku </w:t>
            </w:r>
            <w:r w:rsidRPr="002B30FD">
              <w:rPr>
                <w:rFonts w:cstheme="minorHAnsi"/>
                <w:i/>
                <w:sz w:val="20"/>
                <w:szCs w:val="20"/>
              </w:rPr>
              <w:t>RCO22 Dodatkowa zdolność́ wytwarzania energii odnawialnej (w tym: energii elektrycznej, energii cieplnej).</w:t>
            </w:r>
          </w:p>
        </w:tc>
      </w:tr>
      <w:tr w:rsidR="005B09B9" w:rsidRPr="000F4CA9" w14:paraId="0BDCD0E0" w14:textId="77777777" w:rsidTr="00CB2ACB">
        <w:trPr>
          <w:trHeight w:val="63"/>
        </w:trPr>
        <w:tc>
          <w:tcPr>
            <w:tcW w:w="552" w:type="dxa"/>
            <w:tcBorders>
              <w:top w:val="single" w:sz="8" w:space="0" w:color="33CC33"/>
              <w:bottom w:val="single" w:sz="8" w:space="0" w:color="33CC33"/>
            </w:tcBorders>
            <w:vAlign w:val="center"/>
          </w:tcPr>
          <w:p w14:paraId="2FA9D486" w14:textId="4D53438C" w:rsidR="005B09B9" w:rsidRPr="00EA42DB" w:rsidRDefault="00AE2046" w:rsidP="005B09B9">
            <w:pPr>
              <w:spacing w:before="60" w:after="60"/>
              <w:rPr>
                <w:rFonts w:cstheme="minorHAnsi"/>
                <w:sz w:val="20"/>
                <w:szCs w:val="20"/>
              </w:rPr>
            </w:pPr>
            <w:r>
              <w:rPr>
                <w:rFonts w:cstheme="minorHAnsi"/>
                <w:sz w:val="20"/>
                <w:szCs w:val="20"/>
              </w:rPr>
              <w:t>18</w:t>
            </w:r>
            <w:r w:rsidR="00D862AA" w:rsidRPr="00EA42DB">
              <w:rPr>
                <w:rFonts w:cstheme="minorHAnsi"/>
                <w:sz w:val="20"/>
                <w:szCs w:val="20"/>
              </w:rPr>
              <w:t>.</w:t>
            </w:r>
          </w:p>
        </w:tc>
        <w:tc>
          <w:tcPr>
            <w:tcW w:w="2977" w:type="dxa"/>
            <w:tcBorders>
              <w:top w:val="single" w:sz="8" w:space="0" w:color="33CC33"/>
              <w:bottom w:val="single" w:sz="8" w:space="0" w:color="33CC33"/>
            </w:tcBorders>
            <w:vAlign w:val="center"/>
          </w:tcPr>
          <w:p w14:paraId="214ADC14" w14:textId="0FE37A43"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wytworzonej energii elektrycznej ze źródeł OZE</w:t>
            </w:r>
          </w:p>
        </w:tc>
        <w:tc>
          <w:tcPr>
            <w:tcW w:w="1276" w:type="dxa"/>
            <w:tcBorders>
              <w:top w:val="single" w:sz="8" w:space="0" w:color="33CC33"/>
              <w:bottom w:val="single" w:sz="8" w:space="0" w:color="33CC33"/>
            </w:tcBorders>
            <w:vAlign w:val="center"/>
          </w:tcPr>
          <w:p w14:paraId="4FE9C0B8" w14:textId="24D61F54"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5593460C" w14:textId="457C9BD4"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0DF30B6F" w14:textId="5872E456"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400A6955" w14:textId="4AAEACA8"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6A77AAB5" w14:textId="2A2274B6"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mierzy ilość rocznej produkcji energii elektrycznej ze źródeł odnawialnych przed rozpoczęciem projektu i po jego zakończeniu. Wartość bazowa odnosi się do rocznej energii wyprodukowanej w roku poprzedzającym rozpoczęcie projektu i może być większa od zera w przypadkach, gdy zdolność produkcyjna jest zwiększana. Wartość  osiągnięta to wartość energii elektrycznej wyprodukowanej w rok po zakończeniu projektu.</w:t>
            </w:r>
          </w:p>
        </w:tc>
      </w:tr>
      <w:tr w:rsidR="005B09B9" w:rsidRPr="000F4CA9" w14:paraId="31BC3ADD" w14:textId="77777777" w:rsidTr="00CB2ACB">
        <w:trPr>
          <w:trHeight w:val="63"/>
        </w:trPr>
        <w:tc>
          <w:tcPr>
            <w:tcW w:w="552" w:type="dxa"/>
            <w:tcBorders>
              <w:top w:val="single" w:sz="8" w:space="0" w:color="33CC33"/>
              <w:bottom w:val="single" w:sz="8" w:space="0" w:color="33CC33"/>
            </w:tcBorders>
            <w:vAlign w:val="center"/>
          </w:tcPr>
          <w:p w14:paraId="3A9EA7B2" w14:textId="4B14B2F2" w:rsidR="005B09B9" w:rsidRPr="002B30FD" w:rsidRDefault="00AE2046" w:rsidP="005B09B9">
            <w:pPr>
              <w:spacing w:before="60" w:after="60"/>
              <w:rPr>
                <w:rFonts w:cstheme="minorHAnsi"/>
                <w:sz w:val="20"/>
                <w:szCs w:val="20"/>
              </w:rPr>
            </w:pPr>
            <w:r>
              <w:rPr>
                <w:rFonts w:cstheme="minorHAnsi"/>
                <w:sz w:val="20"/>
                <w:szCs w:val="20"/>
              </w:rPr>
              <w:t>19</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73942C7B" w14:textId="06E42F21"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wytworzonej energii cieplnej ze źródeł OZE</w:t>
            </w:r>
          </w:p>
        </w:tc>
        <w:tc>
          <w:tcPr>
            <w:tcW w:w="1276" w:type="dxa"/>
            <w:tcBorders>
              <w:top w:val="single" w:sz="8" w:space="0" w:color="33CC33"/>
              <w:bottom w:val="single" w:sz="8" w:space="0" w:color="33CC33"/>
            </w:tcBorders>
            <w:vAlign w:val="center"/>
          </w:tcPr>
          <w:p w14:paraId="167B5C34" w14:textId="7AF0C3A0"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158CF190" w14:textId="018DCBA3"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B1BDD67" w14:textId="37C9DF18"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5709AC2E" w14:textId="56805C02"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291F52E7" w14:textId="15569830"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mierzy ilość rocznej produkcji energii cieplnej ze źródeł odnawialnych przed rozpoczęciem projektu i po jego zakończeniu. Wartość bazowa odnosi się do rocznej energii wyprodukowanej w roku poprzedzającym rozpoczęcie projektu i może być większa od zera w przypadkach, gdy zdolność produkcyjna jest zwiększana. Wartość  osiągnięta to wartość energii cieplnej wyprodukowanej w rok po zakończeniu projektu.</w:t>
            </w:r>
          </w:p>
        </w:tc>
      </w:tr>
    </w:tbl>
    <w:p w14:paraId="69453700" w14:textId="77777777" w:rsidR="005B09B9" w:rsidRPr="00483DA1" w:rsidRDefault="005B09B9" w:rsidP="00E01179">
      <w:pPr>
        <w:spacing w:after="0"/>
        <w:rPr>
          <w:rFonts w:ascii="Arial" w:eastAsiaTheme="minorEastAsia" w:hAnsi="Arial" w:cs="Arial"/>
          <w:sz w:val="18"/>
          <w:szCs w:val="18"/>
          <w:lang w:eastAsia="pl-PL"/>
        </w:rPr>
      </w:pPr>
    </w:p>
    <w:p w14:paraId="27DBEE86" w14:textId="686D0448" w:rsidR="00BE377C" w:rsidRPr="00483DA1" w:rsidRDefault="00BE377C" w:rsidP="00870BF6">
      <w:pPr>
        <w:spacing w:after="0"/>
        <w:ind w:hanging="142"/>
        <w:rPr>
          <w:rFonts w:ascii="Arial" w:hAnsi="Arial" w:cs="Arial"/>
          <w:i/>
          <w:sz w:val="18"/>
          <w:szCs w:val="18"/>
        </w:rPr>
      </w:pPr>
    </w:p>
    <w:p w14:paraId="2CB61CC5" w14:textId="1CE3384B" w:rsidR="00102FB7" w:rsidRPr="00483DA1" w:rsidRDefault="00102FB7">
      <w:pPr>
        <w:tabs>
          <w:tab w:val="left" w:pos="3402"/>
          <w:tab w:val="left" w:pos="5103"/>
        </w:tabs>
        <w:ind w:left="-709"/>
        <w:jc w:val="both"/>
        <w:rPr>
          <w:rFonts w:ascii="Arial" w:hAnsi="Arial" w:cs="Arial"/>
          <w:sz w:val="18"/>
          <w:szCs w:val="18"/>
        </w:rPr>
      </w:pPr>
    </w:p>
    <w:sectPr w:rsidR="00102FB7" w:rsidRPr="00483DA1"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2680" w14:textId="77777777" w:rsidR="00EC2A2C" w:rsidRDefault="00EC2A2C" w:rsidP="00A11280">
      <w:pPr>
        <w:spacing w:after="0" w:line="240" w:lineRule="auto"/>
      </w:pPr>
      <w:r>
        <w:separator/>
      </w:r>
    </w:p>
  </w:endnote>
  <w:endnote w:type="continuationSeparator" w:id="0">
    <w:p w14:paraId="1190A0BB" w14:textId="77777777" w:rsidR="00EC2A2C" w:rsidRDefault="00EC2A2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9469"/>
      <w:docPartObj>
        <w:docPartGallery w:val="Page Numbers (Bottom of Page)"/>
        <w:docPartUnique/>
      </w:docPartObj>
    </w:sdtPr>
    <w:sdtEndPr/>
    <w:sdtContent>
      <w:p w14:paraId="2376BAA3" w14:textId="77777777" w:rsidR="005B09B9" w:rsidRDefault="005B09B9">
        <w:pPr>
          <w:pStyle w:val="Stopka"/>
          <w:jc w:val="center"/>
        </w:pPr>
        <w:r>
          <w:fldChar w:fldCharType="begin"/>
        </w:r>
        <w:r>
          <w:instrText>PAGE   \* MERGEFORMAT</w:instrText>
        </w:r>
        <w:r>
          <w:fldChar w:fldCharType="separate"/>
        </w:r>
        <w:r w:rsidR="00CF0350">
          <w:rPr>
            <w:noProof/>
          </w:rPr>
          <w:t>13</w:t>
        </w:r>
        <w:r>
          <w:rPr>
            <w:noProof/>
          </w:rPr>
          <w:fldChar w:fldCharType="end"/>
        </w:r>
      </w:p>
    </w:sdtContent>
  </w:sdt>
  <w:p w14:paraId="1CE2B7A3" w14:textId="77777777" w:rsidR="005B09B9" w:rsidRDefault="005B09B9"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9ADE" w14:textId="77777777" w:rsidR="00EC2A2C" w:rsidRDefault="00EC2A2C" w:rsidP="00A11280">
      <w:pPr>
        <w:spacing w:after="0" w:line="240" w:lineRule="auto"/>
      </w:pPr>
      <w:r>
        <w:separator/>
      </w:r>
    </w:p>
  </w:footnote>
  <w:footnote w:type="continuationSeparator" w:id="0">
    <w:p w14:paraId="25EB4E6E" w14:textId="77777777" w:rsidR="00EC2A2C" w:rsidRDefault="00EC2A2C"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B11" w14:textId="12A9C1CF" w:rsidR="00421306" w:rsidRPr="00421306" w:rsidRDefault="00421306" w:rsidP="00421306">
    <w:pPr>
      <w:pStyle w:val="Nagwek"/>
      <w:jc w:val="right"/>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2.1 Poprawa efektywności energetycznej w województwie opolskim</w:t>
    </w:r>
    <w:r>
      <w:rPr>
        <w:iCs/>
        <w:sz w:val="24"/>
        <w:szCs w:val="24"/>
      </w:rPr>
      <w:t xml:space="preserve"> </w:t>
    </w:r>
    <w:r w:rsidRPr="007708E6">
      <w:rPr>
        <w:iCs/>
        <w:sz w:val="24"/>
        <w:szCs w:val="24"/>
      </w:rPr>
      <w:t>FEO 2021-2027</w:t>
    </w:r>
    <w:r>
      <w:rPr>
        <w:iCs/>
        <w:sz w:val="24"/>
        <w:szCs w:val="24"/>
      </w:rPr>
      <w:t xml:space="preserve"> </w:t>
    </w:r>
    <w:r>
      <w:rPr>
        <w:iCs/>
        <w:sz w:val="24"/>
        <w:szCs w:val="24"/>
      </w:rPr>
      <w:br/>
      <w:t>Wersja nr 1, październik  2023 r.</w:t>
    </w:r>
  </w:p>
  <w:p w14:paraId="357B97C4" w14:textId="77777777" w:rsidR="005B09B9" w:rsidRPr="00FC4C51" w:rsidRDefault="005B09B9" w:rsidP="00FC4C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BB29" w14:textId="2B5AC23C" w:rsidR="005B09B9" w:rsidRPr="00421306" w:rsidRDefault="00421306" w:rsidP="00421306">
    <w:pPr>
      <w:pStyle w:val="Nagwek"/>
      <w:jc w:val="right"/>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2.1 Poprawa efektywności energetycznej w województwie opolskim</w:t>
    </w:r>
    <w:r>
      <w:rPr>
        <w:iCs/>
        <w:sz w:val="24"/>
        <w:szCs w:val="24"/>
      </w:rPr>
      <w:t xml:space="preserve"> </w:t>
    </w:r>
    <w:r w:rsidRPr="007708E6">
      <w:rPr>
        <w:iCs/>
        <w:sz w:val="24"/>
        <w:szCs w:val="24"/>
      </w:rPr>
      <w:t>FEO 2021-2027</w:t>
    </w:r>
    <w:r>
      <w:rPr>
        <w:iCs/>
        <w:sz w:val="24"/>
        <w:szCs w:val="24"/>
      </w:rPr>
      <w:t xml:space="preserve"> </w:t>
    </w:r>
    <w:r>
      <w:rPr>
        <w:iCs/>
        <w:sz w:val="24"/>
        <w:szCs w:val="24"/>
      </w:rPr>
      <w:br/>
      <w:t>Wersja nr 1, październik  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1454522795">
    <w:abstractNumId w:val="22"/>
  </w:num>
  <w:num w:numId="2" w16cid:durableId="351305695">
    <w:abstractNumId w:val="40"/>
  </w:num>
  <w:num w:numId="3" w16cid:durableId="1502040570">
    <w:abstractNumId w:val="19"/>
  </w:num>
  <w:num w:numId="4" w16cid:durableId="451555477">
    <w:abstractNumId w:val="36"/>
  </w:num>
  <w:num w:numId="5" w16cid:durableId="1889030982">
    <w:abstractNumId w:val="16"/>
  </w:num>
  <w:num w:numId="6" w16cid:durableId="624623702">
    <w:abstractNumId w:val="35"/>
  </w:num>
  <w:num w:numId="7" w16cid:durableId="2010327956">
    <w:abstractNumId w:val="23"/>
  </w:num>
  <w:num w:numId="8" w16cid:durableId="1097218696">
    <w:abstractNumId w:val="29"/>
  </w:num>
  <w:num w:numId="9" w16cid:durableId="1148984746">
    <w:abstractNumId w:val="17"/>
  </w:num>
  <w:num w:numId="10" w16cid:durableId="946353595">
    <w:abstractNumId w:val="15"/>
  </w:num>
  <w:num w:numId="11" w16cid:durableId="145324299">
    <w:abstractNumId w:val="3"/>
  </w:num>
  <w:num w:numId="12" w16cid:durableId="1982688561">
    <w:abstractNumId w:val="8"/>
  </w:num>
  <w:num w:numId="13" w16cid:durableId="967320404">
    <w:abstractNumId w:val="12"/>
  </w:num>
  <w:num w:numId="14" w16cid:durableId="522672727">
    <w:abstractNumId w:val="11"/>
  </w:num>
  <w:num w:numId="15" w16cid:durableId="472868219">
    <w:abstractNumId w:val="38"/>
  </w:num>
  <w:num w:numId="16" w16cid:durableId="1158887349">
    <w:abstractNumId w:val="31"/>
  </w:num>
  <w:num w:numId="17" w16cid:durableId="1483038925">
    <w:abstractNumId w:val="2"/>
  </w:num>
  <w:num w:numId="18" w16cid:durableId="2053117129">
    <w:abstractNumId w:val="7"/>
  </w:num>
  <w:num w:numId="19" w16cid:durableId="1780103084">
    <w:abstractNumId w:val="33"/>
  </w:num>
  <w:num w:numId="20" w16cid:durableId="2112972756">
    <w:abstractNumId w:val="14"/>
  </w:num>
  <w:num w:numId="21" w16cid:durableId="371223673">
    <w:abstractNumId w:val="24"/>
  </w:num>
  <w:num w:numId="22" w16cid:durableId="51391285">
    <w:abstractNumId w:val="20"/>
  </w:num>
  <w:num w:numId="23" w16cid:durableId="1706557565">
    <w:abstractNumId w:val="41"/>
  </w:num>
  <w:num w:numId="24" w16cid:durableId="1044409493">
    <w:abstractNumId w:val="4"/>
  </w:num>
  <w:num w:numId="25" w16cid:durableId="2054884508">
    <w:abstractNumId w:val="21"/>
  </w:num>
  <w:num w:numId="26" w16cid:durableId="1524053811">
    <w:abstractNumId w:val="18"/>
  </w:num>
  <w:num w:numId="27" w16cid:durableId="1003892623">
    <w:abstractNumId w:val="34"/>
  </w:num>
  <w:num w:numId="28" w16cid:durableId="304431235">
    <w:abstractNumId w:val="28"/>
  </w:num>
  <w:num w:numId="29" w16cid:durableId="1837499734">
    <w:abstractNumId w:val="10"/>
  </w:num>
  <w:num w:numId="30" w16cid:durableId="589512347">
    <w:abstractNumId w:val="1"/>
  </w:num>
  <w:num w:numId="31" w16cid:durableId="468985706">
    <w:abstractNumId w:val="27"/>
  </w:num>
  <w:num w:numId="32" w16cid:durableId="1853181859">
    <w:abstractNumId w:val="13"/>
  </w:num>
  <w:num w:numId="33" w16cid:durableId="1567380324">
    <w:abstractNumId w:val="26"/>
  </w:num>
  <w:num w:numId="34" w16cid:durableId="914126096">
    <w:abstractNumId w:val="39"/>
  </w:num>
  <w:num w:numId="35" w16cid:durableId="1860505941">
    <w:abstractNumId w:val="6"/>
  </w:num>
  <w:num w:numId="36" w16cid:durableId="1202863642">
    <w:abstractNumId w:val="5"/>
  </w:num>
  <w:num w:numId="37" w16cid:durableId="534856915">
    <w:abstractNumId w:val="0"/>
  </w:num>
  <w:num w:numId="38" w16cid:durableId="1465462634">
    <w:abstractNumId w:val="42"/>
  </w:num>
  <w:num w:numId="39" w16cid:durableId="1031801972">
    <w:abstractNumId w:val="9"/>
  </w:num>
  <w:num w:numId="40" w16cid:durableId="453138477">
    <w:abstractNumId w:val="32"/>
  </w:num>
  <w:num w:numId="41" w16cid:durableId="1808014046">
    <w:abstractNumId w:val="37"/>
  </w:num>
  <w:num w:numId="42" w16cid:durableId="224948473">
    <w:abstractNumId w:val="25"/>
  </w:num>
  <w:num w:numId="43" w16cid:durableId="14427264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4F3C"/>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97710"/>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878"/>
    <w:rsid w:val="00161C3A"/>
    <w:rsid w:val="00163090"/>
    <w:rsid w:val="00163314"/>
    <w:rsid w:val="0016581B"/>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0DC4"/>
    <w:rsid w:val="002B17E2"/>
    <w:rsid w:val="002B294F"/>
    <w:rsid w:val="002B30FD"/>
    <w:rsid w:val="002B4B5A"/>
    <w:rsid w:val="002B5BE2"/>
    <w:rsid w:val="002B5D3A"/>
    <w:rsid w:val="002C1ECA"/>
    <w:rsid w:val="002C63EB"/>
    <w:rsid w:val="002C69A3"/>
    <w:rsid w:val="002C78D8"/>
    <w:rsid w:val="002D1FFD"/>
    <w:rsid w:val="002D4B7F"/>
    <w:rsid w:val="002D6BC5"/>
    <w:rsid w:val="002E2679"/>
    <w:rsid w:val="002E5267"/>
    <w:rsid w:val="002F26D3"/>
    <w:rsid w:val="00306C54"/>
    <w:rsid w:val="00314703"/>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2811"/>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026D"/>
    <w:rsid w:val="00421306"/>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E17B4"/>
    <w:rsid w:val="004E3ACC"/>
    <w:rsid w:val="004E7A11"/>
    <w:rsid w:val="004F1B44"/>
    <w:rsid w:val="004F3C77"/>
    <w:rsid w:val="004F6BEF"/>
    <w:rsid w:val="00501A93"/>
    <w:rsid w:val="00501C83"/>
    <w:rsid w:val="005077F3"/>
    <w:rsid w:val="005102CC"/>
    <w:rsid w:val="005129C5"/>
    <w:rsid w:val="005156EF"/>
    <w:rsid w:val="00515E54"/>
    <w:rsid w:val="00521B3D"/>
    <w:rsid w:val="00525215"/>
    <w:rsid w:val="0052639C"/>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09B9"/>
    <w:rsid w:val="005B2FEA"/>
    <w:rsid w:val="005B504A"/>
    <w:rsid w:val="005C01D2"/>
    <w:rsid w:val="005D5F43"/>
    <w:rsid w:val="005E4353"/>
    <w:rsid w:val="005E54E5"/>
    <w:rsid w:val="005E63FE"/>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0295"/>
    <w:rsid w:val="006B1E28"/>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47375"/>
    <w:rsid w:val="00757A2D"/>
    <w:rsid w:val="00760B0C"/>
    <w:rsid w:val="00761D7C"/>
    <w:rsid w:val="00762BB5"/>
    <w:rsid w:val="00770B4E"/>
    <w:rsid w:val="00774FA1"/>
    <w:rsid w:val="007754AA"/>
    <w:rsid w:val="00775B56"/>
    <w:rsid w:val="00780302"/>
    <w:rsid w:val="0078060A"/>
    <w:rsid w:val="007815E2"/>
    <w:rsid w:val="007819E8"/>
    <w:rsid w:val="007832FF"/>
    <w:rsid w:val="00783A8E"/>
    <w:rsid w:val="00785F4C"/>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1AC9"/>
    <w:rsid w:val="007F6DFA"/>
    <w:rsid w:val="008001AD"/>
    <w:rsid w:val="0080142A"/>
    <w:rsid w:val="00803AA7"/>
    <w:rsid w:val="00806531"/>
    <w:rsid w:val="00811CFE"/>
    <w:rsid w:val="00813ACE"/>
    <w:rsid w:val="008172D4"/>
    <w:rsid w:val="00817B12"/>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81689"/>
    <w:rsid w:val="008823AA"/>
    <w:rsid w:val="00883127"/>
    <w:rsid w:val="0088456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4DDF"/>
    <w:rsid w:val="00905AC7"/>
    <w:rsid w:val="009119D4"/>
    <w:rsid w:val="00913370"/>
    <w:rsid w:val="00913791"/>
    <w:rsid w:val="00916534"/>
    <w:rsid w:val="0091660E"/>
    <w:rsid w:val="00917D52"/>
    <w:rsid w:val="00921408"/>
    <w:rsid w:val="00923DC2"/>
    <w:rsid w:val="0092434A"/>
    <w:rsid w:val="009246BE"/>
    <w:rsid w:val="00930C72"/>
    <w:rsid w:val="00931055"/>
    <w:rsid w:val="00944557"/>
    <w:rsid w:val="009458D9"/>
    <w:rsid w:val="0094668B"/>
    <w:rsid w:val="00953A2D"/>
    <w:rsid w:val="00957E5D"/>
    <w:rsid w:val="0096569F"/>
    <w:rsid w:val="0096700F"/>
    <w:rsid w:val="00970072"/>
    <w:rsid w:val="00974060"/>
    <w:rsid w:val="00975F71"/>
    <w:rsid w:val="00986C2B"/>
    <w:rsid w:val="0098771A"/>
    <w:rsid w:val="00991562"/>
    <w:rsid w:val="00992F45"/>
    <w:rsid w:val="00993E65"/>
    <w:rsid w:val="0099519F"/>
    <w:rsid w:val="00997070"/>
    <w:rsid w:val="009A0CEB"/>
    <w:rsid w:val="009A1C80"/>
    <w:rsid w:val="009A1F33"/>
    <w:rsid w:val="009B1AF2"/>
    <w:rsid w:val="009B1C1D"/>
    <w:rsid w:val="009B3E76"/>
    <w:rsid w:val="009B5198"/>
    <w:rsid w:val="009B6505"/>
    <w:rsid w:val="009C4F1B"/>
    <w:rsid w:val="009C6492"/>
    <w:rsid w:val="009D29FB"/>
    <w:rsid w:val="009D4EE9"/>
    <w:rsid w:val="009D760C"/>
    <w:rsid w:val="009E068A"/>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284"/>
    <w:rsid w:val="00A9780F"/>
    <w:rsid w:val="00AA43DC"/>
    <w:rsid w:val="00AB176A"/>
    <w:rsid w:val="00AB6726"/>
    <w:rsid w:val="00AC12E7"/>
    <w:rsid w:val="00AC22E3"/>
    <w:rsid w:val="00AC4C19"/>
    <w:rsid w:val="00AD244B"/>
    <w:rsid w:val="00AD497B"/>
    <w:rsid w:val="00AD69B8"/>
    <w:rsid w:val="00AD6A25"/>
    <w:rsid w:val="00AD7C6B"/>
    <w:rsid w:val="00AE1F0B"/>
    <w:rsid w:val="00AE2046"/>
    <w:rsid w:val="00AF2D17"/>
    <w:rsid w:val="00AF42AA"/>
    <w:rsid w:val="00AF7E93"/>
    <w:rsid w:val="00B118EC"/>
    <w:rsid w:val="00B12AE2"/>
    <w:rsid w:val="00B25DDC"/>
    <w:rsid w:val="00B26A50"/>
    <w:rsid w:val="00B26E9F"/>
    <w:rsid w:val="00B33396"/>
    <w:rsid w:val="00B4195E"/>
    <w:rsid w:val="00B43839"/>
    <w:rsid w:val="00B4493F"/>
    <w:rsid w:val="00B503CF"/>
    <w:rsid w:val="00B53551"/>
    <w:rsid w:val="00B60267"/>
    <w:rsid w:val="00B64A26"/>
    <w:rsid w:val="00B6688C"/>
    <w:rsid w:val="00B6775E"/>
    <w:rsid w:val="00B71412"/>
    <w:rsid w:val="00B73E4B"/>
    <w:rsid w:val="00B7446F"/>
    <w:rsid w:val="00B74748"/>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3BC9"/>
    <w:rsid w:val="00C762FB"/>
    <w:rsid w:val="00C76AD4"/>
    <w:rsid w:val="00C83B73"/>
    <w:rsid w:val="00C845B1"/>
    <w:rsid w:val="00C93A1D"/>
    <w:rsid w:val="00C9500E"/>
    <w:rsid w:val="00C953C5"/>
    <w:rsid w:val="00C95762"/>
    <w:rsid w:val="00C965FE"/>
    <w:rsid w:val="00CA1A8B"/>
    <w:rsid w:val="00CA4446"/>
    <w:rsid w:val="00CB2ACB"/>
    <w:rsid w:val="00CB2D0B"/>
    <w:rsid w:val="00CB7564"/>
    <w:rsid w:val="00CC7854"/>
    <w:rsid w:val="00CD1A35"/>
    <w:rsid w:val="00CD70FA"/>
    <w:rsid w:val="00CE040A"/>
    <w:rsid w:val="00CF0350"/>
    <w:rsid w:val="00CF0720"/>
    <w:rsid w:val="00CF1602"/>
    <w:rsid w:val="00CF558C"/>
    <w:rsid w:val="00CF7C96"/>
    <w:rsid w:val="00D01141"/>
    <w:rsid w:val="00D028C2"/>
    <w:rsid w:val="00D02C92"/>
    <w:rsid w:val="00D03DF0"/>
    <w:rsid w:val="00D07438"/>
    <w:rsid w:val="00D11990"/>
    <w:rsid w:val="00D12DE8"/>
    <w:rsid w:val="00D40CD0"/>
    <w:rsid w:val="00D43689"/>
    <w:rsid w:val="00D509E2"/>
    <w:rsid w:val="00D5721C"/>
    <w:rsid w:val="00D67B61"/>
    <w:rsid w:val="00D708B3"/>
    <w:rsid w:val="00D73DC2"/>
    <w:rsid w:val="00D80AAE"/>
    <w:rsid w:val="00D822A7"/>
    <w:rsid w:val="00D8458B"/>
    <w:rsid w:val="00D862AA"/>
    <w:rsid w:val="00D957C4"/>
    <w:rsid w:val="00D95C70"/>
    <w:rsid w:val="00DA1AA6"/>
    <w:rsid w:val="00DA3986"/>
    <w:rsid w:val="00DA4D8E"/>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1757"/>
    <w:rsid w:val="00E73D82"/>
    <w:rsid w:val="00E76A86"/>
    <w:rsid w:val="00E82132"/>
    <w:rsid w:val="00E86251"/>
    <w:rsid w:val="00E924B5"/>
    <w:rsid w:val="00E92D8C"/>
    <w:rsid w:val="00EA0342"/>
    <w:rsid w:val="00EA42DB"/>
    <w:rsid w:val="00EA5A7F"/>
    <w:rsid w:val="00EB2C78"/>
    <w:rsid w:val="00EB4C55"/>
    <w:rsid w:val="00EB68E4"/>
    <w:rsid w:val="00EC045E"/>
    <w:rsid w:val="00EC22EC"/>
    <w:rsid w:val="00EC2A2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65847"/>
    <w:rsid w:val="00F74401"/>
    <w:rsid w:val="00F74BA2"/>
    <w:rsid w:val="00F75B93"/>
    <w:rsid w:val="00F85A76"/>
    <w:rsid w:val="00F91A40"/>
    <w:rsid w:val="00F95885"/>
    <w:rsid w:val="00FA05CA"/>
    <w:rsid w:val="00FA1FFA"/>
    <w:rsid w:val="00FA2FFB"/>
    <w:rsid w:val="00FA6B10"/>
    <w:rsid w:val="00FB2D95"/>
    <w:rsid w:val="00FC01D2"/>
    <w:rsid w:val="00FC4736"/>
    <w:rsid w:val="00FC4B31"/>
    <w:rsid w:val="00FC4C51"/>
    <w:rsid w:val="00FC63DC"/>
    <w:rsid w:val="00FD0483"/>
    <w:rsid w:val="00FD1A2C"/>
    <w:rsid w:val="00FD3BF5"/>
    <w:rsid w:val="00FD464C"/>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F4B6-ABF2-483A-AB5B-41DD19A5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2678</Words>
  <Characters>16068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Autor</cp:lastModifiedBy>
  <cp:revision>3</cp:revision>
  <cp:lastPrinted>2023-10-06T06:15:00Z</cp:lastPrinted>
  <dcterms:created xsi:type="dcterms:W3CDTF">2023-10-05T08:13:00Z</dcterms:created>
  <dcterms:modified xsi:type="dcterms:W3CDTF">2023-10-06T06:23:00Z</dcterms:modified>
</cp:coreProperties>
</file>