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1228360B" w:rsidR="00136D60" w:rsidRPr="00483DA1" w:rsidRDefault="00FA7F28" w:rsidP="00136D60">
      <w:pPr>
        <w:jc w:val="center"/>
        <w:rPr>
          <w:rFonts w:ascii="Arial" w:eastAsiaTheme="minorEastAsia" w:hAnsi="Arial" w:cs="Arial"/>
          <w:i/>
          <w:color w:val="000099"/>
          <w:sz w:val="18"/>
          <w:szCs w:val="18"/>
          <w:lang w:eastAsia="pl-PL"/>
        </w:rPr>
      </w:pPr>
      <w:bookmarkStart w:id="0" w:name="_GoBack"/>
      <w:bookmarkEnd w:id="0"/>
      <w:r>
        <w:rPr>
          <w:rFonts w:ascii="Arial" w:eastAsiaTheme="minorEastAsia" w:hAnsi="Arial" w:cs="Arial"/>
          <w:i/>
          <w:noProof/>
          <w:color w:val="000099"/>
          <w:sz w:val="18"/>
          <w:szCs w:val="18"/>
          <w:lang w:eastAsia="pl-PL"/>
        </w:rPr>
        <w:drawing>
          <wp:inline distT="0" distB="0" distL="0" distR="0" wp14:anchorId="5D540F5D" wp14:editId="2610E292">
            <wp:extent cx="6340475" cy="646430"/>
            <wp:effectExtent l="0" t="0" r="3175" b="127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0475" cy="646430"/>
                    </a:xfrm>
                    <a:prstGeom prst="rect">
                      <a:avLst/>
                    </a:prstGeom>
                    <a:noFill/>
                  </pic:spPr>
                </pic:pic>
              </a:graphicData>
            </a:graphic>
          </wp:inline>
        </w:drawing>
      </w:r>
    </w:p>
    <w:p w14:paraId="4C37BFA1" w14:textId="77777777" w:rsidR="00136D60" w:rsidRPr="00483DA1" w:rsidRDefault="00136D60" w:rsidP="00136D60">
      <w:pPr>
        <w:jc w:val="center"/>
        <w:rPr>
          <w:rFonts w:ascii="Arial" w:eastAsiaTheme="minorEastAsia" w:hAnsi="Arial" w:cs="Arial"/>
          <w:i/>
          <w:color w:val="000099"/>
          <w:sz w:val="18"/>
          <w:szCs w:val="18"/>
          <w:lang w:eastAsia="pl-PL"/>
        </w:rPr>
      </w:pPr>
    </w:p>
    <w:p w14:paraId="11BF6CEA" w14:textId="77777777" w:rsidR="00136D60" w:rsidRPr="00483DA1" w:rsidRDefault="00136D60" w:rsidP="00136D60">
      <w:pPr>
        <w:jc w:val="center"/>
        <w:rPr>
          <w:rFonts w:ascii="Arial" w:eastAsiaTheme="minorEastAsia" w:hAnsi="Arial" w:cs="Arial"/>
          <w:i/>
          <w:color w:val="000099"/>
          <w:sz w:val="18"/>
          <w:szCs w:val="18"/>
          <w:lang w:eastAsia="pl-PL"/>
        </w:rPr>
      </w:pPr>
    </w:p>
    <w:p w14:paraId="77C21649" w14:textId="77777777"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411931BB" w14:textId="60F3AC8B" w:rsidR="000F4CA9" w:rsidRPr="00FA7F28" w:rsidRDefault="00FA7F28" w:rsidP="000F4CA9">
      <w:pPr>
        <w:rPr>
          <w:rFonts w:ascii="Calibri" w:eastAsia="Times New Roman" w:hAnsi="Calibri" w:cs="Times New Roman"/>
          <w:b/>
          <w:color w:val="000099"/>
          <w:sz w:val="48"/>
          <w:szCs w:val="28"/>
        </w:rPr>
      </w:pPr>
      <w:r>
        <w:rPr>
          <w:rFonts w:ascii="Calibri" w:eastAsia="Times New Roman" w:hAnsi="Calibri" w:cs="Times New Roman"/>
          <w:b/>
          <w:color w:val="000099"/>
          <w:sz w:val="48"/>
          <w:szCs w:val="28"/>
        </w:rPr>
        <w:t>Załącznik nr 8</w:t>
      </w:r>
    </w:p>
    <w:p w14:paraId="7E95AABF" w14:textId="77777777" w:rsidR="000F4CA9" w:rsidRPr="00FA7F28" w:rsidRDefault="000F4CA9" w:rsidP="000F4CA9">
      <w:pPr>
        <w:rPr>
          <w:b/>
        </w:rPr>
      </w:pPr>
    </w:p>
    <w:p w14:paraId="5FEC0380" w14:textId="5F591716" w:rsidR="000F4CA9" w:rsidRPr="00FA7F28" w:rsidRDefault="000F4CA9" w:rsidP="000F4CA9">
      <w:pPr>
        <w:rPr>
          <w:rFonts w:ascii="Calibri" w:eastAsia="Times New Roman" w:hAnsi="Calibri" w:cs="Times New Roman"/>
          <w:color w:val="000099"/>
          <w:sz w:val="48"/>
          <w:szCs w:val="28"/>
        </w:rPr>
      </w:pPr>
      <w:r w:rsidRPr="00FA7F28">
        <w:rPr>
          <w:rFonts w:ascii="Calibri" w:eastAsia="Times New Roman" w:hAnsi="Calibri" w:cs="Times New Roman"/>
          <w:b/>
          <w:color w:val="000099"/>
          <w:sz w:val="48"/>
          <w:szCs w:val="28"/>
        </w:rPr>
        <w:t xml:space="preserve">Lista wskaźników na poziomie projektu dla działania </w:t>
      </w:r>
      <w:r w:rsidRPr="00FA7F28">
        <w:rPr>
          <w:rFonts w:ascii="Calibri" w:eastAsia="Times New Roman" w:hAnsi="Calibri" w:cs="Times New Roman"/>
          <w:b/>
          <w:color w:val="000099"/>
          <w:sz w:val="48"/>
          <w:szCs w:val="28"/>
        </w:rPr>
        <w:br/>
      </w:r>
      <w:r w:rsidR="003E314C" w:rsidRPr="00FA7F28">
        <w:rPr>
          <w:rFonts w:ascii="Calibri" w:eastAsia="Times New Roman" w:hAnsi="Calibri" w:cs="Times New Roman"/>
          <w:b/>
          <w:color w:val="000099"/>
          <w:sz w:val="48"/>
          <w:szCs w:val="28"/>
        </w:rPr>
        <w:t>1.</w:t>
      </w:r>
      <w:r w:rsidR="00451B0C" w:rsidRPr="00FA7F28">
        <w:rPr>
          <w:rFonts w:ascii="Calibri" w:eastAsia="Times New Roman" w:hAnsi="Calibri" w:cs="Times New Roman"/>
          <w:b/>
          <w:color w:val="000099"/>
          <w:sz w:val="48"/>
          <w:szCs w:val="28"/>
        </w:rPr>
        <w:t>1</w:t>
      </w:r>
      <w:r w:rsidR="003E314C" w:rsidRPr="00FA7F28">
        <w:rPr>
          <w:rFonts w:ascii="Calibri" w:eastAsia="Times New Roman" w:hAnsi="Calibri" w:cs="Times New Roman"/>
          <w:b/>
          <w:color w:val="000099"/>
          <w:sz w:val="48"/>
          <w:szCs w:val="28"/>
        </w:rPr>
        <w:t xml:space="preserve">1 </w:t>
      </w:r>
      <w:r w:rsidR="00451B0C" w:rsidRPr="00FA7F28">
        <w:rPr>
          <w:rFonts w:ascii="Calibri" w:eastAsia="Times New Roman" w:hAnsi="Calibri" w:cs="Times New Roman"/>
          <w:b/>
          <w:color w:val="000099"/>
          <w:sz w:val="48"/>
          <w:szCs w:val="28"/>
        </w:rPr>
        <w:t xml:space="preserve">Instrumenty finansowe w gospodarce </w:t>
      </w:r>
      <w:r w:rsidRPr="00FA7F28">
        <w:rPr>
          <w:rFonts w:ascii="Calibri" w:eastAsia="Times New Roman" w:hAnsi="Calibri" w:cs="Times New Roman"/>
          <w:b/>
          <w:color w:val="000099"/>
          <w:sz w:val="48"/>
          <w:szCs w:val="28"/>
        </w:rPr>
        <w:t>FEO 2021-2027</w:t>
      </w:r>
    </w:p>
    <w:p w14:paraId="334E28F9" w14:textId="77777777" w:rsidR="00136D60" w:rsidRPr="00483DA1" w:rsidRDefault="00136D60" w:rsidP="00136D60">
      <w:pPr>
        <w:rPr>
          <w:rFonts w:ascii="Arial" w:eastAsiaTheme="minorEastAsia" w:hAnsi="Arial" w:cs="Arial"/>
          <w:sz w:val="18"/>
          <w:szCs w:val="18"/>
          <w:lang w:eastAsia="pl-PL"/>
        </w:rPr>
      </w:pPr>
    </w:p>
    <w:p w14:paraId="5886B212" w14:textId="77777777" w:rsidR="00136D60" w:rsidRPr="00483DA1" w:rsidRDefault="00136D60" w:rsidP="00136D60">
      <w:pPr>
        <w:rPr>
          <w:rFonts w:ascii="Arial" w:eastAsiaTheme="minorEastAsia" w:hAnsi="Arial" w:cs="Arial"/>
          <w:sz w:val="18"/>
          <w:szCs w:val="18"/>
          <w:lang w:eastAsia="pl-PL"/>
        </w:rPr>
      </w:pPr>
      <w:r w:rsidRPr="00483DA1">
        <w:rPr>
          <w:rFonts w:ascii="Arial" w:eastAsiaTheme="minorEastAsia" w:hAnsi="Arial" w:cs="Arial"/>
          <w:sz w:val="18"/>
          <w:szCs w:val="18"/>
          <w:lang w:eastAsia="pl-PL"/>
        </w:rPr>
        <w:br w:type="page"/>
      </w:r>
    </w:p>
    <w:p w14:paraId="426A3FAB" w14:textId="77777777" w:rsidR="00136D60" w:rsidRPr="00483DA1" w:rsidRDefault="00136D60" w:rsidP="00136D60">
      <w:pPr>
        <w:rPr>
          <w:rFonts w:ascii="Arial" w:eastAsiaTheme="minorEastAsia" w:hAnsi="Arial" w:cs="Arial"/>
          <w:sz w:val="18"/>
          <w:szCs w:val="18"/>
          <w:lang w:eastAsia="pl-PL"/>
        </w:rPr>
      </w:pPr>
    </w:p>
    <w:p w14:paraId="011968E1" w14:textId="77777777" w:rsidR="00136D60" w:rsidRPr="00483DA1" w:rsidRDefault="00136D60" w:rsidP="00136D60">
      <w:pPr>
        <w:rPr>
          <w:rFonts w:ascii="Arial" w:eastAsiaTheme="minorEastAsia" w:hAnsi="Arial" w:cs="Arial"/>
          <w:sz w:val="18"/>
          <w:szCs w:val="18"/>
          <w:lang w:eastAsia="pl-PL"/>
        </w:rPr>
      </w:pPr>
    </w:p>
    <w:p w14:paraId="46D9267A" w14:textId="77777777" w:rsidR="00136D60" w:rsidRPr="00483DA1" w:rsidRDefault="00136D60" w:rsidP="00136D60">
      <w:pPr>
        <w:rPr>
          <w:rFonts w:ascii="Arial" w:eastAsiaTheme="minorEastAsia" w:hAnsi="Arial" w:cs="Arial"/>
          <w:sz w:val="18"/>
          <w:szCs w:val="18"/>
          <w:lang w:eastAsia="pl-PL"/>
        </w:rPr>
      </w:pPr>
    </w:p>
    <w:p w14:paraId="13A5ECA4" w14:textId="77777777" w:rsidR="00136D60" w:rsidRPr="00483DA1" w:rsidRDefault="00136D60" w:rsidP="00136D60">
      <w:pPr>
        <w:rPr>
          <w:rFonts w:ascii="Arial" w:eastAsiaTheme="minorEastAsia" w:hAnsi="Arial" w:cs="Arial"/>
          <w:sz w:val="18"/>
          <w:szCs w:val="18"/>
          <w:lang w:eastAsia="pl-PL"/>
        </w:rPr>
      </w:pPr>
    </w:p>
    <w:p w14:paraId="5F74181B" w14:textId="77777777" w:rsidR="00136D60" w:rsidRPr="00483DA1" w:rsidRDefault="00136D60" w:rsidP="00136D60">
      <w:pPr>
        <w:rPr>
          <w:rFonts w:ascii="Arial" w:eastAsiaTheme="minorEastAsia" w:hAnsi="Arial" w:cs="Arial"/>
          <w:sz w:val="18"/>
          <w:szCs w:val="18"/>
          <w:lang w:eastAsia="pl-PL"/>
        </w:rPr>
      </w:pPr>
    </w:p>
    <w:p w14:paraId="03CDBD6C" w14:textId="77777777" w:rsidR="00136D60" w:rsidRPr="00483DA1" w:rsidRDefault="00136D60" w:rsidP="00136D60">
      <w:pPr>
        <w:rPr>
          <w:rFonts w:ascii="Arial" w:eastAsiaTheme="minorEastAsia" w:hAnsi="Arial" w:cs="Arial"/>
          <w:sz w:val="18"/>
          <w:szCs w:val="18"/>
          <w:lang w:eastAsia="pl-PL"/>
        </w:rPr>
      </w:pPr>
    </w:p>
    <w:p w14:paraId="06E88425" w14:textId="77777777" w:rsidR="00136D60" w:rsidRPr="00483DA1" w:rsidRDefault="00136D60" w:rsidP="00136D60">
      <w:pPr>
        <w:rPr>
          <w:rFonts w:ascii="Arial" w:eastAsiaTheme="minorEastAsia" w:hAnsi="Arial" w:cs="Arial"/>
          <w:sz w:val="18"/>
          <w:szCs w:val="18"/>
          <w:lang w:eastAsia="pl-PL"/>
        </w:rPr>
      </w:pPr>
    </w:p>
    <w:p w14:paraId="212243DA" w14:textId="77777777" w:rsidR="00136D60" w:rsidRPr="00483DA1" w:rsidRDefault="00136D60" w:rsidP="00136D60">
      <w:pPr>
        <w:rPr>
          <w:rFonts w:ascii="Arial" w:eastAsiaTheme="minorEastAsia" w:hAnsi="Arial" w:cs="Arial"/>
          <w:sz w:val="18"/>
          <w:szCs w:val="18"/>
          <w:lang w:eastAsia="pl-PL"/>
        </w:rPr>
      </w:pPr>
    </w:p>
    <w:p w14:paraId="3A91D5D1" w14:textId="77777777" w:rsidR="00136D60" w:rsidRPr="00483DA1" w:rsidRDefault="00136D60" w:rsidP="00136D60">
      <w:pPr>
        <w:rPr>
          <w:rFonts w:ascii="Arial" w:eastAsiaTheme="minorEastAsia" w:hAnsi="Arial" w:cs="Arial"/>
          <w:sz w:val="18"/>
          <w:szCs w:val="18"/>
          <w:lang w:eastAsia="pl-PL"/>
        </w:rPr>
      </w:pPr>
    </w:p>
    <w:p w14:paraId="07C481AE" w14:textId="77777777" w:rsidR="00136D60" w:rsidRPr="00483DA1" w:rsidRDefault="00136D60" w:rsidP="00136D60">
      <w:pPr>
        <w:rPr>
          <w:rFonts w:ascii="Arial" w:eastAsiaTheme="minorEastAsia" w:hAnsi="Arial" w:cs="Arial"/>
          <w:sz w:val="18"/>
          <w:szCs w:val="18"/>
          <w:lang w:eastAsia="pl-PL"/>
        </w:rPr>
      </w:pPr>
    </w:p>
    <w:p w14:paraId="18AFA005" w14:textId="77777777" w:rsidR="00136D60" w:rsidRPr="00483DA1" w:rsidRDefault="00136D60" w:rsidP="00136D60">
      <w:pPr>
        <w:rPr>
          <w:rFonts w:ascii="Arial" w:eastAsiaTheme="minorEastAsia" w:hAnsi="Arial" w:cs="Arial"/>
          <w:sz w:val="18"/>
          <w:szCs w:val="18"/>
          <w:lang w:eastAsia="pl-PL"/>
        </w:rPr>
      </w:pPr>
    </w:p>
    <w:p w14:paraId="249A8EF3" w14:textId="77777777" w:rsidR="00136D60" w:rsidRPr="00483DA1" w:rsidRDefault="00136D60" w:rsidP="00136D60">
      <w:pPr>
        <w:rPr>
          <w:rFonts w:ascii="Arial" w:eastAsiaTheme="minorEastAsia" w:hAnsi="Arial" w:cs="Arial"/>
          <w:sz w:val="18"/>
          <w:szCs w:val="18"/>
          <w:lang w:eastAsia="pl-PL"/>
        </w:rPr>
      </w:pPr>
    </w:p>
    <w:p w14:paraId="586ABD6B" w14:textId="77777777" w:rsidR="00136D60" w:rsidRPr="00483DA1" w:rsidRDefault="00136D60" w:rsidP="00136D60">
      <w:pPr>
        <w:rPr>
          <w:rFonts w:ascii="Arial" w:eastAsiaTheme="minorEastAsia" w:hAnsi="Arial" w:cs="Arial"/>
          <w:sz w:val="18"/>
          <w:szCs w:val="18"/>
          <w:lang w:eastAsia="pl-PL"/>
        </w:rPr>
      </w:pPr>
    </w:p>
    <w:p w14:paraId="11F1941B" w14:textId="77777777" w:rsidR="00136D60" w:rsidRPr="00483DA1" w:rsidRDefault="00136D60" w:rsidP="00136D60">
      <w:pPr>
        <w:rPr>
          <w:rFonts w:ascii="Arial" w:eastAsiaTheme="minorEastAsia" w:hAnsi="Arial" w:cs="Arial"/>
          <w:sz w:val="18"/>
          <w:szCs w:val="18"/>
          <w:lang w:eastAsia="pl-PL"/>
        </w:rPr>
      </w:pPr>
    </w:p>
    <w:p w14:paraId="7B715242" w14:textId="77777777" w:rsidR="00483DA1" w:rsidRDefault="00483DA1" w:rsidP="00136D60">
      <w:pPr>
        <w:spacing w:after="0"/>
        <w:rPr>
          <w:rFonts w:ascii="Arial" w:eastAsiaTheme="minorEastAsia" w:hAnsi="Arial" w:cs="Arial"/>
          <w:color w:val="000099"/>
          <w:sz w:val="18"/>
          <w:szCs w:val="18"/>
          <w:u w:val="single"/>
          <w:lang w:eastAsia="pl-PL"/>
        </w:rPr>
      </w:pPr>
    </w:p>
    <w:p w14:paraId="456DAC3B" w14:textId="77777777" w:rsidR="00483DA1" w:rsidRDefault="00483DA1" w:rsidP="00136D60">
      <w:pPr>
        <w:spacing w:after="0"/>
        <w:rPr>
          <w:rFonts w:ascii="Arial" w:eastAsiaTheme="minorEastAsia" w:hAnsi="Arial" w:cs="Arial"/>
          <w:color w:val="000099"/>
          <w:sz w:val="18"/>
          <w:szCs w:val="18"/>
          <w:u w:val="single"/>
          <w:lang w:eastAsia="pl-PL"/>
        </w:rPr>
      </w:pPr>
    </w:p>
    <w:p w14:paraId="1B752FD3" w14:textId="77777777" w:rsidR="00483DA1" w:rsidRDefault="00483DA1" w:rsidP="00136D60">
      <w:pPr>
        <w:spacing w:after="0"/>
        <w:rPr>
          <w:rFonts w:ascii="Arial" w:eastAsiaTheme="minorEastAsia" w:hAnsi="Arial" w:cs="Arial"/>
          <w:color w:val="000099"/>
          <w:sz w:val="18"/>
          <w:szCs w:val="18"/>
          <w:u w:val="single"/>
          <w:lang w:eastAsia="pl-PL"/>
        </w:rPr>
      </w:pPr>
    </w:p>
    <w:p w14:paraId="79B863B4" w14:textId="77777777" w:rsidR="00483DA1" w:rsidRDefault="00483DA1" w:rsidP="00136D60">
      <w:pPr>
        <w:spacing w:after="0"/>
        <w:rPr>
          <w:rFonts w:ascii="Arial" w:eastAsiaTheme="minorEastAsia" w:hAnsi="Arial" w:cs="Arial"/>
          <w:color w:val="000099"/>
          <w:sz w:val="18"/>
          <w:szCs w:val="18"/>
          <w:u w:val="single"/>
          <w:lang w:eastAsia="pl-PL"/>
        </w:rPr>
      </w:pPr>
    </w:p>
    <w:p w14:paraId="31D5D71E" w14:textId="77777777" w:rsidR="00483DA1" w:rsidRDefault="00483DA1" w:rsidP="00136D60">
      <w:pPr>
        <w:spacing w:after="0"/>
        <w:rPr>
          <w:rFonts w:ascii="Arial" w:eastAsiaTheme="minorEastAsia" w:hAnsi="Arial" w:cs="Arial"/>
          <w:color w:val="000099"/>
          <w:sz w:val="18"/>
          <w:szCs w:val="18"/>
          <w:u w:val="single"/>
          <w:lang w:eastAsia="pl-PL"/>
        </w:rPr>
      </w:pPr>
    </w:p>
    <w:p w14:paraId="7BCB884D" w14:textId="77777777" w:rsidR="00136D60" w:rsidRPr="00A91C4D" w:rsidRDefault="00136D60" w:rsidP="00136D60">
      <w:pPr>
        <w:spacing w:after="0"/>
        <w:rPr>
          <w:rFonts w:eastAsiaTheme="minorEastAsia" w:cstheme="minorHAnsi"/>
          <w:color w:val="000099"/>
          <w:sz w:val="24"/>
          <w:szCs w:val="24"/>
          <w:u w:val="single"/>
          <w:lang w:eastAsia="pl-PL"/>
        </w:rPr>
      </w:pPr>
      <w:r w:rsidRPr="00A91C4D">
        <w:rPr>
          <w:rFonts w:eastAsiaTheme="minorEastAsia" w:cstheme="minorHAnsi"/>
          <w:color w:val="000099"/>
          <w:sz w:val="24"/>
          <w:szCs w:val="24"/>
          <w:u w:val="single"/>
          <w:lang w:eastAsia="pl-PL"/>
        </w:rPr>
        <w:t>Opracowanie:</w:t>
      </w:r>
    </w:p>
    <w:p w14:paraId="4A38F087" w14:textId="3F41A063" w:rsidR="00136D60" w:rsidRPr="00A91C4D" w:rsidRDefault="00136D60" w:rsidP="00136D60">
      <w:pPr>
        <w:spacing w:after="0"/>
        <w:rPr>
          <w:rFonts w:eastAsiaTheme="minorEastAsia" w:cstheme="minorHAnsi"/>
          <w:color w:val="000099"/>
          <w:sz w:val="24"/>
          <w:szCs w:val="24"/>
          <w:lang w:eastAsia="pl-PL"/>
        </w:rPr>
      </w:pPr>
      <w:r w:rsidRPr="00A91C4D">
        <w:rPr>
          <w:rFonts w:eastAsiaTheme="minorEastAsia" w:cstheme="minorHAnsi"/>
          <w:color w:val="000099"/>
          <w:sz w:val="24"/>
          <w:szCs w:val="24"/>
          <w:lang w:eastAsia="pl-PL"/>
        </w:rPr>
        <w:t xml:space="preserve">Departament </w:t>
      </w:r>
      <w:r w:rsidR="00594DAA" w:rsidRPr="00A91C4D">
        <w:rPr>
          <w:rFonts w:eastAsiaTheme="minorEastAsia" w:cstheme="minorHAnsi"/>
          <w:color w:val="000099"/>
          <w:sz w:val="24"/>
          <w:szCs w:val="24"/>
          <w:lang w:eastAsia="pl-PL"/>
        </w:rPr>
        <w:t xml:space="preserve">Programowania </w:t>
      </w:r>
      <w:r w:rsidR="00E03F56" w:rsidRPr="00A91C4D">
        <w:rPr>
          <w:rFonts w:eastAsiaTheme="minorEastAsia" w:cstheme="minorHAnsi"/>
          <w:color w:val="000099"/>
          <w:sz w:val="24"/>
          <w:szCs w:val="24"/>
          <w:lang w:eastAsia="pl-PL"/>
        </w:rPr>
        <w:t>Funduszy Europejskich</w:t>
      </w:r>
    </w:p>
    <w:p w14:paraId="05703CF2" w14:textId="77777777" w:rsidR="00136D60" w:rsidRPr="00A91C4D" w:rsidRDefault="00136D60" w:rsidP="00136D60">
      <w:pPr>
        <w:spacing w:after="0"/>
        <w:rPr>
          <w:rFonts w:eastAsiaTheme="minorEastAsia" w:cstheme="minorHAnsi"/>
          <w:color w:val="000099"/>
          <w:sz w:val="24"/>
          <w:szCs w:val="24"/>
          <w:lang w:eastAsia="pl-PL"/>
        </w:rPr>
      </w:pPr>
      <w:r w:rsidRPr="00A91C4D">
        <w:rPr>
          <w:rFonts w:eastAsiaTheme="minorEastAsia" w:cstheme="minorHAnsi"/>
          <w:color w:val="000099"/>
          <w:sz w:val="24"/>
          <w:szCs w:val="24"/>
          <w:lang w:eastAsia="pl-PL"/>
        </w:rPr>
        <w:t>Urząd Marszałkowski Województwa Opolskiego</w:t>
      </w:r>
    </w:p>
    <w:p w14:paraId="3DDEB17B" w14:textId="5CE4962D" w:rsidR="00136D60" w:rsidRPr="00A91C4D" w:rsidRDefault="00CF0720" w:rsidP="00E01179">
      <w:pPr>
        <w:spacing w:after="0"/>
        <w:rPr>
          <w:rFonts w:eastAsiaTheme="minorEastAsia" w:cstheme="minorHAnsi"/>
          <w:sz w:val="24"/>
          <w:szCs w:val="24"/>
          <w:lang w:eastAsia="pl-PL"/>
        </w:rPr>
      </w:pPr>
      <w:r w:rsidRPr="00A91C4D">
        <w:rPr>
          <w:rFonts w:eastAsiaTheme="minorEastAsia" w:cstheme="minorHAnsi"/>
          <w:color w:val="000099"/>
          <w:sz w:val="24"/>
          <w:szCs w:val="24"/>
          <w:lang w:eastAsia="pl-PL"/>
        </w:rPr>
        <w:t xml:space="preserve">Opole, </w:t>
      </w:r>
      <w:r w:rsidR="0041270D" w:rsidRPr="00A91C4D">
        <w:rPr>
          <w:rFonts w:eastAsiaTheme="minorEastAsia" w:cstheme="minorHAnsi"/>
          <w:color w:val="000099"/>
          <w:sz w:val="24"/>
          <w:szCs w:val="24"/>
          <w:lang w:eastAsia="pl-PL"/>
        </w:rPr>
        <w:t xml:space="preserve">czerwiec </w:t>
      </w:r>
      <w:r w:rsidR="00FE2349" w:rsidRPr="00A91C4D">
        <w:rPr>
          <w:rFonts w:eastAsiaTheme="minorEastAsia" w:cstheme="minorHAnsi"/>
          <w:color w:val="000099"/>
          <w:sz w:val="24"/>
          <w:szCs w:val="24"/>
          <w:lang w:eastAsia="pl-PL"/>
        </w:rPr>
        <w:t xml:space="preserve">2023 </w:t>
      </w:r>
      <w:r w:rsidR="00136D60" w:rsidRPr="00A91C4D">
        <w:rPr>
          <w:rFonts w:eastAsiaTheme="minorEastAsia" w:cstheme="minorHAnsi"/>
          <w:color w:val="000099"/>
          <w:sz w:val="24"/>
          <w:szCs w:val="24"/>
          <w:lang w:eastAsia="pl-PL"/>
        </w:rPr>
        <w:t xml:space="preserve"> r.</w:t>
      </w:r>
    </w:p>
    <w:p w14:paraId="234BA3E9" w14:textId="77777777" w:rsidR="00E01179" w:rsidRPr="00483DA1" w:rsidRDefault="00E01179" w:rsidP="00E01179">
      <w:pPr>
        <w:spacing w:after="0"/>
        <w:rPr>
          <w:rFonts w:ascii="Arial" w:eastAsiaTheme="minorEastAsia" w:hAnsi="Arial" w:cs="Arial"/>
          <w:sz w:val="18"/>
          <w:szCs w:val="18"/>
          <w:lang w:eastAsia="pl-PL"/>
        </w:rPr>
      </w:pPr>
    </w:p>
    <w:p w14:paraId="31E4A7F6" w14:textId="77777777" w:rsidR="008E7FF7" w:rsidRDefault="008E7FF7" w:rsidP="00E01179">
      <w:pPr>
        <w:spacing w:after="0"/>
        <w:rPr>
          <w:rFonts w:ascii="Arial" w:eastAsiaTheme="minorEastAsia" w:hAnsi="Arial" w:cs="Arial"/>
          <w:sz w:val="18"/>
          <w:szCs w:val="18"/>
          <w:lang w:eastAsia="pl-PL"/>
        </w:rPr>
      </w:pPr>
    </w:p>
    <w:p w14:paraId="53D6C3E2" w14:textId="3F793F69" w:rsidR="000D305D" w:rsidRPr="000D305D" w:rsidRDefault="000D305D" w:rsidP="000D305D">
      <w:pPr>
        <w:spacing w:after="60"/>
        <w:rPr>
          <w:i/>
          <w:sz w:val="24"/>
        </w:rPr>
      </w:pPr>
      <w:r w:rsidRPr="008D624B">
        <w:rPr>
          <w:b/>
          <w:sz w:val="24"/>
        </w:rPr>
        <w:t xml:space="preserve">Tabela 1 </w:t>
      </w:r>
      <w:r w:rsidRPr="008D624B">
        <w:rPr>
          <w:i/>
          <w:sz w:val="24"/>
        </w:rPr>
        <w:t xml:space="preserve">Zestawienie wskaźników EFRR na poziomie projektu </w:t>
      </w:r>
      <w:r>
        <w:rPr>
          <w:i/>
          <w:sz w:val="24"/>
        </w:rPr>
        <w:t>w ramach FEO 2021-202</w:t>
      </w:r>
      <w:r w:rsidRPr="00594DAA">
        <w:rPr>
          <w:i/>
          <w:sz w:val="24"/>
        </w:rPr>
        <w:t>7</w:t>
      </w:r>
      <w:r w:rsidR="005027DC" w:rsidRPr="00594DAA">
        <w:rPr>
          <w:i/>
          <w:sz w:val="24"/>
        </w:rPr>
        <w:t xml:space="preserve"> dla Działania 1.1</w:t>
      </w:r>
      <w:r w:rsidR="00451B0C" w:rsidRPr="00594DAA">
        <w:rPr>
          <w:i/>
          <w:sz w:val="24"/>
        </w:rPr>
        <w:t>1</w:t>
      </w:r>
      <w:r w:rsidR="005027DC" w:rsidRPr="00594DAA">
        <w:rPr>
          <w:i/>
          <w:sz w:val="24"/>
        </w:rPr>
        <w:t xml:space="preserve"> </w:t>
      </w:r>
      <w:r w:rsidR="00451B0C" w:rsidRPr="00594DAA">
        <w:rPr>
          <w:i/>
          <w:sz w:val="24"/>
        </w:rPr>
        <w:t>Ins</w:t>
      </w:r>
      <w:r w:rsidR="00594DAA" w:rsidRPr="00594DAA">
        <w:rPr>
          <w:i/>
          <w:sz w:val="24"/>
        </w:rPr>
        <w:t>trumenty finansowe w gospodarce</w:t>
      </w:r>
    </w:p>
    <w:tbl>
      <w:tblPr>
        <w:tblStyle w:val="Tabela-Siatka"/>
        <w:tblW w:w="15011"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94"/>
        <w:gridCol w:w="2977"/>
        <w:gridCol w:w="1276"/>
        <w:gridCol w:w="1275"/>
        <w:gridCol w:w="1134"/>
        <w:gridCol w:w="1560"/>
        <w:gridCol w:w="6095"/>
      </w:tblGrid>
      <w:tr w:rsidR="000F4CA9" w:rsidRPr="000F4CA9" w14:paraId="3C500EB4" w14:textId="77777777" w:rsidTr="00A91C4D">
        <w:trPr>
          <w:trHeight w:hRule="exact" w:val="839"/>
          <w:tblHeader/>
        </w:trPr>
        <w:tc>
          <w:tcPr>
            <w:tcW w:w="694" w:type="dxa"/>
            <w:tcBorders>
              <w:top w:val="single" w:sz="8" w:space="0" w:color="33CC33"/>
              <w:bottom w:val="single" w:sz="12" w:space="0" w:color="33CC33"/>
              <w:right w:val="single" w:sz="12" w:space="0" w:color="33CC33"/>
            </w:tcBorders>
            <w:shd w:val="clear" w:color="auto" w:fill="F2F2F2"/>
            <w:vAlign w:val="center"/>
          </w:tcPr>
          <w:p w14:paraId="3FD81AC5"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087DAB2"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6DDC46A"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Jednostka miary</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4C509FA"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Rodzaj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61C6BC6"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Typ wskaźnika</w:t>
            </w:r>
          </w:p>
        </w:tc>
        <w:tc>
          <w:tcPr>
            <w:tcW w:w="1560"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5F6E5B"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Inne uwagi</w:t>
            </w:r>
          </w:p>
        </w:tc>
        <w:tc>
          <w:tcPr>
            <w:tcW w:w="6095" w:type="dxa"/>
            <w:tcBorders>
              <w:top w:val="single" w:sz="8" w:space="0" w:color="33CC33"/>
              <w:left w:val="single" w:sz="12" w:space="0" w:color="33CC33"/>
              <w:bottom w:val="single" w:sz="12" w:space="0" w:color="33CC33"/>
            </w:tcBorders>
            <w:shd w:val="clear" w:color="auto" w:fill="F2F2F2"/>
            <w:vAlign w:val="center"/>
          </w:tcPr>
          <w:p w14:paraId="47199AAF" w14:textId="77777777" w:rsidR="000F4CA9" w:rsidRPr="00A91C4D" w:rsidRDefault="000F4CA9" w:rsidP="00AE46D2">
            <w:pPr>
              <w:spacing w:before="80" w:after="80"/>
              <w:rPr>
                <w:rFonts w:cstheme="minorHAnsi"/>
                <w:b/>
                <w:color w:val="000099"/>
                <w:sz w:val="24"/>
                <w:szCs w:val="24"/>
              </w:rPr>
            </w:pPr>
            <w:r w:rsidRPr="00A91C4D">
              <w:rPr>
                <w:rFonts w:cstheme="minorHAnsi"/>
                <w:b/>
                <w:color w:val="000099"/>
                <w:sz w:val="24"/>
                <w:szCs w:val="24"/>
              </w:rPr>
              <w:t>Definicja</w:t>
            </w:r>
          </w:p>
        </w:tc>
      </w:tr>
      <w:tr w:rsidR="000F4CA9" w:rsidRPr="000F4CA9" w14:paraId="070EBE11" w14:textId="77777777" w:rsidTr="00594DAA">
        <w:trPr>
          <w:trHeight w:hRule="exact" w:val="524"/>
        </w:trPr>
        <w:tc>
          <w:tcPr>
            <w:tcW w:w="15011" w:type="dxa"/>
            <w:gridSpan w:val="7"/>
            <w:tcBorders>
              <w:top w:val="single" w:sz="12" w:space="0" w:color="33CC33"/>
              <w:bottom w:val="single" w:sz="12" w:space="0" w:color="33CC33"/>
            </w:tcBorders>
            <w:shd w:val="clear" w:color="auto" w:fill="D9D9D9" w:themeFill="background1" w:themeFillShade="D9"/>
            <w:vAlign w:val="center"/>
          </w:tcPr>
          <w:p w14:paraId="05B8367B" w14:textId="702AAC1C" w:rsidR="000F4CA9" w:rsidRPr="000F4CA9" w:rsidRDefault="000F4CA9" w:rsidP="003E314C">
            <w:pPr>
              <w:spacing w:before="80" w:after="80"/>
              <w:rPr>
                <w:rFonts w:cstheme="minorHAnsi"/>
                <w:i/>
                <w:color w:val="000099"/>
                <w:sz w:val="24"/>
                <w:szCs w:val="24"/>
              </w:rPr>
            </w:pPr>
            <w:r>
              <w:rPr>
                <w:rFonts w:cstheme="minorHAnsi"/>
                <w:i/>
                <w:color w:val="000099"/>
                <w:sz w:val="24"/>
                <w:szCs w:val="24"/>
              </w:rPr>
              <w:t>Oś priorytetowa I</w:t>
            </w:r>
            <w:r w:rsidRPr="000F4CA9">
              <w:rPr>
                <w:rFonts w:cstheme="minorHAnsi"/>
                <w:i/>
                <w:color w:val="000099"/>
                <w:sz w:val="24"/>
                <w:szCs w:val="24"/>
              </w:rPr>
              <w:t xml:space="preserve"> </w:t>
            </w:r>
            <w:r>
              <w:rPr>
                <w:rFonts w:cstheme="minorHAnsi"/>
                <w:b/>
                <w:i/>
                <w:color w:val="000099"/>
                <w:sz w:val="24"/>
                <w:szCs w:val="24"/>
              </w:rPr>
              <w:t xml:space="preserve">Fundusze Europejskie na rzecz </w:t>
            </w:r>
            <w:r w:rsidR="003E314C">
              <w:rPr>
                <w:rFonts w:cstheme="minorHAnsi"/>
                <w:b/>
                <w:i/>
                <w:color w:val="000099"/>
                <w:sz w:val="24"/>
                <w:szCs w:val="24"/>
              </w:rPr>
              <w:t>wzrostu innowacyjności i konkurencyjności</w:t>
            </w:r>
            <w:r>
              <w:rPr>
                <w:rFonts w:cstheme="minorHAnsi"/>
                <w:b/>
                <w:i/>
                <w:color w:val="000099"/>
                <w:sz w:val="24"/>
                <w:szCs w:val="24"/>
              </w:rPr>
              <w:t xml:space="preserve"> opolskiego</w:t>
            </w:r>
          </w:p>
        </w:tc>
      </w:tr>
      <w:tr w:rsidR="000F4CA9" w:rsidRPr="000F4CA9" w14:paraId="602B1D20" w14:textId="77777777" w:rsidTr="00961FA7">
        <w:trPr>
          <w:trHeight w:hRule="exact" w:val="389"/>
        </w:trPr>
        <w:tc>
          <w:tcPr>
            <w:tcW w:w="15011" w:type="dxa"/>
            <w:gridSpan w:val="7"/>
            <w:tcBorders>
              <w:top w:val="single" w:sz="12" w:space="0" w:color="33CC33"/>
              <w:bottom w:val="single" w:sz="12" w:space="0" w:color="33CC33"/>
            </w:tcBorders>
            <w:shd w:val="clear" w:color="auto" w:fill="EAF1DD"/>
            <w:vAlign w:val="center"/>
          </w:tcPr>
          <w:p w14:paraId="5B9E3A30" w14:textId="1906A0A9" w:rsidR="000F4CA9" w:rsidRPr="000F4CA9" w:rsidRDefault="000F4CA9" w:rsidP="00961FA7">
            <w:pPr>
              <w:spacing w:before="80" w:after="80"/>
              <w:rPr>
                <w:rFonts w:cstheme="minorHAnsi"/>
                <w:i/>
                <w:color w:val="000099"/>
                <w:sz w:val="24"/>
                <w:szCs w:val="24"/>
              </w:rPr>
            </w:pPr>
            <w:r w:rsidRPr="00594DAA">
              <w:rPr>
                <w:rFonts w:cstheme="minorHAnsi"/>
                <w:i/>
                <w:color w:val="000099"/>
                <w:sz w:val="24"/>
                <w:szCs w:val="24"/>
              </w:rPr>
              <w:t xml:space="preserve">Działanie </w:t>
            </w:r>
            <w:r w:rsidR="003E314C" w:rsidRPr="00594DAA">
              <w:rPr>
                <w:rFonts w:cstheme="minorHAnsi"/>
                <w:i/>
                <w:color w:val="000099"/>
                <w:sz w:val="24"/>
                <w:szCs w:val="24"/>
              </w:rPr>
              <w:t>1</w:t>
            </w:r>
            <w:r w:rsidRPr="00594DAA">
              <w:rPr>
                <w:rFonts w:cstheme="minorHAnsi"/>
                <w:i/>
                <w:color w:val="000099"/>
                <w:sz w:val="24"/>
                <w:szCs w:val="24"/>
              </w:rPr>
              <w:t>.1</w:t>
            </w:r>
            <w:r w:rsidR="00451B0C" w:rsidRPr="00594DAA">
              <w:rPr>
                <w:rFonts w:cstheme="minorHAnsi"/>
                <w:i/>
                <w:color w:val="000099"/>
                <w:sz w:val="24"/>
                <w:szCs w:val="24"/>
              </w:rPr>
              <w:t>1</w:t>
            </w:r>
            <w:r w:rsidRPr="00594DAA">
              <w:rPr>
                <w:rFonts w:cstheme="minorHAnsi"/>
                <w:i/>
                <w:color w:val="000099"/>
                <w:sz w:val="24"/>
                <w:szCs w:val="24"/>
              </w:rPr>
              <w:t xml:space="preserve"> </w:t>
            </w:r>
            <w:r w:rsidR="00451B0C" w:rsidRPr="00594DAA">
              <w:rPr>
                <w:rFonts w:cstheme="minorHAnsi"/>
                <w:b/>
                <w:i/>
                <w:color w:val="000099"/>
                <w:sz w:val="24"/>
                <w:szCs w:val="24"/>
              </w:rPr>
              <w:t>Ins</w:t>
            </w:r>
            <w:r w:rsidR="00594DAA" w:rsidRPr="00594DAA">
              <w:rPr>
                <w:rFonts w:cstheme="minorHAnsi"/>
                <w:b/>
                <w:i/>
                <w:color w:val="000099"/>
                <w:sz w:val="24"/>
                <w:szCs w:val="24"/>
              </w:rPr>
              <w:t>trumenty finansowe w gospodarce</w:t>
            </w:r>
          </w:p>
        </w:tc>
      </w:tr>
      <w:tr w:rsidR="00AD3EC0" w:rsidRPr="000A3D46" w14:paraId="28378D77" w14:textId="77777777" w:rsidTr="00A91C4D">
        <w:trPr>
          <w:trHeight w:val="630"/>
        </w:trPr>
        <w:tc>
          <w:tcPr>
            <w:tcW w:w="694" w:type="dxa"/>
            <w:tcBorders>
              <w:top w:val="single" w:sz="12" w:space="0" w:color="33CC33"/>
            </w:tcBorders>
            <w:vAlign w:val="center"/>
          </w:tcPr>
          <w:p w14:paraId="71093EB9" w14:textId="77777777" w:rsidR="00AD3EC0" w:rsidRPr="00A91C4D" w:rsidRDefault="00AD3EC0" w:rsidP="00AD3EC0">
            <w:pPr>
              <w:spacing w:before="60" w:after="60"/>
              <w:jc w:val="center"/>
              <w:rPr>
                <w:rFonts w:cstheme="minorHAnsi"/>
                <w:sz w:val="24"/>
                <w:szCs w:val="24"/>
              </w:rPr>
            </w:pPr>
            <w:r w:rsidRPr="00A91C4D">
              <w:rPr>
                <w:rFonts w:cstheme="minorHAnsi"/>
                <w:sz w:val="24"/>
                <w:szCs w:val="24"/>
              </w:rPr>
              <w:t>1.</w:t>
            </w:r>
          </w:p>
        </w:tc>
        <w:tc>
          <w:tcPr>
            <w:tcW w:w="2977" w:type="dxa"/>
            <w:tcBorders>
              <w:top w:val="single" w:sz="12" w:space="0" w:color="33CC33"/>
            </w:tcBorders>
            <w:vAlign w:val="center"/>
          </w:tcPr>
          <w:p w14:paraId="0AB820D8" w14:textId="08A31A43" w:rsidR="00AD3EC0" w:rsidRPr="00A91C4D" w:rsidRDefault="00594DAA" w:rsidP="00AD3EC0">
            <w:pPr>
              <w:pStyle w:val="Bezodstpw"/>
              <w:rPr>
                <w:rFonts w:cstheme="minorHAnsi"/>
                <w:i/>
                <w:sz w:val="24"/>
                <w:szCs w:val="24"/>
              </w:rPr>
            </w:pPr>
            <w:r w:rsidRPr="00A91C4D">
              <w:rPr>
                <w:rFonts w:cstheme="minorHAnsi"/>
                <w:i/>
                <w:sz w:val="24"/>
                <w:szCs w:val="24"/>
              </w:rPr>
              <w:t xml:space="preserve">Przedsiębiorstwa objęte </w:t>
            </w:r>
            <w:r w:rsidR="00AD3EC0" w:rsidRPr="00A91C4D">
              <w:rPr>
                <w:rFonts w:cstheme="minorHAnsi"/>
                <w:i/>
                <w:sz w:val="24"/>
                <w:szCs w:val="24"/>
              </w:rPr>
              <w:t>wsparciem (w tym: mikro, małe, średnie, duże)</w:t>
            </w:r>
          </w:p>
        </w:tc>
        <w:tc>
          <w:tcPr>
            <w:tcW w:w="1276" w:type="dxa"/>
            <w:tcBorders>
              <w:top w:val="single" w:sz="12" w:space="0" w:color="33CC33"/>
            </w:tcBorders>
            <w:vAlign w:val="center"/>
          </w:tcPr>
          <w:p w14:paraId="54D0A5A8" w14:textId="0977227C" w:rsidR="00AD3EC0" w:rsidRPr="00A91C4D" w:rsidRDefault="00AD3EC0" w:rsidP="00AD3EC0">
            <w:pPr>
              <w:spacing w:before="60" w:after="60"/>
              <w:rPr>
                <w:rFonts w:eastAsia="Times New Roman" w:cstheme="minorHAnsi"/>
                <w:sz w:val="24"/>
                <w:szCs w:val="24"/>
              </w:rPr>
            </w:pPr>
            <w:r w:rsidRPr="00A91C4D">
              <w:rPr>
                <w:rFonts w:eastAsia="Times New Roman" w:cstheme="minorHAnsi"/>
                <w:sz w:val="24"/>
                <w:szCs w:val="24"/>
              </w:rPr>
              <w:t>szt.</w:t>
            </w:r>
          </w:p>
        </w:tc>
        <w:tc>
          <w:tcPr>
            <w:tcW w:w="1275" w:type="dxa"/>
            <w:tcBorders>
              <w:top w:val="single" w:sz="12" w:space="0" w:color="33CC33"/>
            </w:tcBorders>
            <w:vAlign w:val="center"/>
          </w:tcPr>
          <w:p w14:paraId="636FF7CB" w14:textId="03B511F2" w:rsidR="00AD3EC0" w:rsidRPr="00A91C4D" w:rsidRDefault="00AD3EC0" w:rsidP="00AD3EC0">
            <w:pPr>
              <w:spacing w:before="60" w:after="60"/>
              <w:rPr>
                <w:rFonts w:cstheme="minorHAnsi"/>
                <w:sz w:val="24"/>
                <w:szCs w:val="24"/>
              </w:rPr>
            </w:pPr>
            <w:r w:rsidRPr="00A91C4D">
              <w:rPr>
                <w:rFonts w:cstheme="minorHAnsi"/>
                <w:sz w:val="24"/>
                <w:szCs w:val="24"/>
              </w:rPr>
              <w:t>produkt</w:t>
            </w:r>
          </w:p>
        </w:tc>
        <w:tc>
          <w:tcPr>
            <w:tcW w:w="1134" w:type="dxa"/>
            <w:tcBorders>
              <w:top w:val="single" w:sz="12" w:space="0" w:color="33CC33"/>
            </w:tcBorders>
            <w:vAlign w:val="center"/>
          </w:tcPr>
          <w:p w14:paraId="598217D0" w14:textId="547E1ADF" w:rsidR="00AD3EC0" w:rsidRPr="00A91C4D" w:rsidRDefault="00AD3EC0" w:rsidP="00AD3EC0">
            <w:pPr>
              <w:spacing w:before="60" w:after="60"/>
              <w:rPr>
                <w:rFonts w:cstheme="minorHAnsi"/>
                <w:sz w:val="24"/>
                <w:szCs w:val="24"/>
              </w:rPr>
            </w:pPr>
            <w:r w:rsidRPr="00A91C4D">
              <w:rPr>
                <w:rFonts w:cstheme="minorHAnsi"/>
                <w:sz w:val="24"/>
                <w:szCs w:val="24"/>
              </w:rPr>
              <w:t>kluczowy</w:t>
            </w:r>
          </w:p>
        </w:tc>
        <w:tc>
          <w:tcPr>
            <w:tcW w:w="1560" w:type="dxa"/>
            <w:tcBorders>
              <w:top w:val="single" w:sz="12" w:space="0" w:color="33CC33"/>
            </w:tcBorders>
            <w:vAlign w:val="center"/>
          </w:tcPr>
          <w:p w14:paraId="52A3EA62" w14:textId="01E8F2D2" w:rsidR="00AD3EC0" w:rsidRPr="00A91C4D" w:rsidRDefault="00AD3EC0" w:rsidP="00AD3EC0">
            <w:pPr>
              <w:spacing w:before="60" w:after="60"/>
              <w:jc w:val="center"/>
              <w:rPr>
                <w:rFonts w:cstheme="minorHAnsi"/>
                <w:sz w:val="24"/>
                <w:szCs w:val="24"/>
              </w:rPr>
            </w:pPr>
            <w:r w:rsidRPr="00A91C4D">
              <w:rPr>
                <w:rFonts w:cstheme="minorHAnsi"/>
                <w:sz w:val="24"/>
                <w:szCs w:val="24"/>
              </w:rPr>
              <w:t>Wskaźnik</w:t>
            </w:r>
          </w:p>
          <w:p w14:paraId="60B80F05" w14:textId="7AEA349B" w:rsidR="00AD3EC0" w:rsidRPr="00A91C4D" w:rsidRDefault="00AD3EC0" w:rsidP="00AD3EC0">
            <w:pPr>
              <w:spacing w:before="60" w:after="60"/>
              <w:jc w:val="center"/>
              <w:rPr>
                <w:rFonts w:cstheme="minorHAnsi"/>
                <w:sz w:val="24"/>
                <w:szCs w:val="24"/>
              </w:rPr>
            </w:pPr>
            <w:r w:rsidRPr="00A91C4D">
              <w:rPr>
                <w:rFonts w:cstheme="minorHAnsi"/>
                <w:sz w:val="24"/>
                <w:szCs w:val="24"/>
              </w:rPr>
              <w:t>Programowy</w:t>
            </w:r>
          </w:p>
          <w:p w14:paraId="05F10E7B" w14:textId="77777777" w:rsidR="00AD3EC0" w:rsidRPr="00A91C4D" w:rsidRDefault="00AD3EC0" w:rsidP="00AD3EC0">
            <w:pPr>
              <w:spacing w:before="60" w:after="60"/>
              <w:jc w:val="center"/>
              <w:rPr>
                <w:rFonts w:cstheme="minorHAnsi"/>
                <w:sz w:val="24"/>
                <w:szCs w:val="24"/>
              </w:rPr>
            </w:pPr>
          </w:p>
          <w:p w14:paraId="6ED86412" w14:textId="4C4614E4" w:rsidR="00AD3EC0" w:rsidRPr="00A91C4D" w:rsidRDefault="00AD3EC0" w:rsidP="00AD3EC0">
            <w:pPr>
              <w:spacing w:before="60" w:after="60"/>
              <w:jc w:val="center"/>
              <w:rPr>
                <w:rFonts w:cstheme="minorHAnsi"/>
                <w:sz w:val="24"/>
                <w:szCs w:val="24"/>
              </w:rPr>
            </w:pPr>
            <w:r w:rsidRPr="00A91C4D">
              <w:rPr>
                <w:rFonts w:cstheme="minorHAnsi"/>
                <w:sz w:val="24"/>
                <w:szCs w:val="24"/>
              </w:rPr>
              <w:t>Wskaźnik agregujący</w:t>
            </w:r>
          </w:p>
        </w:tc>
        <w:tc>
          <w:tcPr>
            <w:tcW w:w="6095" w:type="dxa"/>
            <w:tcBorders>
              <w:top w:val="single" w:sz="12" w:space="0" w:color="33CC33"/>
            </w:tcBorders>
            <w:vAlign w:val="center"/>
          </w:tcPr>
          <w:p w14:paraId="7E83FAC0" w14:textId="4D73AAD4" w:rsidR="00AD3EC0" w:rsidRPr="00A91C4D" w:rsidRDefault="00AD3EC0" w:rsidP="00AD3EC0">
            <w:pPr>
              <w:spacing w:before="60" w:after="60"/>
              <w:jc w:val="both"/>
              <w:rPr>
                <w:rFonts w:cstheme="minorHAnsi"/>
                <w:i/>
                <w:sz w:val="24"/>
                <w:szCs w:val="24"/>
              </w:rPr>
            </w:pPr>
            <w:r w:rsidRPr="00A91C4D">
              <w:rPr>
                <w:rFonts w:cstheme="minorHAnsi"/>
                <w:sz w:val="24"/>
                <w:szCs w:val="24"/>
              </w:rPr>
              <w:t xml:space="preserve">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w:t>
            </w:r>
            <w:r w:rsidRPr="00A91C4D">
              <w:rPr>
                <w:rFonts w:cstheme="minorHAnsi"/>
                <w:sz w:val="24"/>
                <w:szCs w:val="24"/>
              </w:rPr>
              <w:lastRenderedPageBreak/>
              <w:t>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Rady (EWG) nr 696/93, sekcja III A z 15.03.1993 r.)</w:t>
            </w:r>
            <w:r w:rsidR="004302B2" w:rsidRPr="00A91C4D">
              <w:rPr>
                <w:rFonts w:cstheme="minorHAnsi"/>
                <w:sz w:val="24"/>
                <w:szCs w:val="24"/>
              </w:rPr>
              <w:t>.</w:t>
            </w:r>
            <w:r w:rsidRPr="00A91C4D">
              <w:rPr>
                <w:rFonts w:cstheme="minorHAnsi"/>
                <w:sz w:val="24"/>
                <w:szCs w:val="24"/>
              </w:rPr>
              <w:t xml:space="preserve"> Na potrzeby tego wskaźnika przedsiębiorstwa są organizacjami nastawionymi na osiąganie zysku, które wytwarzają towary lub usługi w celu zaspokojenia potrzeb rynku. W przypadku celu polityki 4 (Społeczna Europa) wskaźnik obejmuje również 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 Klasyfikacja 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 Duże przedsiębiorstwa (&gt;250 pracowników i obroty &gt; 50 mln EUR lub bilans &gt; 43 mln EUR). W przypadku przekroczenia jednego z dwóch progów (liczby pracowników lub rocznych obrót/bilansu) przedsiębiorstwa klasyfikuje się do wyższej kategorii wielkości. (ESTAT na podstawie art. 2-3 załącznika do zalecenia KE 2003/361/WE). Wielkość wspieranego przedsiębiorstwa jest mierzona w momencie wnioskowania.</w:t>
            </w:r>
          </w:p>
        </w:tc>
      </w:tr>
      <w:tr w:rsidR="00AD3EC0" w:rsidRPr="000A3D46" w14:paraId="0A19BBEC" w14:textId="77777777" w:rsidTr="00A91C4D">
        <w:trPr>
          <w:trHeight w:val="702"/>
        </w:trPr>
        <w:tc>
          <w:tcPr>
            <w:tcW w:w="694" w:type="dxa"/>
            <w:vAlign w:val="center"/>
          </w:tcPr>
          <w:p w14:paraId="763ACF7D" w14:textId="653E1AD2" w:rsidR="00AD3EC0" w:rsidRPr="00A91C4D" w:rsidRDefault="00AD3EC0" w:rsidP="00AD3EC0">
            <w:pPr>
              <w:spacing w:before="60" w:after="60"/>
              <w:jc w:val="center"/>
              <w:rPr>
                <w:rFonts w:cstheme="minorHAnsi"/>
                <w:sz w:val="24"/>
                <w:szCs w:val="24"/>
              </w:rPr>
            </w:pPr>
            <w:r w:rsidRPr="00A91C4D">
              <w:rPr>
                <w:rFonts w:cstheme="minorHAnsi"/>
                <w:sz w:val="24"/>
                <w:szCs w:val="24"/>
              </w:rPr>
              <w:lastRenderedPageBreak/>
              <w:t>1a.</w:t>
            </w:r>
          </w:p>
        </w:tc>
        <w:tc>
          <w:tcPr>
            <w:tcW w:w="2977" w:type="dxa"/>
            <w:vAlign w:val="center"/>
          </w:tcPr>
          <w:p w14:paraId="4936F6A1" w14:textId="4898FEC6" w:rsidR="00AD3EC0" w:rsidRPr="00A91C4D" w:rsidRDefault="00AD3EC0" w:rsidP="00AD3EC0">
            <w:pPr>
              <w:pStyle w:val="Bezodstpw"/>
              <w:rPr>
                <w:rFonts w:cstheme="minorHAnsi"/>
                <w:i/>
                <w:sz w:val="24"/>
                <w:szCs w:val="24"/>
              </w:rPr>
            </w:pPr>
            <w:r w:rsidRPr="00A91C4D">
              <w:rPr>
                <w:rFonts w:cstheme="minorHAnsi"/>
                <w:i/>
                <w:sz w:val="24"/>
                <w:szCs w:val="24"/>
              </w:rPr>
              <w:t>Liczba wspartych mikroprzedsiębiorstw</w:t>
            </w:r>
          </w:p>
        </w:tc>
        <w:tc>
          <w:tcPr>
            <w:tcW w:w="1276" w:type="dxa"/>
            <w:vAlign w:val="center"/>
          </w:tcPr>
          <w:p w14:paraId="5CA06104" w14:textId="0DCD395D" w:rsidR="00AD3EC0" w:rsidRPr="00A91C4D" w:rsidRDefault="00AD3EC0" w:rsidP="00AD3EC0">
            <w:pPr>
              <w:spacing w:before="60" w:after="60"/>
              <w:rPr>
                <w:rFonts w:eastAsia="Times New Roman" w:cstheme="minorHAnsi"/>
                <w:sz w:val="24"/>
                <w:szCs w:val="24"/>
              </w:rPr>
            </w:pPr>
            <w:r w:rsidRPr="00A91C4D">
              <w:rPr>
                <w:rFonts w:eastAsia="Times New Roman" w:cstheme="minorHAnsi"/>
                <w:sz w:val="24"/>
                <w:szCs w:val="24"/>
              </w:rPr>
              <w:t>szt.</w:t>
            </w:r>
          </w:p>
        </w:tc>
        <w:tc>
          <w:tcPr>
            <w:tcW w:w="1275" w:type="dxa"/>
            <w:vAlign w:val="center"/>
          </w:tcPr>
          <w:p w14:paraId="0FB6D130" w14:textId="6E19E476" w:rsidR="00AD3EC0" w:rsidRPr="00A91C4D" w:rsidRDefault="00AD3EC0" w:rsidP="00AD3EC0">
            <w:pPr>
              <w:spacing w:before="60" w:after="60"/>
              <w:rPr>
                <w:rFonts w:cstheme="minorHAnsi"/>
                <w:sz w:val="24"/>
                <w:szCs w:val="24"/>
              </w:rPr>
            </w:pPr>
            <w:r w:rsidRPr="00A91C4D">
              <w:rPr>
                <w:rFonts w:cstheme="minorHAnsi"/>
                <w:sz w:val="24"/>
                <w:szCs w:val="24"/>
              </w:rPr>
              <w:t>produkt</w:t>
            </w:r>
          </w:p>
        </w:tc>
        <w:tc>
          <w:tcPr>
            <w:tcW w:w="1134" w:type="dxa"/>
            <w:vAlign w:val="center"/>
          </w:tcPr>
          <w:p w14:paraId="7383E624" w14:textId="725E8264" w:rsidR="00AD3EC0" w:rsidRPr="00A91C4D" w:rsidRDefault="00AD3EC0" w:rsidP="00AD3EC0">
            <w:pPr>
              <w:spacing w:before="60" w:after="60"/>
              <w:rPr>
                <w:rFonts w:cstheme="minorHAnsi"/>
                <w:sz w:val="24"/>
                <w:szCs w:val="24"/>
              </w:rPr>
            </w:pPr>
            <w:r w:rsidRPr="00A91C4D">
              <w:rPr>
                <w:rFonts w:cstheme="minorHAnsi"/>
                <w:sz w:val="24"/>
                <w:szCs w:val="24"/>
              </w:rPr>
              <w:t>kluczowy</w:t>
            </w:r>
          </w:p>
        </w:tc>
        <w:tc>
          <w:tcPr>
            <w:tcW w:w="1560" w:type="dxa"/>
            <w:vAlign w:val="center"/>
          </w:tcPr>
          <w:p w14:paraId="2620ECC3" w14:textId="02601101" w:rsidR="00AD3EC0" w:rsidRPr="00A91C4D" w:rsidRDefault="00AD3EC0" w:rsidP="00AD3EC0">
            <w:pPr>
              <w:spacing w:before="60" w:after="60"/>
              <w:rPr>
                <w:rFonts w:cstheme="minorHAnsi"/>
                <w:sz w:val="24"/>
                <w:szCs w:val="24"/>
                <w:highlight w:val="yellow"/>
              </w:rPr>
            </w:pPr>
            <w:r w:rsidRPr="00A91C4D">
              <w:rPr>
                <w:rFonts w:cstheme="minorHAnsi"/>
                <w:sz w:val="24"/>
                <w:szCs w:val="24"/>
              </w:rPr>
              <w:t>-</w:t>
            </w:r>
          </w:p>
        </w:tc>
        <w:tc>
          <w:tcPr>
            <w:tcW w:w="6095" w:type="dxa"/>
            <w:vAlign w:val="center"/>
          </w:tcPr>
          <w:p w14:paraId="5827CE14" w14:textId="4862338F" w:rsidR="00AD3EC0" w:rsidRPr="00A91C4D" w:rsidRDefault="00AD3EC0" w:rsidP="004302B2">
            <w:pPr>
              <w:spacing w:before="60" w:after="60"/>
              <w:jc w:val="both"/>
              <w:rPr>
                <w:rFonts w:cstheme="minorHAnsi"/>
                <w:i/>
                <w:sz w:val="24"/>
                <w:szCs w:val="24"/>
              </w:rPr>
            </w:pPr>
            <w:r w:rsidRPr="00A91C4D">
              <w:rPr>
                <w:rFonts w:cstheme="minorHAnsi"/>
                <w:sz w:val="24"/>
                <w:szCs w:val="24"/>
              </w:rPr>
              <w:t xml:space="preserve">Wskaźnik obejmuje mikroprzedsiębiorstwa, które otrzymały wsparcie finansowe oraz pozafinansowe z Europejskiego Funduszu Rozwoju Regionalnego (EFRR), Funduszu Spójności (FS) oraz Funduszu Sprawiedliwej Transformacji (FST). Definicja przedsiębiorstwa zgodna z definicją wskaźnika - </w:t>
            </w:r>
            <w:r w:rsidRPr="00A91C4D">
              <w:rPr>
                <w:rFonts w:cstheme="minorHAnsi"/>
                <w:i/>
                <w:sz w:val="24"/>
                <w:szCs w:val="24"/>
              </w:rPr>
              <w:t>Przedsiębiorstwa objęte wsparciem (w tym: mikro, małe, średnie, duże)</w:t>
            </w:r>
            <w:r w:rsidRPr="00A91C4D">
              <w:rPr>
                <w:rFonts w:cstheme="minorHAnsi"/>
                <w:sz w:val="24"/>
                <w:szCs w:val="24"/>
              </w:rPr>
              <w:t>. 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AD3EC0" w:rsidRPr="000A3D46" w14:paraId="5F612BD5" w14:textId="77777777" w:rsidTr="00A91C4D">
        <w:trPr>
          <w:trHeight w:val="571"/>
        </w:trPr>
        <w:tc>
          <w:tcPr>
            <w:tcW w:w="694" w:type="dxa"/>
            <w:tcBorders>
              <w:bottom w:val="single" w:sz="4" w:space="0" w:color="92D050"/>
            </w:tcBorders>
            <w:vAlign w:val="center"/>
          </w:tcPr>
          <w:p w14:paraId="184AFA5E" w14:textId="32B48296" w:rsidR="00AD3EC0" w:rsidRPr="00A91C4D" w:rsidRDefault="00AD3EC0" w:rsidP="00AD3EC0">
            <w:pPr>
              <w:spacing w:before="60" w:after="60"/>
              <w:jc w:val="center"/>
              <w:rPr>
                <w:rFonts w:cstheme="minorHAnsi"/>
                <w:sz w:val="24"/>
                <w:szCs w:val="24"/>
              </w:rPr>
            </w:pPr>
            <w:r w:rsidRPr="00A91C4D">
              <w:rPr>
                <w:rFonts w:cstheme="minorHAnsi"/>
                <w:sz w:val="24"/>
                <w:szCs w:val="24"/>
              </w:rPr>
              <w:t>1b.</w:t>
            </w:r>
          </w:p>
        </w:tc>
        <w:tc>
          <w:tcPr>
            <w:tcW w:w="2977" w:type="dxa"/>
            <w:tcBorders>
              <w:bottom w:val="single" w:sz="4" w:space="0" w:color="33CC33"/>
            </w:tcBorders>
            <w:vAlign w:val="center"/>
          </w:tcPr>
          <w:p w14:paraId="0F73B361" w14:textId="3072BB36" w:rsidR="00AD3EC0" w:rsidRPr="00A91C4D" w:rsidRDefault="00AD3EC0" w:rsidP="00AD3EC0">
            <w:pPr>
              <w:pStyle w:val="Bezodstpw"/>
              <w:rPr>
                <w:rFonts w:cstheme="minorHAnsi"/>
                <w:i/>
                <w:sz w:val="24"/>
                <w:szCs w:val="24"/>
              </w:rPr>
            </w:pPr>
            <w:r w:rsidRPr="00A91C4D">
              <w:rPr>
                <w:rFonts w:cstheme="minorHAnsi"/>
                <w:i/>
                <w:sz w:val="24"/>
                <w:szCs w:val="24"/>
              </w:rPr>
              <w:t>Liczba wspartych małych przedsiębiorstw</w:t>
            </w:r>
          </w:p>
        </w:tc>
        <w:tc>
          <w:tcPr>
            <w:tcW w:w="1276" w:type="dxa"/>
            <w:tcBorders>
              <w:bottom w:val="single" w:sz="4" w:space="0" w:color="33CC33"/>
            </w:tcBorders>
            <w:vAlign w:val="center"/>
          </w:tcPr>
          <w:p w14:paraId="64B551CC" w14:textId="46864706" w:rsidR="00AD3EC0" w:rsidRPr="00A91C4D" w:rsidRDefault="00AD3EC0" w:rsidP="00AD3EC0">
            <w:pPr>
              <w:spacing w:before="60" w:after="60"/>
              <w:rPr>
                <w:rFonts w:eastAsia="Times New Roman" w:cstheme="minorHAnsi"/>
                <w:sz w:val="24"/>
                <w:szCs w:val="24"/>
              </w:rPr>
            </w:pPr>
            <w:r w:rsidRPr="00A91C4D">
              <w:rPr>
                <w:rFonts w:eastAsia="Times New Roman" w:cstheme="minorHAnsi"/>
                <w:sz w:val="24"/>
                <w:szCs w:val="24"/>
              </w:rPr>
              <w:t>szt.</w:t>
            </w:r>
          </w:p>
        </w:tc>
        <w:tc>
          <w:tcPr>
            <w:tcW w:w="1275" w:type="dxa"/>
            <w:tcBorders>
              <w:bottom w:val="single" w:sz="4" w:space="0" w:color="33CC33"/>
            </w:tcBorders>
            <w:vAlign w:val="center"/>
          </w:tcPr>
          <w:p w14:paraId="1B0FFCD7" w14:textId="544E2973" w:rsidR="00AD3EC0" w:rsidRPr="00A91C4D" w:rsidRDefault="00AD3EC0" w:rsidP="00AD3EC0">
            <w:pPr>
              <w:spacing w:before="60" w:after="60"/>
              <w:rPr>
                <w:rFonts w:cstheme="minorHAnsi"/>
                <w:sz w:val="24"/>
                <w:szCs w:val="24"/>
              </w:rPr>
            </w:pPr>
            <w:r w:rsidRPr="00A91C4D">
              <w:rPr>
                <w:rFonts w:cstheme="minorHAnsi"/>
                <w:sz w:val="24"/>
                <w:szCs w:val="24"/>
              </w:rPr>
              <w:t>produkt</w:t>
            </w:r>
          </w:p>
        </w:tc>
        <w:tc>
          <w:tcPr>
            <w:tcW w:w="1134" w:type="dxa"/>
            <w:tcBorders>
              <w:bottom w:val="single" w:sz="4" w:space="0" w:color="33CC33"/>
            </w:tcBorders>
            <w:vAlign w:val="center"/>
          </w:tcPr>
          <w:p w14:paraId="4F639600" w14:textId="559910CB" w:rsidR="00AD3EC0" w:rsidRPr="00A91C4D" w:rsidRDefault="00AD3EC0" w:rsidP="00AD3EC0">
            <w:pPr>
              <w:spacing w:before="60" w:after="60"/>
              <w:rPr>
                <w:rFonts w:cstheme="minorHAnsi"/>
                <w:sz w:val="24"/>
                <w:szCs w:val="24"/>
              </w:rPr>
            </w:pPr>
            <w:r w:rsidRPr="00A91C4D">
              <w:rPr>
                <w:rFonts w:cstheme="minorHAnsi"/>
                <w:sz w:val="24"/>
                <w:szCs w:val="24"/>
              </w:rPr>
              <w:t>kluczowy</w:t>
            </w:r>
          </w:p>
        </w:tc>
        <w:tc>
          <w:tcPr>
            <w:tcW w:w="1560" w:type="dxa"/>
            <w:tcBorders>
              <w:bottom w:val="single" w:sz="4" w:space="0" w:color="33CC33"/>
            </w:tcBorders>
            <w:vAlign w:val="center"/>
          </w:tcPr>
          <w:p w14:paraId="3A7E6C4C" w14:textId="415D0574" w:rsidR="00AD3EC0" w:rsidRPr="00A91C4D" w:rsidRDefault="00AD3EC0" w:rsidP="00AD3EC0">
            <w:pPr>
              <w:spacing w:before="60" w:after="60"/>
              <w:rPr>
                <w:rFonts w:cstheme="minorHAnsi"/>
                <w:sz w:val="24"/>
                <w:szCs w:val="24"/>
              </w:rPr>
            </w:pPr>
            <w:r w:rsidRPr="00A91C4D">
              <w:rPr>
                <w:rFonts w:cstheme="minorHAnsi"/>
                <w:sz w:val="24"/>
                <w:szCs w:val="24"/>
              </w:rPr>
              <w:t>-</w:t>
            </w:r>
          </w:p>
        </w:tc>
        <w:tc>
          <w:tcPr>
            <w:tcW w:w="6095" w:type="dxa"/>
            <w:tcBorders>
              <w:bottom w:val="single" w:sz="4" w:space="0" w:color="33CC33"/>
            </w:tcBorders>
            <w:vAlign w:val="center"/>
          </w:tcPr>
          <w:p w14:paraId="1F0D6179" w14:textId="120AC3A0" w:rsidR="00AD3EC0" w:rsidRPr="00A91C4D" w:rsidRDefault="00AD3EC0" w:rsidP="00AD3EC0">
            <w:pPr>
              <w:spacing w:before="60" w:after="60"/>
              <w:jc w:val="both"/>
              <w:rPr>
                <w:rFonts w:cstheme="minorHAnsi"/>
                <w:sz w:val="24"/>
                <w:szCs w:val="24"/>
              </w:rPr>
            </w:pPr>
            <w:r w:rsidRPr="00A91C4D">
              <w:rPr>
                <w:rFonts w:cstheme="minorHAnsi"/>
                <w:sz w:val="24"/>
                <w:szCs w:val="24"/>
              </w:rPr>
              <w:t xml:space="preserve">Wskaźnik obejmuje małe przedsiębiorstwa, które otrzymały wsparcie finansowe oraz pozafinansowe z Europejskiego Funduszu Rozwoju Regionalnego (EFRR), Funduszu Spójności (FS) oraz Funduszu Sprawiedliwej Transformacji (FST). Definicja przedsiębiorstwa zgodna z definicją wskaźnika - </w:t>
            </w:r>
            <w:r w:rsidRPr="00A91C4D">
              <w:rPr>
                <w:rFonts w:cstheme="minorHAnsi"/>
                <w:i/>
                <w:sz w:val="24"/>
                <w:szCs w:val="24"/>
              </w:rPr>
              <w:t>Przedsiębiorstwa objęte wsparciem (w tym: mikro, małe, średnie, duże)</w:t>
            </w:r>
            <w:r w:rsidRPr="00A91C4D">
              <w:rPr>
                <w:rFonts w:cstheme="minorHAnsi"/>
                <w:sz w:val="24"/>
                <w:szCs w:val="24"/>
              </w:rPr>
              <w:t>. Zgodnie z zaleceniem KE (2003/361/EC) małe przedsiębiorstwo to przedsiębiorstwo zatrudniające mniej niż  50 osób oraz którego roczny obrót lub/i roczny bilans nie przekracza 10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AD3EC0" w:rsidRPr="000A3D46" w14:paraId="6E4051B2" w14:textId="77777777" w:rsidTr="00A91C4D">
        <w:trPr>
          <w:trHeight w:val="551"/>
        </w:trPr>
        <w:tc>
          <w:tcPr>
            <w:tcW w:w="694" w:type="dxa"/>
            <w:tcBorders>
              <w:top w:val="single" w:sz="4" w:space="0" w:color="92D050"/>
              <w:bottom w:val="single" w:sz="4" w:space="0" w:color="33CC33"/>
            </w:tcBorders>
            <w:vAlign w:val="center"/>
          </w:tcPr>
          <w:p w14:paraId="2DDB7228" w14:textId="6337476E" w:rsidR="00AD3EC0" w:rsidRPr="00A91C4D" w:rsidRDefault="00AD3EC0" w:rsidP="00AD3EC0">
            <w:pPr>
              <w:spacing w:before="60" w:after="60"/>
              <w:jc w:val="center"/>
              <w:rPr>
                <w:rFonts w:cstheme="minorHAnsi"/>
                <w:sz w:val="24"/>
                <w:szCs w:val="24"/>
              </w:rPr>
            </w:pPr>
            <w:r w:rsidRPr="00A91C4D">
              <w:rPr>
                <w:rFonts w:cstheme="minorHAnsi"/>
                <w:sz w:val="24"/>
                <w:szCs w:val="24"/>
              </w:rPr>
              <w:t>1c.</w:t>
            </w:r>
          </w:p>
        </w:tc>
        <w:tc>
          <w:tcPr>
            <w:tcW w:w="2977" w:type="dxa"/>
            <w:tcBorders>
              <w:top w:val="single" w:sz="4" w:space="0" w:color="33CC33"/>
              <w:bottom w:val="single" w:sz="4" w:space="0" w:color="33CC33"/>
            </w:tcBorders>
            <w:vAlign w:val="center"/>
          </w:tcPr>
          <w:p w14:paraId="56B731F6" w14:textId="3C84D2D2" w:rsidR="00AD3EC0" w:rsidRPr="00A91C4D" w:rsidRDefault="00AD3EC0" w:rsidP="00AD3EC0">
            <w:pPr>
              <w:pStyle w:val="Bezodstpw"/>
              <w:rPr>
                <w:rFonts w:cstheme="minorHAnsi"/>
                <w:i/>
                <w:sz w:val="24"/>
                <w:szCs w:val="24"/>
              </w:rPr>
            </w:pPr>
            <w:r w:rsidRPr="00A91C4D">
              <w:rPr>
                <w:rFonts w:cstheme="minorHAnsi"/>
                <w:i/>
                <w:sz w:val="24"/>
                <w:szCs w:val="24"/>
              </w:rPr>
              <w:t>Liczba wspartych średnich przedsiębiorstw</w:t>
            </w:r>
          </w:p>
        </w:tc>
        <w:tc>
          <w:tcPr>
            <w:tcW w:w="1276" w:type="dxa"/>
            <w:tcBorders>
              <w:top w:val="single" w:sz="4" w:space="0" w:color="33CC33"/>
              <w:bottom w:val="single" w:sz="4" w:space="0" w:color="33CC33"/>
            </w:tcBorders>
            <w:vAlign w:val="center"/>
          </w:tcPr>
          <w:p w14:paraId="4D048481" w14:textId="73203F19" w:rsidR="00AD3EC0" w:rsidRPr="00A91C4D" w:rsidRDefault="00AD3EC0" w:rsidP="00AD3EC0">
            <w:pPr>
              <w:spacing w:before="60" w:after="60"/>
              <w:rPr>
                <w:rFonts w:eastAsia="Times New Roman" w:cstheme="minorHAnsi"/>
                <w:sz w:val="24"/>
                <w:szCs w:val="24"/>
              </w:rPr>
            </w:pPr>
            <w:r w:rsidRPr="00A91C4D">
              <w:rPr>
                <w:rFonts w:eastAsia="Times New Roman" w:cstheme="minorHAnsi"/>
                <w:sz w:val="24"/>
                <w:szCs w:val="24"/>
              </w:rPr>
              <w:t>szt.</w:t>
            </w:r>
          </w:p>
        </w:tc>
        <w:tc>
          <w:tcPr>
            <w:tcW w:w="1275" w:type="dxa"/>
            <w:tcBorders>
              <w:top w:val="single" w:sz="4" w:space="0" w:color="33CC33"/>
              <w:bottom w:val="single" w:sz="4" w:space="0" w:color="33CC33"/>
            </w:tcBorders>
            <w:vAlign w:val="center"/>
          </w:tcPr>
          <w:p w14:paraId="415C3669" w14:textId="0DEFC77B" w:rsidR="00AD3EC0" w:rsidRPr="00A91C4D" w:rsidRDefault="00AD3EC0" w:rsidP="00AD3EC0">
            <w:pPr>
              <w:spacing w:before="60" w:after="60"/>
              <w:rPr>
                <w:rFonts w:cstheme="minorHAnsi"/>
                <w:sz w:val="24"/>
                <w:szCs w:val="24"/>
              </w:rPr>
            </w:pPr>
            <w:r w:rsidRPr="00A91C4D">
              <w:rPr>
                <w:rFonts w:cstheme="minorHAnsi"/>
                <w:sz w:val="24"/>
                <w:szCs w:val="24"/>
              </w:rPr>
              <w:t>produkt</w:t>
            </w:r>
          </w:p>
        </w:tc>
        <w:tc>
          <w:tcPr>
            <w:tcW w:w="1134" w:type="dxa"/>
            <w:tcBorders>
              <w:top w:val="single" w:sz="4" w:space="0" w:color="33CC33"/>
              <w:bottom w:val="single" w:sz="4" w:space="0" w:color="33CC33"/>
            </w:tcBorders>
            <w:vAlign w:val="center"/>
          </w:tcPr>
          <w:p w14:paraId="09A0230E" w14:textId="42C45F99" w:rsidR="00AD3EC0" w:rsidRPr="00A91C4D" w:rsidRDefault="00AD3EC0" w:rsidP="00AD3EC0">
            <w:pPr>
              <w:spacing w:before="60" w:after="60"/>
              <w:rPr>
                <w:rFonts w:cstheme="minorHAnsi"/>
                <w:sz w:val="24"/>
                <w:szCs w:val="24"/>
              </w:rPr>
            </w:pPr>
            <w:r w:rsidRPr="00A91C4D">
              <w:rPr>
                <w:rFonts w:cstheme="minorHAnsi"/>
                <w:sz w:val="24"/>
                <w:szCs w:val="24"/>
              </w:rPr>
              <w:t>kluczowy</w:t>
            </w:r>
          </w:p>
        </w:tc>
        <w:tc>
          <w:tcPr>
            <w:tcW w:w="1560" w:type="dxa"/>
            <w:tcBorders>
              <w:top w:val="single" w:sz="4" w:space="0" w:color="33CC33"/>
              <w:bottom w:val="single" w:sz="4" w:space="0" w:color="33CC33"/>
            </w:tcBorders>
            <w:vAlign w:val="center"/>
          </w:tcPr>
          <w:p w14:paraId="5F6D7972" w14:textId="2C30E4C7" w:rsidR="00AD3EC0" w:rsidRPr="00A91C4D" w:rsidRDefault="00AD3EC0" w:rsidP="00AD3EC0">
            <w:pPr>
              <w:spacing w:before="60" w:after="60"/>
              <w:rPr>
                <w:rFonts w:cstheme="minorHAnsi"/>
                <w:sz w:val="24"/>
                <w:szCs w:val="24"/>
              </w:rPr>
            </w:pPr>
            <w:r w:rsidRPr="00A91C4D">
              <w:rPr>
                <w:rFonts w:cstheme="minorHAnsi"/>
                <w:sz w:val="24"/>
                <w:szCs w:val="24"/>
              </w:rPr>
              <w:t>-</w:t>
            </w:r>
          </w:p>
        </w:tc>
        <w:tc>
          <w:tcPr>
            <w:tcW w:w="6095" w:type="dxa"/>
            <w:tcBorders>
              <w:top w:val="single" w:sz="4" w:space="0" w:color="33CC33"/>
              <w:bottom w:val="single" w:sz="4" w:space="0" w:color="33CC33"/>
            </w:tcBorders>
            <w:vAlign w:val="center"/>
          </w:tcPr>
          <w:p w14:paraId="05D8EE72" w14:textId="6EDB8DB3" w:rsidR="00AD3EC0" w:rsidRPr="00A91C4D" w:rsidRDefault="00AD3EC0" w:rsidP="004302B2">
            <w:pPr>
              <w:spacing w:before="60" w:after="60"/>
              <w:jc w:val="both"/>
              <w:rPr>
                <w:rFonts w:cstheme="minorHAnsi"/>
                <w:sz w:val="24"/>
                <w:szCs w:val="24"/>
              </w:rPr>
            </w:pPr>
            <w:r w:rsidRPr="00A91C4D">
              <w:rPr>
                <w:rFonts w:cstheme="minorHAnsi"/>
                <w:sz w:val="24"/>
                <w:szCs w:val="24"/>
              </w:rPr>
              <w:t xml:space="preserve">Wskaźnik obejmuje średnie przedsiębiorstwa, które otrzymały wsparcie finansowe oraz pozafinansowe z Europejskiego Funduszu Rozwoju Regionalnego (EFRR), Funduszu Spójności (FS) oraz Funduszu Sprawiedliwej Transformacji (FST). Definicja przedsiębiorstwa zgodna z definicją wskaźnika - </w:t>
            </w:r>
            <w:r w:rsidRPr="00A91C4D">
              <w:rPr>
                <w:rFonts w:cstheme="minorHAnsi"/>
                <w:i/>
                <w:sz w:val="24"/>
                <w:szCs w:val="24"/>
              </w:rPr>
              <w:t>Przedsiębiorstwa objęte wsparciem (w tym: mikro, małe, średnie, duże)</w:t>
            </w:r>
            <w:r w:rsidRPr="00A91C4D">
              <w:rPr>
                <w:rFonts w:cstheme="minorHAnsi"/>
                <w:sz w:val="24"/>
                <w:szCs w:val="24"/>
              </w:rPr>
              <w:t xml:space="preserve">. Zgodnie z zaleceniem </w:t>
            </w:r>
            <w:r w:rsidRPr="00A91C4D">
              <w:rPr>
                <w:rFonts w:cstheme="minorHAnsi"/>
                <w:sz w:val="24"/>
                <w:szCs w:val="24"/>
              </w:rPr>
              <w:lastRenderedPageBreak/>
              <w:t>KE (2003/361/EC) średnie przedsiębiorstwo to przedsiębiorstwo zatrudniające od 50 do 249 osób oraz którego roczny obrót wynosi nie przekracza 50 mln EUR lub/i roczny bilans nie przekracza 43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AD3EC0" w:rsidRPr="000A3D46" w14:paraId="0CEE42E0" w14:textId="77777777" w:rsidTr="00A91C4D">
        <w:tc>
          <w:tcPr>
            <w:tcW w:w="694" w:type="dxa"/>
            <w:tcBorders>
              <w:top w:val="single" w:sz="4" w:space="0" w:color="33CC33"/>
            </w:tcBorders>
            <w:vAlign w:val="center"/>
          </w:tcPr>
          <w:p w14:paraId="5DCB8603" w14:textId="0D69F96C" w:rsidR="00AD3EC0" w:rsidRPr="00A91C4D" w:rsidRDefault="00AD3EC0" w:rsidP="00AD3EC0">
            <w:pPr>
              <w:spacing w:before="60" w:after="60"/>
              <w:jc w:val="center"/>
              <w:rPr>
                <w:rFonts w:cstheme="minorHAnsi"/>
                <w:sz w:val="24"/>
                <w:szCs w:val="24"/>
              </w:rPr>
            </w:pPr>
            <w:r w:rsidRPr="00A91C4D">
              <w:rPr>
                <w:rFonts w:cstheme="minorHAnsi"/>
                <w:sz w:val="24"/>
                <w:szCs w:val="24"/>
              </w:rPr>
              <w:lastRenderedPageBreak/>
              <w:t>2.</w:t>
            </w:r>
          </w:p>
        </w:tc>
        <w:tc>
          <w:tcPr>
            <w:tcW w:w="2977" w:type="dxa"/>
            <w:tcBorders>
              <w:top w:val="single" w:sz="4" w:space="0" w:color="33CC33"/>
              <w:bottom w:val="single" w:sz="4" w:space="0" w:color="33CC33"/>
            </w:tcBorders>
            <w:vAlign w:val="center"/>
          </w:tcPr>
          <w:p w14:paraId="63E0F7C8" w14:textId="448DF7EC" w:rsidR="00AD3EC0" w:rsidRPr="00A91C4D" w:rsidRDefault="00AD3EC0" w:rsidP="00AD3EC0">
            <w:pPr>
              <w:spacing w:before="60" w:after="60"/>
              <w:rPr>
                <w:rFonts w:cstheme="minorHAnsi"/>
                <w:i/>
                <w:sz w:val="24"/>
                <w:szCs w:val="24"/>
              </w:rPr>
            </w:pPr>
            <w:r w:rsidRPr="00A91C4D">
              <w:rPr>
                <w:rFonts w:cstheme="minorHAnsi"/>
                <w:i/>
                <w:sz w:val="24"/>
                <w:szCs w:val="24"/>
              </w:rPr>
              <w:t>Przedsiębiorstwa objęte wsparciem z instrumentów finansowych</w:t>
            </w:r>
          </w:p>
        </w:tc>
        <w:tc>
          <w:tcPr>
            <w:tcW w:w="1276" w:type="dxa"/>
            <w:tcBorders>
              <w:top w:val="single" w:sz="4" w:space="0" w:color="33CC33"/>
              <w:bottom w:val="single" w:sz="4" w:space="0" w:color="33CC33"/>
            </w:tcBorders>
            <w:vAlign w:val="center"/>
          </w:tcPr>
          <w:p w14:paraId="488E9390" w14:textId="4AEE11BE" w:rsidR="00AD3EC0" w:rsidRPr="00A91C4D" w:rsidRDefault="00AD3EC0" w:rsidP="00AD3EC0">
            <w:pPr>
              <w:spacing w:before="60" w:after="60"/>
              <w:rPr>
                <w:rFonts w:eastAsia="Times New Roman" w:cstheme="minorHAnsi"/>
                <w:sz w:val="24"/>
                <w:szCs w:val="24"/>
              </w:rPr>
            </w:pPr>
            <w:r w:rsidRPr="00A91C4D">
              <w:rPr>
                <w:rFonts w:eastAsia="Times New Roman" w:cstheme="minorHAnsi"/>
                <w:sz w:val="24"/>
                <w:szCs w:val="24"/>
              </w:rPr>
              <w:t>szt.</w:t>
            </w:r>
          </w:p>
        </w:tc>
        <w:tc>
          <w:tcPr>
            <w:tcW w:w="1275" w:type="dxa"/>
            <w:tcBorders>
              <w:top w:val="single" w:sz="4" w:space="0" w:color="33CC33"/>
              <w:bottom w:val="single" w:sz="4" w:space="0" w:color="33CC33"/>
            </w:tcBorders>
            <w:vAlign w:val="center"/>
          </w:tcPr>
          <w:p w14:paraId="20BFE856" w14:textId="7C11A666" w:rsidR="00AD3EC0" w:rsidRPr="00A91C4D" w:rsidRDefault="00AD3EC0" w:rsidP="00AD3EC0">
            <w:pPr>
              <w:spacing w:before="60" w:after="60"/>
              <w:rPr>
                <w:rFonts w:cstheme="minorHAnsi"/>
                <w:sz w:val="24"/>
                <w:szCs w:val="24"/>
              </w:rPr>
            </w:pPr>
            <w:r w:rsidRPr="00A91C4D">
              <w:rPr>
                <w:rFonts w:cstheme="minorHAnsi"/>
                <w:sz w:val="24"/>
                <w:szCs w:val="24"/>
              </w:rPr>
              <w:t>produkt</w:t>
            </w:r>
          </w:p>
        </w:tc>
        <w:tc>
          <w:tcPr>
            <w:tcW w:w="1134" w:type="dxa"/>
            <w:tcBorders>
              <w:top w:val="single" w:sz="4" w:space="0" w:color="33CC33"/>
              <w:bottom w:val="single" w:sz="4" w:space="0" w:color="33CC33"/>
            </w:tcBorders>
            <w:vAlign w:val="center"/>
          </w:tcPr>
          <w:p w14:paraId="7D40E9BB" w14:textId="4C298845" w:rsidR="00AD3EC0" w:rsidRPr="00A91C4D" w:rsidRDefault="00AD3EC0" w:rsidP="00AD3EC0">
            <w:pPr>
              <w:spacing w:before="60" w:after="60"/>
              <w:rPr>
                <w:rFonts w:cstheme="minorHAnsi"/>
                <w:sz w:val="24"/>
                <w:szCs w:val="24"/>
              </w:rPr>
            </w:pPr>
            <w:r w:rsidRPr="00A91C4D">
              <w:rPr>
                <w:rFonts w:cstheme="minorHAnsi"/>
                <w:sz w:val="24"/>
                <w:szCs w:val="24"/>
              </w:rPr>
              <w:t>kluczowy</w:t>
            </w:r>
          </w:p>
        </w:tc>
        <w:tc>
          <w:tcPr>
            <w:tcW w:w="1560" w:type="dxa"/>
            <w:tcBorders>
              <w:top w:val="single" w:sz="4" w:space="0" w:color="33CC33"/>
              <w:bottom w:val="single" w:sz="4" w:space="0" w:color="33CC33"/>
            </w:tcBorders>
            <w:vAlign w:val="center"/>
          </w:tcPr>
          <w:p w14:paraId="6F87C0A2" w14:textId="77777777" w:rsidR="00AD3EC0" w:rsidRPr="00A91C4D" w:rsidRDefault="00AD3EC0" w:rsidP="00AD3EC0">
            <w:pPr>
              <w:spacing w:before="60" w:after="60"/>
              <w:jc w:val="center"/>
              <w:rPr>
                <w:rFonts w:cstheme="minorHAnsi"/>
                <w:sz w:val="24"/>
                <w:szCs w:val="24"/>
              </w:rPr>
            </w:pPr>
            <w:r w:rsidRPr="00A91C4D">
              <w:rPr>
                <w:rFonts w:cstheme="minorHAnsi"/>
                <w:sz w:val="24"/>
                <w:szCs w:val="24"/>
              </w:rPr>
              <w:t>Wskaźnik</w:t>
            </w:r>
          </w:p>
          <w:p w14:paraId="3E539781" w14:textId="09B5FEA1" w:rsidR="00AD3EC0" w:rsidRPr="00A91C4D" w:rsidRDefault="00AD3EC0" w:rsidP="00AD3EC0">
            <w:pPr>
              <w:spacing w:before="60" w:after="60"/>
              <w:jc w:val="center"/>
              <w:rPr>
                <w:rFonts w:cstheme="minorHAnsi"/>
                <w:sz w:val="24"/>
                <w:szCs w:val="24"/>
              </w:rPr>
            </w:pPr>
            <w:r w:rsidRPr="00A91C4D">
              <w:rPr>
                <w:rFonts w:cstheme="minorHAnsi"/>
                <w:sz w:val="24"/>
                <w:szCs w:val="24"/>
              </w:rPr>
              <w:t>Programowy</w:t>
            </w:r>
          </w:p>
        </w:tc>
        <w:tc>
          <w:tcPr>
            <w:tcW w:w="6095" w:type="dxa"/>
            <w:tcBorders>
              <w:top w:val="single" w:sz="4" w:space="0" w:color="33CC33"/>
              <w:bottom w:val="single" w:sz="4" w:space="0" w:color="33CC33"/>
            </w:tcBorders>
            <w:vAlign w:val="center"/>
          </w:tcPr>
          <w:p w14:paraId="27E81159" w14:textId="77D7FA18" w:rsidR="00AD3EC0" w:rsidRPr="00A91C4D" w:rsidRDefault="00AD3EC0" w:rsidP="004302B2">
            <w:pPr>
              <w:spacing w:before="60" w:after="60"/>
              <w:jc w:val="both"/>
              <w:rPr>
                <w:rFonts w:cstheme="minorHAnsi"/>
                <w:sz w:val="24"/>
                <w:szCs w:val="24"/>
              </w:rPr>
            </w:pPr>
            <w:r w:rsidRPr="00A91C4D">
              <w:rPr>
                <w:rFonts w:cstheme="minorHAnsi"/>
                <w:sz w:val="24"/>
                <w:szCs w:val="24"/>
              </w:rPr>
              <w:t xml:space="preserve">Liczba przedsiębiorstw otrzymujących wsparcie w formie pożyczek, dotacji na spłatę odsetek, gwarancji kredytowych, venture capital lub innego instrumentu finansowego. Instrumenty finansowe w tym kontekście obejmują inwestycje quasi-kapitałowe, kapitałowe, gwarancje i pożyczki zgodnie z definicją w art. 2 rozporządzenia UE 2018/1046: (52) „inwestycja quasi-kapitałowa” oznacza rodzaj finansowania mieszczący się między finansowaniem kapitałowym a finansowaniem dłużnym, o poziomie ryzyka wyższym niż dług uprzywilejowany, a niższym niż kapitał podstawowy, i który może mieć taką strukturę jak dług, zazwyczaj niezabezpieczony i podporządkowany, a w niektórych przypadkach wymienialny na udziały lub na udziały preferencyjne; 25) „inwestycja kapitałowa” oznacza wniesienie do spółki kapitału, zainwestowanego bezpośrednio lub pośrednio w zamian za całkowite lub częściowe udziały w strukturze własności tej spółki, przy czym inwestor kapitałowy może sprawować pewną kontrolę nad zarządzaniem spółką oraz może mieć udział w zyskach spółki; 34) „gwarancja” oznacza pisemne zobowiązanie do przyjęcia odpowiedzialności za całość lub część długu lub zobowiązania osoby trzeciej lub za pomyślne wykonanie przez nią zobowiązań w przypadku wystąpienia zdarzenia, które uruchamia taką gwarancję, takiego jak niewykonanie zobowiązań z tytułu pożyczki; 40) „pożyczka” oznacza umowę zobowiązującą pożyczkodawcę do udostępnienia pożyczkobiorcy uzgodnionej kwoty na uzgodniony okres, zgodnie z którą to umową pożyczkobiorca ma obowiązek spłacić tę kwotę w uzgodnionym terminie;   Definicja przedsiębiorstwa znajduje się we wskaźniku - </w:t>
            </w:r>
            <w:r w:rsidRPr="00A91C4D">
              <w:rPr>
                <w:rFonts w:cstheme="minorHAnsi"/>
                <w:i/>
                <w:sz w:val="24"/>
                <w:szCs w:val="24"/>
              </w:rPr>
              <w:t>Przedsiębiorstwa objęte wsparciem (w tym: mikro, małe, średnie, duże)</w:t>
            </w:r>
            <w:r w:rsidRPr="00A91C4D">
              <w:rPr>
                <w:rFonts w:cstheme="minorHAnsi"/>
                <w:sz w:val="24"/>
                <w:szCs w:val="24"/>
              </w:rPr>
              <w:t>.</w:t>
            </w:r>
          </w:p>
        </w:tc>
      </w:tr>
      <w:tr w:rsidR="00AD3EC0" w:rsidRPr="000A3D46" w14:paraId="67B62AC5" w14:textId="77777777" w:rsidTr="00A91C4D">
        <w:trPr>
          <w:trHeight w:val="474"/>
        </w:trPr>
        <w:tc>
          <w:tcPr>
            <w:tcW w:w="694" w:type="dxa"/>
            <w:tcBorders>
              <w:bottom w:val="single" w:sz="8" w:space="0" w:color="33CC33"/>
            </w:tcBorders>
            <w:vAlign w:val="center"/>
          </w:tcPr>
          <w:p w14:paraId="2879AE22" w14:textId="6CBAFFB4" w:rsidR="00AD3EC0" w:rsidRPr="00A91C4D" w:rsidRDefault="00594DAA" w:rsidP="00AD3EC0">
            <w:pPr>
              <w:spacing w:before="60" w:after="60"/>
              <w:jc w:val="center"/>
              <w:rPr>
                <w:rFonts w:cstheme="minorHAnsi"/>
                <w:sz w:val="24"/>
                <w:szCs w:val="24"/>
              </w:rPr>
            </w:pPr>
            <w:r w:rsidRPr="00A91C4D">
              <w:rPr>
                <w:rFonts w:cstheme="minorHAnsi"/>
                <w:sz w:val="24"/>
                <w:szCs w:val="24"/>
              </w:rPr>
              <w:t>3</w:t>
            </w:r>
            <w:r w:rsidR="00AD3EC0" w:rsidRPr="00A91C4D">
              <w:rPr>
                <w:rFonts w:cstheme="minorHAnsi"/>
                <w:sz w:val="24"/>
                <w:szCs w:val="24"/>
              </w:rPr>
              <w:t>.</w:t>
            </w:r>
          </w:p>
        </w:tc>
        <w:tc>
          <w:tcPr>
            <w:tcW w:w="2977" w:type="dxa"/>
            <w:tcBorders>
              <w:bottom w:val="single" w:sz="8" w:space="0" w:color="33CC33"/>
            </w:tcBorders>
            <w:vAlign w:val="center"/>
          </w:tcPr>
          <w:p w14:paraId="5F1A1B74" w14:textId="231097CE" w:rsidR="00AD3EC0" w:rsidRPr="00A91C4D" w:rsidRDefault="00AD3EC0" w:rsidP="00AD3EC0">
            <w:pPr>
              <w:spacing w:before="60" w:after="60"/>
              <w:rPr>
                <w:rFonts w:eastAsia="Times New Roman" w:cstheme="minorHAnsi"/>
                <w:i/>
                <w:sz w:val="24"/>
                <w:szCs w:val="24"/>
              </w:rPr>
            </w:pPr>
            <w:r w:rsidRPr="00A91C4D">
              <w:rPr>
                <w:rFonts w:cstheme="minorHAnsi"/>
                <w:i/>
                <w:sz w:val="24"/>
                <w:szCs w:val="24"/>
              </w:rPr>
              <w:t>Inwestycje prywatne uzupełniające wsparcie publiczne (w tym: dotacje, instrumenty finansowe)</w:t>
            </w:r>
          </w:p>
        </w:tc>
        <w:tc>
          <w:tcPr>
            <w:tcW w:w="1276" w:type="dxa"/>
            <w:tcBorders>
              <w:bottom w:val="single" w:sz="8" w:space="0" w:color="33CC33"/>
            </w:tcBorders>
            <w:vAlign w:val="center"/>
          </w:tcPr>
          <w:p w14:paraId="079C0776" w14:textId="2233533E" w:rsidR="00AD3EC0" w:rsidRPr="00A91C4D" w:rsidRDefault="009B6195" w:rsidP="00283308">
            <w:pPr>
              <w:spacing w:before="60" w:after="60"/>
              <w:rPr>
                <w:rFonts w:eastAsia="Times New Roman" w:cstheme="minorHAnsi"/>
                <w:sz w:val="24"/>
                <w:szCs w:val="24"/>
              </w:rPr>
            </w:pPr>
            <w:r w:rsidRPr="00A91C4D">
              <w:rPr>
                <w:rFonts w:eastAsia="Times New Roman" w:cstheme="minorHAnsi"/>
                <w:sz w:val="24"/>
                <w:szCs w:val="24"/>
              </w:rPr>
              <w:t>PLN</w:t>
            </w:r>
          </w:p>
        </w:tc>
        <w:tc>
          <w:tcPr>
            <w:tcW w:w="1275" w:type="dxa"/>
            <w:tcBorders>
              <w:bottom w:val="single" w:sz="8" w:space="0" w:color="33CC33"/>
            </w:tcBorders>
            <w:vAlign w:val="center"/>
          </w:tcPr>
          <w:p w14:paraId="07D6F6F0" w14:textId="6F5774D7" w:rsidR="00AD3EC0" w:rsidRPr="00A91C4D" w:rsidRDefault="00AD3EC0" w:rsidP="00AD3EC0">
            <w:pPr>
              <w:spacing w:before="60" w:after="60"/>
              <w:jc w:val="center"/>
              <w:rPr>
                <w:rFonts w:cstheme="minorHAnsi"/>
                <w:sz w:val="24"/>
                <w:szCs w:val="24"/>
              </w:rPr>
            </w:pPr>
            <w:r w:rsidRPr="00A91C4D">
              <w:rPr>
                <w:rFonts w:cstheme="minorHAnsi"/>
                <w:sz w:val="24"/>
                <w:szCs w:val="24"/>
              </w:rPr>
              <w:t>rezultat</w:t>
            </w:r>
          </w:p>
        </w:tc>
        <w:tc>
          <w:tcPr>
            <w:tcW w:w="1134" w:type="dxa"/>
            <w:tcBorders>
              <w:bottom w:val="single" w:sz="8" w:space="0" w:color="33CC33"/>
            </w:tcBorders>
            <w:vAlign w:val="center"/>
          </w:tcPr>
          <w:p w14:paraId="5CCC0A16" w14:textId="092A50EC" w:rsidR="00AD3EC0" w:rsidRPr="00A91C4D" w:rsidRDefault="00AD3EC0" w:rsidP="00AD3EC0">
            <w:pPr>
              <w:spacing w:before="60" w:after="60"/>
              <w:jc w:val="center"/>
              <w:rPr>
                <w:rFonts w:cstheme="minorHAnsi"/>
                <w:sz w:val="24"/>
                <w:szCs w:val="24"/>
              </w:rPr>
            </w:pPr>
            <w:r w:rsidRPr="00A91C4D">
              <w:rPr>
                <w:rFonts w:cstheme="minorHAnsi"/>
                <w:sz w:val="24"/>
                <w:szCs w:val="24"/>
              </w:rPr>
              <w:t>kluczowy</w:t>
            </w:r>
          </w:p>
        </w:tc>
        <w:tc>
          <w:tcPr>
            <w:tcW w:w="1560" w:type="dxa"/>
            <w:tcBorders>
              <w:bottom w:val="single" w:sz="8" w:space="0" w:color="33CC33"/>
            </w:tcBorders>
            <w:vAlign w:val="center"/>
          </w:tcPr>
          <w:p w14:paraId="0893263F" w14:textId="5B3C7708" w:rsidR="00AD3EC0" w:rsidRPr="00A91C4D" w:rsidRDefault="00AD3EC0" w:rsidP="00AD3EC0">
            <w:pPr>
              <w:spacing w:before="60" w:after="60"/>
              <w:jc w:val="center"/>
              <w:rPr>
                <w:rFonts w:cstheme="minorHAnsi"/>
                <w:sz w:val="24"/>
                <w:szCs w:val="24"/>
              </w:rPr>
            </w:pPr>
            <w:r w:rsidRPr="00A91C4D">
              <w:rPr>
                <w:rFonts w:cstheme="minorHAnsi"/>
                <w:sz w:val="24"/>
                <w:szCs w:val="24"/>
              </w:rPr>
              <w:t>Wskaźnik programowy</w:t>
            </w:r>
          </w:p>
          <w:p w14:paraId="102EE242" w14:textId="77777777" w:rsidR="00AD3EC0" w:rsidRPr="00A91C4D" w:rsidRDefault="00AD3EC0" w:rsidP="00AD3EC0">
            <w:pPr>
              <w:spacing w:before="60" w:after="60"/>
              <w:jc w:val="center"/>
              <w:rPr>
                <w:rFonts w:cstheme="minorHAnsi"/>
                <w:sz w:val="24"/>
                <w:szCs w:val="24"/>
              </w:rPr>
            </w:pPr>
          </w:p>
          <w:p w14:paraId="1AABD0FA" w14:textId="50B40750" w:rsidR="00AD3EC0" w:rsidRPr="00A91C4D" w:rsidRDefault="00AD3EC0" w:rsidP="00AD3EC0">
            <w:pPr>
              <w:spacing w:before="60" w:after="60"/>
              <w:jc w:val="center"/>
              <w:rPr>
                <w:rFonts w:cstheme="minorHAnsi"/>
                <w:sz w:val="24"/>
                <w:szCs w:val="24"/>
              </w:rPr>
            </w:pPr>
            <w:r w:rsidRPr="00A91C4D">
              <w:rPr>
                <w:rFonts w:cstheme="minorHAnsi"/>
                <w:sz w:val="24"/>
                <w:szCs w:val="24"/>
              </w:rPr>
              <w:t>Wskaźnik agregujący</w:t>
            </w:r>
          </w:p>
        </w:tc>
        <w:tc>
          <w:tcPr>
            <w:tcW w:w="6095" w:type="dxa"/>
            <w:tcBorders>
              <w:bottom w:val="single" w:sz="8" w:space="0" w:color="33CC33"/>
            </w:tcBorders>
            <w:vAlign w:val="center"/>
          </w:tcPr>
          <w:p w14:paraId="4C7CB846" w14:textId="77F57C9A" w:rsidR="00AD3EC0" w:rsidRPr="00A91C4D" w:rsidRDefault="00AD3EC0" w:rsidP="004302B2">
            <w:pPr>
              <w:spacing w:before="60" w:after="60"/>
              <w:jc w:val="both"/>
              <w:rPr>
                <w:rFonts w:cstheme="minorHAnsi"/>
                <w:sz w:val="24"/>
                <w:szCs w:val="24"/>
              </w:rPr>
            </w:pPr>
            <w:r w:rsidRPr="00A91C4D">
              <w:rPr>
                <w:rFonts w:cstheme="minorHAnsi"/>
                <w:sz w:val="24"/>
                <w:szCs w:val="24"/>
              </w:rPr>
              <w:t>Całkowity wkład prywatny współfinansujący wspierane projekty, w których    wsparcie ma formę dotacji lub pochodzi z instrumentów finansowych. Wskaźnik obejmuje również niekwalifikowalną część kosztów projektu, w tym podatek VAT. W przypadku przedsiębiorstw państwowych wskaźnik obejmuje wkłady na współfinansowanie z ich własnego budżetu. Wskaźnik należy obliczyć na podstawie prywatnego współfinansowania przewidzianego w umowach o dofinansowanie. W przypadku instrumentów finansowych ma on obejmować zarówno finansowanie prywatne przez pośrednika (zarządzającego funduszem), jak i ostatecznego odbiorcę.</w:t>
            </w:r>
          </w:p>
        </w:tc>
      </w:tr>
      <w:tr w:rsidR="00AD3EC0" w:rsidRPr="000A3D46" w14:paraId="26655A8B" w14:textId="77777777" w:rsidTr="00A91C4D">
        <w:trPr>
          <w:trHeight w:val="757"/>
        </w:trPr>
        <w:tc>
          <w:tcPr>
            <w:tcW w:w="694" w:type="dxa"/>
            <w:tcBorders>
              <w:bottom w:val="single" w:sz="8" w:space="0" w:color="33CC33"/>
            </w:tcBorders>
            <w:vAlign w:val="center"/>
          </w:tcPr>
          <w:p w14:paraId="1833A568" w14:textId="1591C685" w:rsidR="00AD3EC0" w:rsidRPr="00A91C4D" w:rsidRDefault="00594DAA" w:rsidP="00AD3EC0">
            <w:pPr>
              <w:spacing w:before="60" w:after="60"/>
              <w:jc w:val="center"/>
              <w:rPr>
                <w:rFonts w:cstheme="minorHAnsi"/>
                <w:sz w:val="24"/>
                <w:szCs w:val="24"/>
              </w:rPr>
            </w:pPr>
            <w:r w:rsidRPr="00A91C4D">
              <w:rPr>
                <w:rFonts w:cstheme="minorHAnsi"/>
                <w:sz w:val="24"/>
                <w:szCs w:val="24"/>
              </w:rPr>
              <w:t>3</w:t>
            </w:r>
            <w:r w:rsidR="00AD3EC0" w:rsidRPr="00A91C4D">
              <w:rPr>
                <w:rFonts w:cstheme="minorHAnsi"/>
                <w:sz w:val="24"/>
                <w:szCs w:val="24"/>
              </w:rPr>
              <w:t>a.</w:t>
            </w:r>
          </w:p>
        </w:tc>
        <w:tc>
          <w:tcPr>
            <w:tcW w:w="2977" w:type="dxa"/>
            <w:tcBorders>
              <w:bottom w:val="single" w:sz="8" w:space="0" w:color="33CC33"/>
            </w:tcBorders>
            <w:vAlign w:val="center"/>
          </w:tcPr>
          <w:p w14:paraId="105D4ABF" w14:textId="6FDC0A02" w:rsidR="00AD3EC0" w:rsidRPr="00A91C4D" w:rsidRDefault="00283308" w:rsidP="00AD3EC0">
            <w:pPr>
              <w:pStyle w:val="Bezodstpw"/>
              <w:rPr>
                <w:rFonts w:cstheme="minorHAnsi"/>
                <w:i/>
                <w:sz w:val="24"/>
                <w:szCs w:val="24"/>
                <w:highlight w:val="yellow"/>
              </w:rPr>
            </w:pPr>
            <w:r w:rsidRPr="00A91C4D">
              <w:rPr>
                <w:rFonts w:cstheme="minorHAnsi"/>
                <w:i/>
                <w:sz w:val="24"/>
                <w:szCs w:val="24"/>
              </w:rPr>
              <w:t>Wartość inwestycji prywatnych uzupełniających wsparcie publiczne – instrumenty finansowe</w:t>
            </w:r>
          </w:p>
        </w:tc>
        <w:tc>
          <w:tcPr>
            <w:tcW w:w="1276" w:type="dxa"/>
            <w:tcBorders>
              <w:bottom w:val="single" w:sz="8" w:space="0" w:color="33CC33"/>
            </w:tcBorders>
            <w:vAlign w:val="center"/>
          </w:tcPr>
          <w:p w14:paraId="66092B32" w14:textId="37E32C26" w:rsidR="00AD3EC0" w:rsidRPr="00A91C4D" w:rsidRDefault="00283308" w:rsidP="00283308">
            <w:pPr>
              <w:spacing w:before="60" w:after="60"/>
              <w:rPr>
                <w:rFonts w:eastAsia="Times New Roman" w:cstheme="minorHAnsi"/>
                <w:sz w:val="24"/>
                <w:szCs w:val="24"/>
              </w:rPr>
            </w:pPr>
            <w:r w:rsidRPr="00A91C4D">
              <w:rPr>
                <w:rFonts w:eastAsia="Times New Roman" w:cstheme="minorHAnsi"/>
                <w:sz w:val="24"/>
                <w:szCs w:val="24"/>
              </w:rPr>
              <w:t>PLN</w:t>
            </w:r>
          </w:p>
        </w:tc>
        <w:tc>
          <w:tcPr>
            <w:tcW w:w="1275" w:type="dxa"/>
            <w:tcBorders>
              <w:bottom w:val="single" w:sz="8" w:space="0" w:color="33CC33"/>
            </w:tcBorders>
            <w:vAlign w:val="center"/>
          </w:tcPr>
          <w:p w14:paraId="08CB04A5" w14:textId="489EE0B2" w:rsidR="00AD3EC0" w:rsidRPr="00A91C4D" w:rsidRDefault="00AD3EC0" w:rsidP="00AD3EC0">
            <w:pPr>
              <w:spacing w:before="60" w:after="60"/>
              <w:jc w:val="center"/>
              <w:rPr>
                <w:rFonts w:cstheme="minorHAnsi"/>
                <w:sz w:val="24"/>
                <w:szCs w:val="24"/>
              </w:rPr>
            </w:pPr>
            <w:r w:rsidRPr="00A91C4D">
              <w:rPr>
                <w:rFonts w:cstheme="minorHAnsi"/>
                <w:sz w:val="24"/>
                <w:szCs w:val="24"/>
              </w:rPr>
              <w:t>rezultat</w:t>
            </w:r>
          </w:p>
        </w:tc>
        <w:tc>
          <w:tcPr>
            <w:tcW w:w="1134" w:type="dxa"/>
            <w:tcBorders>
              <w:bottom w:val="single" w:sz="8" w:space="0" w:color="33CC33"/>
            </w:tcBorders>
            <w:vAlign w:val="center"/>
          </w:tcPr>
          <w:p w14:paraId="6F7DDB7F" w14:textId="121EF44B" w:rsidR="00AD3EC0" w:rsidRPr="00A91C4D" w:rsidRDefault="00AD3EC0" w:rsidP="00AD3EC0">
            <w:pPr>
              <w:spacing w:before="60" w:after="60"/>
              <w:jc w:val="center"/>
              <w:rPr>
                <w:rFonts w:cstheme="minorHAnsi"/>
                <w:sz w:val="24"/>
                <w:szCs w:val="24"/>
              </w:rPr>
            </w:pPr>
            <w:r w:rsidRPr="00A91C4D">
              <w:rPr>
                <w:rFonts w:cstheme="minorHAnsi"/>
                <w:sz w:val="24"/>
                <w:szCs w:val="24"/>
              </w:rPr>
              <w:t>kluczowy</w:t>
            </w:r>
          </w:p>
        </w:tc>
        <w:tc>
          <w:tcPr>
            <w:tcW w:w="1560" w:type="dxa"/>
            <w:tcBorders>
              <w:bottom w:val="single" w:sz="8" w:space="0" w:color="33CC33"/>
            </w:tcBorders>
            <w:vAlign w:val="center"/>
          </w:tcPr>
          <w:p w14:paraId="4A5A81C2" w14:textId="23A89F24" w:rsidR="00AD3EC0" w:rsidRPr="00A91C4D" w:rsidRDefault="00AD3EC0" w:rsidP="00AD3EC0">
            <w:pPr>
              <w:spacing w:before="60" w:after="60"/>
              <w:jc w:val="center"/>
              <w:rPr>
                <w:rFonts w:cstheme="minorHAnsi"/>
                <w:sz w:val="24"/>
                <w:szCs w:val="24"/>
              </w:rPr>
            </w:pPr>
            <w:r w:rsidRPr="00A91C4D">
              <w:rPr>
                <w:rFonts w:cstheme="minorHAnsi"/>
                <w:sz w:val="24"/>
                <w:szCs w:val="24"/>
              </w:rPr>
              <w:t>-</w:t>
            </w:r>
          </w:p>
        </w:tc>
        <w:tc>
          <w:tcPr>
            <w:tcW w:w="6095" w:type="dxa"/>
            <w:tcBorders>
              <w:bottom w:val="single" w:sz="8" w:space="0" w:color="33CC33"/>
            </w:tcBorders>
            <w:vAlign w:val="center"/>
          </w:tcPr>
          <w:p w14:paraId="0D30DB9A" w14:textId="19132E7A" w:rsidR="00AD3EC0" w:rsidRPr="00A91C4D" w:rsidRDefault="00283308" w:rsidP="00283308">
            <w:pPr>
              <w:spacing w:before="60" w:after="60"/>
              <w:jc w:val="both"/>
              <w:rPr>
                <w:rFonts w:cstheme="minorHAnsi"/>
                <w:sz w:val="24"/>
                <w:szCs w:val="24"/>
              </w:rPr>
            </w:pPr>
            <w:r w:rsidRPr="00A91C4D">
              <w:rPr>
                <w:rFonts w:cstheme="minorHAnsi"/>
                <w:sz w:val="24"/>
                <w:szCs w:val="24"/>
              </w:rPr>
              <w:t>Wskaźnik mierzy całkowity wkład prywatny współfinansujący wspierane projekty, w przypadku których formą wsparcia są instrumenty finansowe. Wskaźnik obejmuje również niekwalifikowalną część kosztów projektu, w tym podatek VAT. W przypadku projektów realizowanych przez przedsiębiorstwa państwowe, do wartości wskaźnika wliczany jest wkład własny tego przedsiębiorstwa. Wskaźnik powinien być obliczany na podstawie współfinansowania prywatnego przewidzianego w umowach o dofinansowanie dla wspieranych projektów.</w:t>
            </w:r>
          </w:p>
        </w:tc>
      </w:tr>
    </w:tbl>
    <w:p w14:paraId="17D4EE4A" w14:textId="77777777" w:rsidR="000F4CA9" w:rsidRPr="00A91C4D" w:rsidRDefault="000F4CA9" w:rsidP="00594DAA">
      <w:pPr>
        <w:spacing w:after="0"/>
        <w:rPr>
          <w:rFonts w:cstheme="minorHAnsi"/>
          <w:sz w:val="24"/>
          <w:szCs w:val="24"/>
        </w:rPr>
      </w:pPr>
    </w:p>
    <w:sectPr w:rsidR="000F4CA9" w:rsidRPr="00A91C4D"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538A" w14:textId="77777777" w:rsidR="00B24AE0" w:rsidRDefault="00B24AE0" w:rsidP="00A11280">
      <w:pPr>
        <w:spacing w:after="0" w:line="240" w:lineRule="auto"/>
      </w:pPr>
      <w:r>
        <w:separator/>
      </w:r>
    </w:p>
  </w:endnote>
  <w:endnote w:type="continuationSeparator" w:id="0">
    <w:p w14:paraId="4DF86374" w14:textId="77777777" w:rsidR="00B24AE0" w:rsidRDefault="00B24AE0"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39273C" w:rsidRDefault="0039273C">
        <w:pPr>
          <w:pStyle w:val="Stopka"/>
          <w:jc w:val="center"/>
        </w:pPr>
        <w:r>
          <w:fldChar w:fldCharType="begin"/>
        </w:r>
        <w:r>
          <w:instrText>PAGE   \* MERGEFORMAT</w:instrText>
        </w:r>
        <w:r>
          <w:fldChar w:fldCharType="separate"/>
        </w:r>
        <w:r w:rsidR="00A91C4D">
          <w:rPr>
            <w:noProof/>
          </w:rPr>
          <w:t>3</w:t>
        </w:r>
        <w:r>
          <w:rPr>
            <w:noProof/>
          </w:rPr>
          <w:fldChar w:fldCharType="end"/>
        </w:r>
      </w:p>
    </w:sdtContent>
  </w:sdt>
  <w:p w14:paraId="1CE2B7A3" w14:textId="77777777" w:rsidR="0039273C" w:rsidRDefault="0039273C"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EFB5D" w14:textId="77777777" w:rsidR="00B24AE0" w:rsidRDefault="00B24AE0" w:rsidP="00A11280">
      <w:pPr>
        <w:spacing w:after="0" w:line="240" w:lineRule="auto"/>
      </w:pPr>
      <w:r>
        <w:separator/>
      </w:r>
    </w:p>
  </w:footnote>
  <w:footnote w:type="continuationSeparator" w:id="0">
    <w:p w14:paraId="0C932738" w14:textId="77777777" w:rsidR="00B24AE0" w:rsidRDefault="00B24AE0"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75FF" w14:textId="3DEC9EE8" w:rsidR="00FA7F28" w:rsidRPr="00A91C4D" w:rsidRDefault="00FA7F28" w:rsidP="00FA7F28">
    <w:pPr>
      <w:widowControl w:val="0"/>
      <w:spacing w:after="0"/>
      <w:rPr>
        <w:rFonts w:ascii="Calibri" w:eastAsia="Arial" w:hAnsi="Calibri" w:cs="Arial"/>
        <w:iCs/>
        <w:sz w:val="24"/>
        <w:szCs w:val="24"/>
      </w:rPr>
    </w:pPr>
    <w:r w:rsidRPr="00A91C4D">
      <w:rPr>
        <w:rFonts w:ascii="Calibri" w:eastAsia="Arial" w:hAnsi="Calibri" w:cs="Arial"/>
        <w:b/>
        <w:iCs/>
        <w:sz w:val="24"/>
        <w:szCs w:val="24"/>
      </w:rPr>
      <w:t xml:space="preserve">Załącznik nr 8 </w:t>
    </w:r>
    <w:r w:rsidRPr="00A91C4D">
      <w:rPr>
        <w:rFonts w:ascii="Calibri" w:eastAsia="Arial" w:hAnsi="Calibri" w:cs="Arial"/>
        <w:iCs/>
        <w:sz w:val="24"/>
        <w:szCs w:val="24"/>
      </w:rPr>
      <w:t>do Regulaminu wyboru projektów nabór nr FEOP.01.</w:t>
    </w:r>
    <w:r w:rsidR="0081722E" w:rsidRPr="00A91C4D" w:rsidDel="0081722E">
      <w:rPr>
        <w:rFonts w:ascii="Calibri" w:eastAsia="Arial" w:hAnsi="Calibri" w:cs="Arial"/>
        <w:iCs/>
        <w:sz w:val="24"/>
        <w:szCs w:val="24"/>
      </w:rPr>
      <w:t xml:space="preserve"> </w:t>
    </w:r>
    <w:r w:rsidRPr="00A91C4D">
      <w:rPr>
        <w:rFonts w:ascii="Calibri" w:eastAsia="Arial" w:hAnsi="Calibri" w:cs="Arial"/>
        <w:iCs/>
        <w:sz w:val="24"/>
        <w:szCs w:val="24"/>
      </w:rPr>
      <w:t>11</w:t>
    </w:r>
    <w:r w:rsidR="0041270D" w:rsidRPr="00A91C4D" w:rsidDel="0041270D">
      <w:rPr>
        <w:rFonts w:ascii="Calibri" w:eastAsia="Arial" w:hAnsi="Calibri" w:cs="Arial"/>
        <w:iCs/>
        <w:sz w:val="24"/>
        <w:szCs w:val="24"/>
      </w:rPr>
      <w:t xml:space="preserve"> </w:t>
    </w:r>
    <w:r w:rsidRPr="00A91C4D">
      <w:rPr>
        <w:rFonts w:ascii="Calibri" w:eastAsia="Arial" w:hAnsi="Calibri" w:cs="Arial"/>
        <w:iCs/>
        <w:sz w:val="24"/>
        <w:szCs w:val="24"/>
      </w:rPr>
      <w:t>-IP.</w:t>
    </w:r>
    <w:r w:rsidR="0041270D" w:rsidRPr="00A91C4D">
      <w:rPr>
        <w:rFonts w:ascii="Calibri" w:eastAsia="Arial" w:hAnsi="Calibri" w:cs="Arial"/>
        <w:iCs/>
        <w:sz w:val="24"/>
        <w:szCs w:val="24"/>
      </w:rPr>
      <w:t>01</w:t>
    </w:r>
    <w:r w:rsidRPr="00A91C4D">
      <w:rPr>
        <w:rFonts w:ascii="Calibri" w:eastAsia="Arial" w:hAnsi="Calibri" w:cs="Arial"/>
        <w:iCs/>
        <w:sz w:val="24"/>
        <w:szCs w:val="24"/>
      </w:rPr>
      <w:t>-001/23 dotyczący projektów złożonych w ramach postępowania niekonkurencyjnego działania 1.11 Instrumenty finansowe w gospodarce w ramach FEO 2021-2027 nabór I, Wersja nr 1, czerwiec 2023 r.</w:t>
    </w:r>
  </w:p>
  <w:p w14:paraId="357B97C4" w14:textId="77777777" w:rsidR="0039273C" w:rsidRPr="00FC4C51" w:rsidRDefault="0039273C"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285D" w14:textId="4D4D9D28" w:rsidR="00FA7F28" w:rsidRPr="00A91C4D" w:rsidRDefault="00FA7F28" w:rsidP="00FA7F28">
    <w:pPr>
      <w:widowControl w:val="0"/>
      <w:spacing w:after="0"/>
      <w:rPr>
        <w:rFonts w:ascii="Calibri" w:eastAsia="Arial" w:hAnsi="Calibri" w:cs="Arial"/>
        <w:iCs/>
        <w:sz w:val="24"/>
      </w:rPr>
    </w:pPr>
    <w:bookmarkStart w:id="1" w:name="_Hlk127962174"/>
    <w:r w:rsidRPr="00A91C4D">
      <w:rPr>
        <w:rFonts w:ascii="Calibri" w:eastAsia="Arial" w:hAnsi="Calibri" w:cs="Arial"/>
        <w:b/>
        <w:iCs/>
        <w:sz w:val="24"/>
      </w:rPr>
      <w:t xml:space="preserve">Załącznik nr 8 </w:t>
    </w:r>
    <w:r w:rsidRPr="00A91C4D">
      <w:rPr>
        <w:rFonts w:ascii="Calibri" w:eastAsia="Arial" w:hAnsi="Calibri" w:cs="Arial"/>
        <w:iCs/>
        <w:sz w:val="24"/>
      </w:rPr>
      <w:t>do Regulaminu wyboru projektów nabór nr FEOP.01.11-IP.0</w:t>
    </w:r>
    <w:r w:rsidR="0081722E" w:rsidRPr="00A91C4D">
      <w:rPr>
        <w:rFonts w:ascii="Calibri" w:eastAsia="Arial" w:hAnsi="Calibri" w:cs="Arial"/>
        <w:iCs/>
        <w:sz w:val="24"/>
      </w:rPr>
      <w:t>1</w:t>
    </w:r>
    <w:r w:rsidRPr="00A91C4D">
      <w:rPr>
        <w:rFonts w:ascii="Calibri" w:eastAsia="Arial" w:hAnsi="Calibri" w:cs="Arial"/>
        <w:iCs/>
        <w:sz w:val="24"/>
      </w:rPr>
      <w:t>-001/23 dotyczący projektów złożonych w ramach postępowania niekonkurencyjnego działania</w:t>
    </w:r>
    <w:r w:rsidRPr="00A91C4D">
      <w:rPr>
        <w:rFonts w:ascii="Calibri" w:eastAsia="Arial" w:hAnsi="Calibri" w:cs="Arial"/>
        <w:iCs/>
        <w:sz w:val="24"/>
        <w:szCs w:val="20"/>
      </w:rPr>
      <w:t xml:space="preserve"> 1.11 Instrumenty finansowe w gospodarce</w:t>
    </w:r>
    <w:r w:rsidRPr="00A91C4D">
      <w:rPr>
        <w:rFonts w:ascii="Calibri" w:eastAsia="Arial" w:hAnsi="Calibri" w:cs="Arial"/>
        <w:iCs/>
        <w:sz w:val="24"/>
      </w:rPr>
      <w:t xml:space="preserve"> </w:t>
    </w:r>
    <w:r w:rsidRPr="00A91C4D">
      <w:rPr>
        <w:rFonts w:ascii="Calibri" w:eastAsia="Arial" w:hAnsi="Calibri" w:cs="Arial"/>
        <w:iCs/>
        <w:sz w:val="24"/>
        <w:szCs w:val="20"/>
      </w:rPr>
      <w:t xml:space="preserve">w ramach FEO 2021-2027 </w:t>
    </w:r>
    <w:r w:rsidRPr="00A91C4D">
      <w:rPr>
        <w:rFonts w:ascii="Calibri" w:eastAsia="Arial" w:hAnsi="Calibri" w:cs="Arial"/>
        <w:iCs/>
        <w:sz w:val="24"/>
        <w:szCs w:val="24"/>
      </w:rPr>
      <w:t xml:space="preserve">nabór I, </w:t>
    </w:r>
    <w:r w:rsidRPr="00A91C4D">
      <w:rPr>
        <w:rFonts w:ascii="Calibri" w:eastAsia="Arial" w:hAnsi="Calibri" w:cs="Arial"/>
        <w:iCs/>
        <w:sz w:val="24"/>
      </w:rPr>
      <w:t>Wersja nr 1, czerwiec 2023 r.</w:t>
    </w:r>
  </w:p>
  <w:bookmarkEnd w:id="1"/>
  <w:p w14:paraId="6F35BB29" w14:textId="6EA0D41E" w:rsidR="0039273C" w:rsidRPr="00FA7F28" w:rsidRDefault="0039273C" w:rsidP="00FA7F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80B5D"/>
    <w:multiLevelType w:val="hybridMultilevel"/>
    <w:tmpl w:val="5E10F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1"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B01474"/>
    <w:multiLevelType w:val="hybridMultilevel"/>
    <w:tmpl w:val="246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abstractNumId w:val="24"/>
  </w:num>
  <w:num w:numId="2">
    <w:abstractNumId w:val="42"/>
  </w:num>
  <w:num w:numId="3">
    <w:abstractNumId w:val="20"/>
  </w:num>
  <w:num w:numId="4">
    <w:abstractNumId w:val="38"/>
  </w:num>
  <w:num w:numId="5">
    <w:abstractNumId w:val="17"/>
  </w:num>
  <w:num w:numId="6">
    <w:abstractNumId w:val="37"/>
  </w:num>
  <w:num w:numId="7">
    <w:abstractNumId w:val="25"/>
  </w:num>
  <w:num w:numId="8">
    <w:abstractNumId w:val="31"/>
  </w:num>
  <w:num w:numId="9">
    <w:abstractNumId w:val="18"/>
  </w:num>
  <w:num w:numId="10">
    <w:abstractNumId w:val="16"/>
  </w:num>
  <w:num w:numId="11">
    <w:abstractNumId w:val="3"/>
  </w:num>
  <w:num w:numId="12">
    <w:abstractNumId w:val="9"/>
  </w:num>
  <w:num w:numId="13">
    <w:abstractNumId w:val="13"/>
  </w:num>
  <w:num w:numId="14">
    <w:abstractNumId w:val="12"/>
  </w:num>
  <w:num w:numId="15">
    <w:abstractNumId w:val="40"/>
  </w:num>
  <w:num w:numId="16">
    <w:abstractNumId w:val="33"/>
  </w:num>
  <w:num w:numId="17">
    <w:abstractNumId w:val="2"/>
  </w:num>
  <w:num w:numId="18">
    <w:abstractNumId w:val="8"/>
  </w:num>
  <w:num w:numId="19">
    <w:abstractNumId w:val="35"/>
  </w:num>
  <w:num w:numId="20">
    <w:abstractNumId w:val="15"/>
  </w:num>
  <w:num w:numId="21">
    <w:abstractNumId w:val="26"/>
  </w:num>
  <w:num w:numId="22">
    <w:abstractNumId w:val="21"/>
  </w:num>
  <w:num w:numId="23">
    <w:abstractNumId w:val="43"/>
  </w:num>
  <w:num w:numId="24">
    <w:abstractNumId w:val="4"/>
  </w:num>
  <w:num w:numId="25">
    <w:abstractNumId w:val="23"/>
  </w:num>
  <w:num w:numId="26">
    <w:abstractNumId w:val="19"/>
  </w:num>
  <w:num w:numId="27">
    <w:abstractNumId w:val="36"/>
  </w:num>
  <w:num w:numId="28">
    <w:abstractNumId w:val="30"/>
  </w:num>
  <w:num w:numId="29">
    <w:abstractNumId w:val="11"/>
  </w:num>
  <w:num w:numId="30">
    <w:abstractNumId w:val="1"/>
  </w:num>
  <w:num w:numId="31">
    <w:abstractNumId w:val="29"/>
  </w:num>
  <w:num w:numId="32">
    <w:abstractNumId w:val="14"/>
  </w:num>
  <w:num w:numId="33">
    <w:abstractNumId w:val="28"/>
  </w:num>
  <w:num w:numId="34">
    <w:abstractNumId w:val="41"/>
  </w:num>
  <w:num w:numId="35">
    <w:abstractNumId w:val="6"/>
  </w:num>
  <w:num w:numId="36">
    <w:abstractNumId w:val="5"/>
  </w:num>
  <w:num w:numId="37">
    <w:abstractNumId w:val="0"/>
  </w:num>
  <w:num w:numId="38">
    <w:abstractNumId w:val="44"/>
  </w:num>
  <w:num w:numId="39">
    <w:abstractNumId w:val="10"/>
  </w:num>
  <w:num w:numId="40">
    <w:abstractNumId w:val="34"/>
  </w:num>
  <w:num w:numId="41">
    <w:abstractNumId w:val="39"/>
  </w:num>
  <w:num w:numId="42">
    <w:abstractNumId w:val="27"/>
  </w:num>
  <w:num w:numId="43">
    <w:abstractNumId w:val="32"/>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0DB4"/>
    <w:rsid w:val="00083607"/>
    <w:rsid w:val="00083D75"/>
    <w:rsid w:val="00084190"/>
    <w:rsid w:val="000871B9"/>
    <w:rsid w:val="00091AF0"/>
    <w:rsid w:val="0009398B"/>
    <w:rsid w:val="00095B63"/>
    <w:rsid w:val="000A0237"/>
    <w:rsid w:val="000A3D46"/>
    <w:rsid w:val="000A529C"/>
    <w:rsid w:val="000A6A14"/>
    <w:rsid w:val="000B31A9"/>
    <w:rsid w:val="000B5FE8"/>
    <w:rsid w:val="000B61B6"/>
    <w:rsid w:val="000C3414"/>
    <w:rsid w:val="000C6AA3"/>
    <w:rsid w:val="000D305D"/>
    <w:rsid w:val="000E1172"/>
    <w:rsid w:val="000E1828"/>
    <w:rsid w:val="000E436C"/>
    <w:rsid w:val="000E5525"/>
    <w:rsid w:val="000E7FBF"/>
    <w:rsid w:val="000F36FA"/>
    <w:rsid w:val="000F4CA9"/>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43C"/>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34EAD"/>
    <w:rsid w:val="0025473F"/>
    <w:rsid w:val="00254FF1"/>
    <w:rsid w:val="0025646D"/>
    <w:rsid w:val="00256682"/>
    <w:rsid w:val="00261722"/>
    <w:rsid w:val="00264831"/>
    <w:rsid w:val="002672D2"/>
    <w:rsid w:val="002821A1"/>
    <w:rsid w:val="00283239"/>
    <w:rsid w:val="00283308"/>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0DA8"/>
    <w:rsid w:val="002E2679"/>
    <w:rsid w:val="002E5263"/>
    <w:rsid w:val="002E5267"/>
    <w:rsid w:val="002F26D3"/>
    <w:rsid w:val="00306C54"/>
    <w:rsid w:val="00314703"/>
    <w:rsid w:val="003157F2"/>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66D8D"/>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D7A97"/>
    <w:rsid w:val="003E0589"/>
    <w:rsid w:val="003E274D"/>
    <w:rsid w:val="003E2E4B"/>
    <w:rsid w:val="003E314C"/>
    <w:rsid w:val="003E5A0C"/>
    <w:rsid w:val="004100BB"/>
    <w:rsid w:val="00411A37"/>
    <w:rsid w:val="0041270D"/>
    <w:rsid w:val="00413B51"/>
    <w:rsid w:val="0042026D"/>
    <w:rsid w:val="00422357"/>
    <w:rsid w:val="00422A9B"/>
    <w:rsid w:val="0042514A"/>
    <w:rsid w:val="00425283"/>
    <w:rsid w:val="004253A5"/>
    <w:rsid w:val="00427357"/>
    <w:rsid w:val="004302B2"/>
    <w:rsid w:val="00430732"/>
    <w:rsid w:val="00434BAA"/>
    <w:rsid w:val="00442FE8"/>
    <w:rsid w:val="00443BDF"/>
    <w:rsid w:val="00444D52"/>
    <w:rsid w:val="00451B0C"/>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1CE5"/>
    <w:rsid w:val="004D39D2"/>
    <w:rsid w:val="004E17B4"/>
    <w:rsid w:val="004E3ACC"/>
    <w:rsid w:val="004E7A11"/>
    <w:rsid w:val="004F3C77"/>
    <w:rsid w:val="004F6BA4"/>
    <w:rsid w:val="004F6BEF"/>
    <w:rsid w:val="00501A93"/>
    <w:rsid w:val="00501C83"/>
    <w:rsid w:val="005027DC"/>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640"/>
    <w:rsid w:val="00587F10"/>
    <w:rsid w:val="00594DAA"/>
    <w:rsid w:val="00596A58"/>
    <w:rsid w:val="00596D42"/>
    <w:rsid w:val="005A14AC"/>
    <w:rsid w:val="005A4085"/>
    <w:rsid w:val="005A7CB1"/>
    <w:rsid w:val="005B2FEA"/>
    <w:rsid w:val="005B504A"/>
    <w:rsid w:val="005C01D2"/>
    <w:rsid w:val="005D5F43"/>
    <w:rsid w:val="005E4353"/>
    <w:rsid w:val="005E54E5"/>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02B4"/>
    <w:rsid w:val="00716992"/>
    <w:rsid w:val="007201CA"/>
    <w:rsid w:val="00720906"/>
    <w:rsid w:val="00720BEC"/>
    <w:rsid w:val="00723F91"/>
    <w:rsid w:val="00725A10"/>
    <w:rsid w:val="007335DB"/>
    <w:rsid w:val="00735EAE"/>
    <w:rsid w:val="0074049A"/>
    <w:rsid w:val="00740C1F"/>
    <w:rsid w:val="00742D49"/>
    <w:rsid w:val="00747375"/>
    <w:rsid w:val="00757A2D"/>
    <w:rsid w:val="00760B0C"/>
    <w:rsid w:val="00761D7C"/>
    <w:rsid w:val="00762BB5"/>
    <w:rsid w:val="00763F6D"/>
    <w:rsid w:val="00774FA1"/>
    <w:rsid w:val="007754AA"/>
    <w:rsid w:val="00775B56"/>
    <w:rsid w:val="00780302"/>
    <w:rsid w:val="0078060A"/>
    <w:rsid w:val="007815E2"/>
    <w:rsid w:val="007819E8"/>
    <w:rsid w:val="007832FF"/>
    <w:rsid w:val="00783A8E"/>
    <w:rsid w:val="00790A97"/>
    <w:rsid w:val="0079394C"/>
    <w:rsid w:val="007A27F7"/>
    <w:rsid w:val="007A69E4"/>
    <w:rsid w:val="007B0796"/>
    <w:rsid w:val="007B3E77"/>
    <w:rsid w:val="007C41F6"/>
    <w:rsid w:val="007D00DC"/>
    <w:rsid w:val="007D1A2B"/>
    <w:rsid w:val="007D3E62"/>
    <w:rsid w:val="007D46E8"/>
    <w:rsid w:val="007D4C96"/>
    <w:rsid w:val="007D7F49"/>
    <w:rsid w:val="007E034D"/>
    <w:rsid w:val="007E1DB5"/>
    <w:rsid w:val="007E61CC"/>
    <w:rsid w:val="007F0A9C"/>
    <w:rsid w:val="007F23C5"/>
    <w:rsid w:val="007F6DFA"/>
    <w:rsid w:val="008001AD"/>
    <w:rsid w:val="0080142A"/>
    <w:rsid w:val="00803AA7"/>
    <w:rsid w:val="00806531"/>
    <w:rsid w:val="00811CFE"/>
    <w:rsid w:val="00813ACE"/>
    <w:rsid w:val="0081722E"/>
    <w:rsid w:val="008172D4"/>
    <w:rsid w:val="00820327"/>
    <w:rsid w:val="008277E7"/>
    <w:rsid w:val="00831DA4"/>
    <w:rsid w:val="00833C84"/>
    <w:rsid w:val="0083589D"/>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7512E"/>
    <w:rsid w:val="00881689"/>
    <w:rsid w:val="008823AA"/>
    <w:rsid w:val="00883127"/>
    <w:rsid w:val="00884566"/>
    <w:rsid w:val="00886B5E"/>
    <w:rsid w:val="0089055E"/>
    <w:rsid w:val="008974BB"/>
    <w:rsid w:val="008A02D7"/>
    <w:rsid w:val="008A3625"/>
    <w:rsid w:val="008C315C"/>
    <w:rsid w:val="008C4EE2"/>
    <w:rsid w:val="008C5625"/>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7E5D"/>
    <w:rsid w:val="00961FA7"/>
    <w:rsid w:val="009639B2"/>
    <w:rsid w:val="0096569F"/>
    <w:rsid w:val="0096700F"/>
    <w:rsid w:val="00970072"/>
    <w:rsid w:val="00974060"/>
    <w:rsid w:val="00975F71"/>
    <w:rsid w:val="00986C2B"/>
    <w:rsid w:val="0098771A"/>
    <w:rsid w:val="00987B64"/>
    <w:rsid w:val="00991562"/>
    <w:rsid w:val="00992F45"/>
    <w:rsid w:val="00993E65"/>
    <w:rsid w:val="0099519F"/>
    <w:rsid w:val="00997070"/>
    <w:rsid w:val="009A0CEB"/>
    <w:rsid w:val="009A1C80"/>
    <w:rsid w:val="009B1AF2"/>
    <w:rsid w:val="009B1C1D"/>
    <w:rsid w:val="009B3E76"/>
    <w:rsid w:val="009B5198"/>
    <w:rsid w:val="009B6195"/>
    <w:rsid w:val="009B6505"/>
    <w:rsid w:val="009C4F1B"/>
    <w:rsid w:val="009C6492"/>
    <w:rsid w:val="009D29FB"/>
    <w:rsid w:val="009D4EE9"/>
    <w:rsid w:val="009D760C"/>
    <w:rsid w:val="009E1752"/>
    <w:rsid w:val="009E3594"/>
    <w:rsid w:val="009E3C4A"/>
    <w:rsid w:val="009F297D"/>
    <w:rsid w:val="009F441F"/>
    <w:rsid w:val="00A024A6"/>
    <w:rsid w:val="00A0678F"/>
    <w:rsid w:val="00A11280"/>
    <w:rsid w:val="00A11BF6"/>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4D"/>
    <w:rsid w:val="00A91CD6"/>
    <w:rsid w:val="00A93672"/>
    <w:rsid w:val="00A967AC"/>
    <w:rsid w:val="00A96B60"/>
    <w:rsid w:val="00A9780F"/>
    <w:rsid w:val="00AA43DC"/>
    <w:rsid w:val="00AB176A"/>
    <w:rsid w:val="00AB6726"/>
    <w:rsid w:val="00AC12E7"/>
    <w:rsid w:val="00AC22E3"/>
    <w:rsid w:val="00AC4C19"/>
    <w:rsid w:val="00AD244B"/>
    <w:rsid w:val="00AD3EC0"/>
    <w:rsid w:val="00AD497B"/>
    <w:rsid w:val="00AD69B8"/>
    <w:rsid w:val="00AD6A25"/>
    <w:rsid w:val="00AD7C6B"/>
    <w:rsid w:val="00AE1F0B"/>
    <w:rsid w:val="00AF2D17"/>
    <w:rsid w:val="00AF42AA"/>
    <w:rsid w:val="00AF7E93"/>
    <w:rsid w:val="00B118EC"/>
    <w:rsid w:val="00B12AE2"/>
    <w:rsid w:val="00B24AE0"/>
    <w:rsid w:val="00B25DDC"/>
    <w:rsid w:val="00B26A50"/>
    <w:rsid w:val="00B33396"/>
    <w:rsid w:val="00B4195E"/>
    <w:rsid w:val="00B41E97"/>
    <w:rsid w:val="00B43839"/>
    <w:rsid w:val="00B4493F"/>
    <w:rsid w:val="00B503CF"/>
    <w:rsid w:val="00B53551"/>
    <w:rsid w:val="00B60267"/>
    <w:rsid w:val="00B64A26"/>
    <w:rsid w:val="00B6688C"/>
    <w:rsid w:val="00B6775E"/>
    <w:rsid w:val="00B71412"/>
    <w:rsid w:val="00B71581"/>
    <w:rsid w:val="00B73E4B"/>
    <w:rsid w:val="00B7446F"/>
    <w:rsid w:val="00B74748"/>
    <w:rsid w:val="00B91714"/>
    <w:rsid w:val="00B921A1"/>
    <w:rsid w:val="00B945D0"/>
    <w:rsid w:val="00B974D2"/>
    <w:rsid w:val="00B97C67"/>
    <w:rsid w:val="00BA534A"/>
    <w:rsid w:val="00BA60AC"/>
    <w:rsid w:val="00BA6726"/>
    <w:rsid w:val="00BB0333"/>
    <w:rsid w:val="00BB0608"/>
    <w:rsid w:val="00BC1E69"/>
    <w:rsid w:val="00BC4115"/>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05389"/>
    <w:rsid w:val="00C16418"/>
    <w:rsid w:val="00C17C93"/>
    <w:rsid w:val="00C20244"/>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83B73"/>
    <w:rsid w:val="00C845B1"/>
    <w:rsid w:val="00C93A1D"/>
    <w:rsid w:val="00C9500E"/>
    <w:rsid w:val="00C953C5"/>
    <w:rsid w:val="00C95762"/>
    <w:rsid w:val="00C965FE"/>
    <w:rsid w:val="00CA1A8B"/>
    <w:rsid w:val="00CA4446"/>
    <w:rsid w:val="00CB2D0B"/>
    <w:rsid w:val="00CB7564"/>
    <w:rsid w:val="00CC7854"/>
    <w:rsid w:val="00CD1A35"/>
    <w:rsid w:val="00CD70FA"/>
    <w:rsid w:val="00CE040A"/>
    <w:rsid w:val="00CF0720"/>
    <w:rsid w:val="00CF1602"/>
    <w:rsid w:val="00CF558C"/>
    <w:rsid w:val="00CF7C96"/>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3F56"/>
    <w:rsid w:val="00E05C71"/>
    <w:rsid w:val="00E073DF"/>
    <w:rsid w:val="00E12508"/>
    <w:rsid w:val="00E211D2"/>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2DDE"/>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74EE0"/>
    <w:rsid w:val="00F75B93"/>
    <w:rsid w:val="00F85A76"/>
    <w:rsid w:val="00F91A40"/>
    <w:rsid w:val="00F95885"/>
    <w:rsid w:val="00FA05CA"/>
    <w:rsid w:val="00FA1FFA"/>
    <w:rsid w:val="00FA2FFB"/>
    <w:rsid w:val="00FA6B10"/>
    <w:rsid w:val="00FA7F28"/>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A888C"/>
  <w15:docId w15:val="{9575CBDF-6220-444F-96A3-0881811B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16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19697120">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67780743">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D50B-A537-4C23-85C7-1ECBE086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8043</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Agata Łanica</cp:lastModifiedBy>
  <cp:revision>2</cp:revision>
  <cp:lastPrinted>2015-08-13T07:51:00Z</cp:lastPrinted>
  <dcterms:created xsi:type="dcterms:W3CDTF">2023-06-05T12:40:00Z</dcterms:created>
  <dcterms:modified xsi:type="dcterms:W3CDTF">2023-06-05T12:40:00Z</dcterms:modified>
</cp:coreProperties>
</file>