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7BFA1" w14:textId="77777777" w:rsidR="00136D60" w:rsidRPr="00483DA1" w:rsidRDefault="00136D60" w:rsidP="007B6720">
      <w:pPr>
        <w:rPr>
          <w:rFonts w:ascii="Arial" w:eastAsiaTheme="minorEastAsia" w:hAnsi="Arial" w:cs="Arial"/>
          <w:i/>
          <w:color w:val="000099"/>
          <w:sz w:val="18"/>
          <w:szCs w:val="18"/>
          <w:lang w:eastAsia="pl-PL"/>
        </w:rPr>
      </w:pPr>
      <w:bookmarkStart w:id="0" w:name="_GoBack"/>
      <w:bookmarkEnd w:id="0"/>
    </w:p>
    <w:p w14:paraId="11BF6CEA" w14:textId="199CD604" w:rsidR="00136D60" w:rsidRPr="00483DA1" w:rsidRDefault="007B6720" w:rsidP="00136D60">
      <w:pPr>
        <w:jc w:val="center"/>
        <w:rPr>
          <w:rFonts w:ascii="Arial" w:eastAsiaTheme="minorEastAsia" w:hAnsi="Arial" w:cs="Arial"/>
          <w:i/>
          <w:color w:val="000099"/>
          <w:sz w:val="18"/>
          <w:szCs w:val="18"/>
          <w:lang w:eastAsia="pl-PL"/>
        </w:rPr>
      </w:pPr>
      <w:r w:rsidRPr="007B6720">
        <w:rPr>
          <w:rFonts w:ascii="Calibri" w:eastAsia="Calibri" w:hAnsi="Calibri" w:cs="Times New Roman"/>
          <w:b/>
          <w:noProof/>
          <w:color w:val="000099"/>
          <w:sz w:val="36"/>
          <w:szCs w:val="36"/>
          <w:lang w:eastAsia="pl-PL"/>
        </w:rPr>
        <w:drawing>
          <wp:inline distT="0" distB="0" distL="0" distR="0" wp14:anchorId="30CB1F9C" wp14:editId="7DA66768">
            <wp:extent cx="8891270" cy="91173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1270" cy="911730"/>
                    </a:xfrm>
                    <a:prstGeom prst="rect">
                      <a:avLst/>
                    </a:prstGeom>
                    <a:noFill/>
                  </pic:spPr>
                </pic:pic>
              </a:graphicData>
            </a:graphic>
          </wp:inline>
        </w:drawing>
      </w:r>
    </w:p>
    <w:p w14:paraId="05850690" w14:textId="77777777" w:rsidR="00103B1B" w:rsidRDefault="00103B1B" w:rsidP="007B6720">
      <w:pPr>
        <w:rPr>
          <w:rFonts w:ascii="Arial" w:eastAsiaTheme="minorEastAsia" w:hAnsi="Arial" w:cs="Arial"/>
          <w:i/>
          <w:color w:val="000099"/>
          <w:sz w:val="36"/>
          <w:szCs w:val="36"/>
          <w:lang w:eastAsia="pl-PL"/>
        </w:rPr>
      </w:pPr>
    </w:p>
    <w:p w14:paraId="5B59677A" w14:textId="77777777" w:rsidR="00103B1B" w:rsidRDefault="00103B1B" w:rsidP="00FD69C6">
      <w:pPr>
        <w:jc w:val="center"/>
        <w:rPr>
          <w:rFonts w:ascii="Arial" w:eastAsiaTheme="minorEastAsia" w:hAnsi="Arial" w:cs="Arial"/>
          <w:i/>
          <w:color w:val="000099"/>
          <w:sz w:val="36"/>
          <w:szCs w:val="36"/>
          <w:lang w:eastAsia="pl-PL"/>
        </w:rPr>
      </w:pPr>
    </w:p>
    <w:p w14:paraId="7CDF0FA4" w14:textId="77777777" w:rsidR="00F904AB" w:rsidRPr="00F904AB" w:rsidRDefault="00F904AB" w:rsidP="00F904AB">
      <w:pPr>
        <w:rPr>
          <w:rFonts w:ascii="Calibri" w:eastAsia="Times New Roman" w:hAnsi="Calibri" w:cs="Times New Roman"/>
          <w:b/>
          <w:i/>
          <w:color w:val="000099"/>
          <w:sz w:val="48"/>
          <w:szCs w:val="28"/>
        </w:rPr>
      </w:pPr>
      <w:r w:rsidRPr="00F904AB">
        <w:rPr>
          <w:rFonts w:ascii="Calibri" w:eastAsia="Times New Roman" w:hAnsi="Calibri" w:cs="Times New Roman"/>
          <w:b/>
          <w:i/>
          <w:color w:val="000099"/>
          <w:sz w:val="48"/>
          <w:szCs w:val="28"/>
        </w:rPr>
        <w:t>Załącznik nr 8</w:t>
      </w:r>
    </w:p>
    <w:p w14:paraId="146803B7" w14:textId="77777777" w:rsidR="00F904AB" w:rsidRPr="00F904AB" w:rsidRDefault="00F904AB" w:rsidP="00F904AB">
      <w:pPr>
        <w:rPr>
          <w:rFonts w:ascii="Calibri" w:eastAsia="Times New Roman" w:hAnsi="Calibri" w:cs="Times New Roman"/>
          <w:b/>
          <w:i/>
          <w:color w:val="000099"/>
          <w:sz w:val="48"/>
          <w:szCs w:val="28"/>
        </w:rPr>
      </w:pPr>
    </w:p>
    <w:p w14:paraId="756334B5" w14:textId="77777777" w:rsidR="00F904AB" w:rsidRPr="00F904AB" w:rsidRDefault="00F904AB" w:rsidP="00F904AB">
      <w:pPr>
        <w:rPr>
          <w:rFonts w:ascii="Calibri" w:eastAsia="Times New Roman" w:hAnsi="Calibri" w:cs="Times New Roman"/>
          <w:b/>
          <w:i/>
          <w:color w:val="000099"/>
          <w:sz w:val="48"/>
          <w:szCs w:val="28"/>
        </w:rPr>
      </w:pPr>
      <w:r w:rsidRPr="00F904AB">
        <w:rPr>
          <w:rFonts w:ascii="Calibri" w:eastAsia="Times New Roman" w:hAnsi="Calibri" w:cs="Times New Roman"/>
          <w:b/>
          <w:i/>
          <w:color w:val="000099"/>
          <w:sz w:val="48"/>
          <w:szCs w:val="28"/>
        </w:rPr>
        <w:t xml:space="preserve">Lista wskaźników na poziomie projektu dla działania </w:t>
      </w:r>
    </w:p>
    <w:p w14:paraId="334E28F9" w14:textId="135F0883" w:rsidR="00136D60" w:rsidRPr="00483DA1" w:rsidRDefault="00F904AB" w:rsidP="00F904AB">
      <w:pPr>
        <w:rPr>
          <w:rFonts w:ascii="Arial" w:eastAsiaTheme="minorEastAsia" w:hAnsi="Arial" w:cs="Arial"/>
          <w:sz w:val="18"/>
          <w:szCs w:val="18"/>
          <w:lang w:eastAsia="pl-PL"/>
        </w:rPr>
      </w:pPr>
      <w:r>
        <w:rPr>
          <w:rFonts w:ascii="Calibri" w:eastAsia="Times New Roman" w:hAnsi="Calibri" w:cs="Times New Roman"/>
          <w:b/>
          <w:i/>
          <w:color w:val="000099"/>
          <w:sz w:val="48"/>
          <w:szCs w:val="28"/>
        </w:rPr>
        <w:t>2.7</w:t>
      </w:r>
      <w:r w:rsidRPr="00F904AB">
        <w:rPr>
          <w:rFonts w:ascii="Calibri" w:eastAsia="Times New Roman" w:hAnsi="Calibri" w:cs="Times New Roman"/>
          <w:b/>
          <w:i/>
          <w:color w:val="000099"/>
          <w:sz w:val="48"/>
          <w:szCs w:val="28"/>
        </w:rPr>
        <w:t xml:space="preserve"> Instrumenty finansowe w </w:t>
      </w:r>
      <w:r>
        <w:rPr>
          <w:rFonts w:ascii="Calibri" w:eastAsia="Times New Roman" w:hAnsi="Calibri" w:cs="Times New Roman"/>
          <w:b/>
          <w:i/>
          <w:color w:val="000099"/>
          <w:sz w:val="48"/>
          <w:szCs w:val="28"/>
        </w:rPr>
        <w:t>obszarze środowiska</w:t>
      </w:r>
      <w:r w:rsidRPr="00F904AB">
        <w:rPr>
          <w:rFonts w:ascii="Calibri" w:eastAsia="Times New Roman" w:hAnsi="Calibri" w:cs="Times New Roman"/>
          <w:b/>
          <w:i/>
          <w:color w:val="000099"/>
          <w:sz w:val="48"/>
          <w:szCs w:val="28"/>
        </w:rPr>
        <w:t xml:space="preserve"> FEO 2021-2027</w:t>
      </w:r>
    </w:p>
    <w:p w14:paraId="5886B212" w14:textId="77777777" w:rsidR="00136D60" w:rsidRPr="00483DA1" w:rsidRDefault="00136D60" w:rsidP="00136D60">
      <w:pPr>
        <w:rPr>
          <w:rFonts w:ascii="Arial" w:eastAsiaTheme="minorEastAsia" w:hAnsi="Arial" w:cs="Arial"/>
          <w:sz w:val="18"/>
          <w:szCs w:val="18"/>
          <w:lang w:eastAsia="pl-PL"/>
        </w:rPr>
      </w:pPr>
      <w:r w:rsidRPr="00483DA1">
        <w:rPr>
          <w:rFonts w:ascii="Arial" w:eastAsiaTheme="minorEastAsia" w:hAnsi="Arial" w:cs="Arial"/>
          <w:sz w:val="18"/>
          <w:szCs w:val="18"/>
          <w:lang w:eastAsia="pl-PL"/>
        </w:rPr>
        <w:br w:type="page"/>
      </w:r>
    </w:p>
    <w:p w14:paraId="426A3FAB" w14:textId="77777777" w:rsidR="00136D60" w:rsidRPr="00483DA1" w:rsidRDefault="00136D60" w:rsidP="00136D60">
      <w:pPr>
        <w:rPr>
          <w:rFonts w:ascii="Arial" w:eastAsiaTheme="minorEastAsia" w:hAnsi="Arial" w:cs="Arial"/>
          <w:sz w:val="18"/>
          <w:szCs w:val="18"/>
          <w:lang w:eastAsia="pl-PL"/>
        </w:rPr>
      </w:pPr>
    </w:p>
    <w:p w14:paraId="011968E1" w14:textId="77777777" w:rsidR="00136D60" w:rsidRPr="00483DA1" w:rsidRDefault="00136D60" w:rsidP="00136D60">
      <w:pPr>
        <w:rPr>
          <w:rFonts w:ascii="Arial" w:eastAsiaTheme="minorEastAsia" w:hAnsi="Arial" w:cs="Arial"/>
          <w:sz w:val="18"/>
          <w:szCs w:val="18"/>
          <w:lang w:eastAsia="pl-PL"/>
        </w:rPr>
      </w:pPr>
    </w:p>
    <w:p w14:paraId="46D9267A" w14:textId="77777777" w:rsidR="00136D60" w:rsidRPr="00483DA1" w:rsidRDefault="00136D60" w:rsidP="00136D60">
      <w:pPr>
        <w:rPr>
          <w:rFonts w:ascii="Arial" w:eastAsiaTheme="minorEastAsia" w:hAnsi="Arial" w:cs="Arial"/>
          <w:sz w:val="18"/>
          <w:szCs w:val="18"/>
          <w:lang w:eastAsia="pl-PL"/>
        </w:rPr>
      </w:pPr>
    </w:p>
    <w:p w14:paraId="13A5ECA4" w14:textId="77777777" w:rsidR="00136D60" w:rsidRPr="00483DA1" w:rsidRDefault="00136D60" w:rsidP="00136D60">
      <w:pPr>
        <w:rPr>
          <w:rFonts w:ascii="Arial" w:eastAsiaTheme="minorEastAsia" w:hAnsi="Arial" w:cs="Arial"/>
          <w:sz w:val="18"/>
          <w:szCs w:val="18"/>
          <w:lang w:eastAsia="pl-PL"/>
        </w:rPr>
      </w:pPr>
    </w:p>
    <w:p w14:paraId="5F74181B" w14:textId="77777777" w:rsidR="00136D60" w:rsidRPr="00483DA1" w:rsidRDefault="00136D60" w:rsidP="00136D60">
      <w:pPr>
        <w:rPr>
          <w:rFonts w:ascii="Arial" w:eastAsiaTheme="minorEastAsia" w:hAnsi="Arial" w:cs="Arial"/>
          <w:sz w:val="18"/>
          <w:szCs w:val="18"/>
          <w:lang w:eastAsia="pl-PL"/>
        </w:rPr>
      </w:pPr>
    </w:p>
    <w:p w14:paraId="03CDBD6C" w14:textId="77777777" w:rsidR="00136D60" w:rsidRPr="00483DA1" w:rsidRDefault="00136D60" w:rsidP="00136D60">
      <w:pPr>
        <w:rPr>
          <w:rFonts w:ascii="Arial" w:eastAsiaTheme="minorEastAsia" w:hAnsi="Arial" w:cs="Arial"/>
          <w:sz w:val="18"/>
          <w:szCs w:val="18"/>
          <w:lang w:eastAsia="pl-PL"/>
        </w:rPr>
      </w:pPr>
    </w:p>
    <w:p w14:paraId="06E88425" w14:textId="77777777" w:rsidR="00136D60" w:rsidRPr="00483DA1" w:rsidRDefault="00136D60" w:rsidP="00136D60">
      <w:pPr>
        <w:rPr>
          <w:rFonts w:ascii="Arial" w:eastAsiaTheme="minorEastAsia" w:hAnsi="Arial" w:cs="Arial"/>
          <w:sz w:val="18"/>
          <w:szCs w:val="18"/>
          <w:lang w:eastAsia="pl-PL"/>
        </w:rPr>
      </w:pPr>
    </w:p>
    <w:p w14:paraId="212243DA" w14:textId="77777777" w:rsidR="00136D60" w:rsidRPr="00483DA1" w:rsidRDefault="00136D60" w:rsidP="00136D60">
      <w:pPr>
        <w:rPr>
          <w:rFonts w:ascii="Arial" w:eastAsiaTheme="minorEastAsia" w:hAnsi="Arial" w:cs="Arial"/>
          <w:sz w:val="18"/>
          <w:szCs w:val="18"/>
          <w:lang w:eastAsia="pl-PL"/>
        </w:rPr>
      </w:pPr>
    </w:p>
    <w:p w14:paraId="3A91D5D1" w14:textId="77777777" w:rsidR="00136D60" w:rsidRPr="00483DA1" w:rsidRDefault="00136D60" w:rsidP="00136D60">
      <w:pPr>
        <w:rPr>
          <w:rFonts w:ascii="Arial" w:eastAsiaTheme="minorEastAsia" w:hAnsi="Arial" w:cs="Arial"/>
          <w:sz w:val="18"/>
          <w:szCs w:val="18"/>
          <w:lang w:eastAsia="pl-PL"/>
        </w:rPr>
      </w:pPr>
    </w:p>
    <w:p w14:paraId="07C481AE" w14:textId="77777777" w:rsidR="00136D60" w:rsidRPr="00483DA1" w:rsidRDefault="00136D60" w:rsidP="00136D60">
      <w:pPr>
        <w:rPr>
          <w:rFonts w:ascii="Arial" w:eastAsiaTheme="minorEastAsia" w:hAnsi="Arial" w:cs="Arial"/>
          <w:sz w:val="18"/>
          <w:szCs w:val="18"/>
          <w:lang w:eastAsia="pl-PL"/>
        </w:rPr>
      </w:pPr>
    </w:p>
    <w:p w14:paraId="18AFA005" w14:textId="77777777" w:rsidR="00136D60" w:rsidRPr="00483DA1" w:rsidRDefault="00136D60" w:rsidP="00136D60">
      <w:pPr>
        <w:rPr>
          <w:rFonts w:ascii="Arial" w:eastAsiaTheme="minorEastAsia" w:hAnsi="Arial" w:cs="Arial"/>
          <w:sz w:val="18"/>
          <w:szCs w:val="18"/>
          <w:lang w:eastAsia="pl-PL"/>
        </w:rPr>
      </w:pPr>
    </w:p>
    <w:p w14:paraId="249A8EF3" w14:textId="77777777" w:rsidR="00136D60" w:rsidRPr="00483DA1" w:rsidRDefault="00136D60" w:rsidP="00136D60">
      <w:pPr>
        <w:rPr>
          <w:rFonts w:ascii="Arial" w:eastAsiaTheme="minorEastAsia" w:hAnsi="Arial" w:cs="Arial"/>
          <w:sz w:val="18"/>
          <w:szCs w:val="18"/>
          <w:lang w:eastAsia="pl-PL"/>
        </w:rPr>
      </w:pPr>
    </w:p>
    <w:p w14:paraId="586ABD6B" w14:textId="77777777" w:rsidR="00136D60" w:rsidRPr="00483DA1" w:rsidRDefault="00136D60" w:rsidP="00136D60">
      <w:pPr>
        <w:rPr>
          <w:rFonts w:ascii="Arial" w:eastAsiaTheme="minorEastAsia" w:hAnsi="Arial" w:cs="Arial"/>
          <w:sz w:val="18"/>
          <w:szCs w:val="18"/>
          <w:lang w:eastAsia="pl-PL"/>
        </w:rPr>
      </w:pPr>
    </w:p>
    <w:p w14:paraId="11F1941B" w14:textId="77777777" w:rsidR="00136D60" w:rsidRPr="00483DA1" w:rsidRDefault="00136D60" w:rsidP="00136D60">
      <w:pPr>
        <w:rPr>
          <w:rFonts w:ascii="Arial" w:eastAsiaTheme="minorEastAsia" w:hAnsi="Arial" w:cs="Arial"/>
          <w:sz w:val="18"/>
          <w:szCs w:val="18"/>
          <w:lang w:eastAsia="pl-PL"/>
        </w:rPr>
      </w:pPr>
    </w:p>
    <w:p w14:paraId="7B715242" w14:textId="77777777" w:rsidR="00483DA1" w:rsidRDefault="00483DA1" w:rsidP="00136D60">
      <w:pPr>
        <w:spacing w:after="0"/>
        <w:rPr>
          <w:rFonts w:ascii="Arial" w:eastAsiaTheme="minorEastAsia" w:hAnsi="Arial" w:cs="Arial"/>
          <w:color w:val="000099"/>
          <w:sz w:val="18"/>
          <w:szCs w:val="18"/>
          <w:u w:val="single"/>
          <w:lang w:eastAsia="pl-PL"/>
        </w:rPr>
      </w:pPr>
    </w:p>
    <w:p w14:paraId="456DAC3B" w14:textId="77777777" w:rsidR="00483DA1" w:rsidRDefault="00483DA1" w:rsidP="00136D60">
      <w:pPr>
        <w:spacing w:after="0"/>
        <w:rPr>
          <w:rFonts w:ascii="Arial" w:eastAsiaTheme="minorEastAsia" w:hAnsi="Arial" w:cs="Arial"/>
          <w:color w:val="000099"/>
          <w:sz w:val="18"/>
          <w:szCs w:val="18"/>
          <w:u w:val="single"/>
          <w:lang w:eastAsia="pl-PL"/>
        </w:rPr>
      </w:pPr>
    </w:p>
    <w:p w14:paraId="1B752FD3" w14:textId="77777777" w:rsidR="00483DA1" w:rsidRDefault="00483DA1" w:rsidP="00136D60">
      <w:pPr>
        <w:spacing w:after="0"/>
        <w:rPr>
          <w:rFonts w:ascii="Arial" w:eastAsiaTheme="minorEastAsia" w:hAnsi="Arial" w:cs="Arial"/>
          <w:color w:val="000099"/>
          <w:sz w:val="18"/>
          <w:szCs w:val="18"/>
          <w:u w:val="single"/>
          <w:lang w:eastAsia="pl-PL"/>
        </w:rPr>
      </w:pPr>
    </w:p>
    <w:p w14:paraId="79B863B4" w14:textId="77777777" w:rsidR="00483DA1" w:rsidRDefault="00483DA1" w:rsidP="00136D60">
      <w:pPr>
        <w:spacing w:after="0"/>
        <w:rPr>
          <w:rFonts w:ascii="Arial" w:eastAsiaTheme="minorEastAsia" w:hAnsi="Arial" w:cs="Arial"/>
          <w:color w:val="000099"/>
          <w:sz w:val="18"/>
          <w:szCs w:val="18"/>
          <w:u w:val="single"/>
          <w:lang w:eastAsia="pl-PL"/>
        </w:rPr>
      </w:pPr>
    </w:p>
    <w:p w14:paraId="31D5D71E" w14:textId="77777777" w:rsidR="00483DA1" w:rsidRDefault="00483DA1" w:rsidP="00136D60">
      <w:pPr>
        <w:spacing w:after="0"/>
        <w:rPr>
          <w:rFonts w:ascii="Arial" w:eastAsiaTheme="minorEastAsia" w:hAnsi="Arial" w:cs="Arial"/>
          <w:color w:val="000099"/>
          <w:sz w:val="18"/>
          <w:szCs w:val="18"/>
          <w:u w:val="single"/>
          <w:lang w:eastAsia="pl-PL"/>
        </w:rPr>
      </w:pPr>
    </w:p>
    <w:p w14:paraId="4C19EB9E" w14:textId="77777777" w:rsidR="00FB101C" w:rsidRPr="00FB101C" w:rsidRDefault="00FB101C" w:rsidP="00FB101C">
      <w:pPr>
        <w:spacing w:after="0"/>
        <w:rPr>
          <w:rFonts w:ascii="Arial" w:eastAsiaTheme="minorEastAsia" w:hAnsi="Arial" w:cs="Arial"/>
          <w:color w:val="000099"/>
          <w:sz w:val="18"/>
          <w:szCs w:val="18"/>
          <w:u w:val="single"/>
          <w:lang w:eastAsia="pl-PL"/>
        </w:rPr>
      </w:pPr>
      <w:r w:rsidRPr="00FB101C">
        <w:rPr>
          <w:rFonts w:ascii="Arial" w:eastAsiaTheme="minorEastAsia" w:hAnsi="Arial" w:cs="Arial"/>
          <w:color w:val="000099"/>
          <w:sz w:val="18"/>
          <w:szCs w:val="18"/>
          <w:u w:val="single"/>
          <w:lang w:eastAsia="pl-PL"/>
        </w:rPr>
        <w:t>Opracowanie:</w:t>
      </w:r>
    </w:p>
    <w:p w14:paraId="1970F5C0" w14:textId="77777777" w:rsidR="00FB101C" w:rsidRPr="00FB101C" w:rsidRDefault="00FB101C" w:rsidP="00FB101C">
      <w:pPr>
        <w:spacing w:after="0"/>
        <w:rPr>
          <w:rFonts w:ascii="Arial" w:eastAsiaTheme="minorEastAsia" w:hAnsi="Arial" w:cs="Arial"/>
          <w:color w:val="000099"/>
          <w:sz w:val="18"/>
          <w:szCs w:val="18"/>
          <w:u w:val="single"/>
          <w:lang w:eastAsia="pl-PL"/>
        </w:rPr>
      </w:pPr>
      <w:r w:rsidRPr="00FB101C">
        <w:rPr>
          <w:rFonts w:ascii="Arial" w:eastAsiaTheme="minorEastAsia" w:hAnsi="Arial" w:cs="Arial"/>
          <w:color w:val="000099"/>
          <w:sz w:val="18"/>
          <w:szCs w:val="18"/>
          <w:u w:val="single"/>
          <w:lang w:eastAsia="pl-PL"/>
        </w:rPr>
        <w:t>Departament Programowania Funduszy Europejskich</w:t>
      </w:r>
    </w:p>
    <w:p w14:paraId="1D908910" w14:textId="77777777" w:rsidR="00FB101C" w:rsidRPr="00FB101C" w:rsidRDefault="00FB101C" w:rsidP="00FB101C">
      <w:pPr>
        <w:spacing w:after="0"/>
        <w:rPr>
          <w:rFonts w:ascii="Arial" w:eastAsiaTheme="minorEastAsia" w:hAnsi="Arial" w:cs="Arial"/>
          <w:color w:val="000099"/>
          <w:sz w:val="18"/>
          <w:szCs w:val="18"/>
          <w:u w:val="single"/>
          <w:lang w:eastAsia="pl-PL"/>
        </w:rPr>
      </w:pPr>
      <w:r w:rsidRPr="00FB101C">
        <w:rPr>
          <w:rFonts w:ascii="Arial" w:eastAsiaTheme="minorEastAsia" w:hAnsi="Arial" w:cs="Arial"/>
          <w:color w:val="000099"/>
          <w:sz w:val="18"/>
          <w:szCs w:val="18"/>
          <w:u w:val="single"/>
          <w:lang w:eastAsia="pl-PL"/>
        </w:rPr>
        <w:t>Urząd Marszałkowski Województwa Opolskiego</w:t>
      </w:r>
    </w:p>
    <w:p w14:paraId="4CE6FB23" w14:textId="77777777" w:rsidR="00FB101C" w:rsidRPr="00FB101C" w:rsidRDefault="00FB101C" w:rsidP="00FB101C">
      <w:pPr>
        <w:spacing w:after="0"/>
        <w:rPr>
          <w:rFonts w:ascii="Arial" w:eastAsiaTheme="minorEastAsia" w:hAnsi="Arial" w:cs="Arial"/>
          <w:color w:val="000099"/>
          <w:sz w:val="18"/>
          <w:szCs w:val="18"/>
          <w:u w:val="single"/>
          <w:lang w:eastAsia="pl-PL"/>
        </w:rPr>
      </w:pPr>
      <w:r w:rsidRPr="00FB101C">
        <w:rPr>
          <w:rFonts w:ascii="Arial" w:eastAsiaTheme="minorEastAsia" w:hAnsi="Arial" w:cs="Arial"/>
          <w:color w:val="000099"/>
          <w:sz w:val="18"/>
          <w:szCs w:val="18"/>
          <w:u w:val="single"/>
          <w:lang w:eastAsia="pl-PL"/>
        </w:rPr>
        <w:t>Opole, czerwiec 2023  r.</w:t>
      </w:r>
    </w:p>
    <w:p w14:paraId="234BA3E9" w14:textId="77777777" w:rsidR="00E01179" w:rsidRPr="00483DA1" w:rsidRDefault="00E01179" w:rsidP="00E01179">
      <w:pPr>
        <w:spacing w:after="0"/>
        <w:rPr>
          <w:rFonts w:ascii="Arial" w:eastAsiaTheme="minorEastAsia" w:hAnsi="Arial" w:cs="Arial"/>
          <w:sz w:val="18"/>
          <w:szCs w:val="18"/>
          <w:lang w:eastAsia="pl-PL"/>
        </w:rPr>
      </w:pPr>
    </w:p>
    <w:p w14:paraId="31E4A7F6" w14:textId="77777777" w:rsidR="008E7FF7" w:rsidRDefault="008E7FF7" w:rsidP="00E01179">
      <w:pPr>
        <w:spacing w:after="0"/>
        <w:rPr>
          <w:rFonts w:ascii="Arial" w:eastAsiaTheme="minorEastAsia" w:hAnsi="Arial" w:cs="Arial"/>
          <w:sz w:val="18"/>
          <w:szCs w:val="18"/>
          <w:lang w:eastAsia="pl-PL"/>
        </w:rPr>
      </w:pP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276"/>
        <w:gridCol w:w="1276"/>
        <w:gridCol w:w="1275"/>
        <w:gridCol w:w="1276"/>
        <w:gridCol w:w="5954"/>
      </w:tblGrid>
      <w:tr w:rsidR="005B09B9" w:rsidRPr="000F4CA9" w14:paraId="034791AC" w14:textId="77777777" w:rsidTr="00D02A7D">
        <w:trPr>
          <w:trHeight w:hRule="exact" w:val="839"/>
          <w:tblHeader/>
        </w:trPr>
        <w:tc>
          <w:tcPr>
            <w:tcW w:w="552" w:type="dxa"/>
            <w:tcBorders>
              <w:top w:val="single" w:sz="8" w:space="0" w:color="33CC33"/>
              <w:bottom w:val="single" w:sz="12" w:space="0" w:color="33CC33"/>
              <w:right w:val="single" w:sz="12" w:space="0" w:color="33CC33"/>
            </w:tcBorders>
            <w:shd w:val="clear" w:color="auto" w:fill="F2F2F2"/>
            <w:vAlign w:val="center"/>
          </w:tcPr>
          <w:p w14:paraId="1F5BF369"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lastRenderedPageBreak/>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595D904"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0B32814"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4152E86"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Rodzaj wskaźnika</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BA6D1C6"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9CA917C"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Inne uwagi</w:t>
            </w:r>
          </w:p>
        </w:tc>
        <w:tc>
          <w:tcPr>
            <w:tcW w:w="5954" w:type="dxa"/>
            <w:tcBorders>
              <w:top w:val="single" w:sz="8" w:space="0" w:color="33CC33"/>
              <w:left w:val="single" w:sz="12" w:space="0" w:color="33CC33"/>
              <w:bottom w:val="single" w:sz="12" w:space="0" w:color="33CC33"/>
            </w:tcBorders>
            <w:shd w:val="clear" w:color="auto" w:fill="F2F2F2"/>
            <w:vAlign w:val="center"/>
          </w:tcPr>
          <w:p w14:paraId="6B3C4C4A"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Definicja</w:t>
            </w:r>
          </w:p>
        </w:tc>
      </w:tr>
      <w:tr w:rsidR="005B09B9" w:rsidRPr="000F4CA9" w14:paraId="201923BE" w14:textId="77777777" w:rsidTr="005B09B9">
        <w:trPr>
          <w:trHeight w:hRule="exact" w:val="567"/>
        </w:trPr>
        <w:tc>
          <w:tcPr>
            <w:tcW w:w="14586" w:type="dxa"/>
            <w:gridSpan w:val="7"/>
            <w:tcBorders>
              <w:top w:val="single" w:sz="12" w:space="0" w:color="33CC33"/>
              <w:bottom w:val="single" w:sz="12" w:space="0" w:color="33CC33"/>
            </w:tcBorders>
            <w:shd w:val="clear" w:color="auto" w:fill="D9D9D9" w:themeFill="background1" w:themeFillShade="D9"/>
            <w:vAlign w:val="center"/>
          </w:tcPr>
          <w:p w14:paraId="7DA78EAB" w14:textId="41CD66C3" w:rsidR="005B09B9" w:rsidRPr="000F4CA9" w:rsidRDefault="005B09B9" w:rsidP="005B09B9">
            <w:pPr>
              <w:spacing w:before="80" w:after="80"/>
              <w:rPr>
                <w:rFonts w:cstheme="minorHAnsi"/>
                <w:i/>
                <w:color w:val="000099"/>
                <w:sz w:val="24"/>
                <w:szCs w:val="24"/>
              </w:rPr>
            </w:pPr>
            <w:r>
              <w:rPr>
                <w:rFonts w:cstheme="minorHAnsi"/>
                <w:i/>
                <w:color w:val="000099"/>
                <w:sz w:val="24"/>
                <w:szCs w:val="24"/>
              </w:rPr>
              <w:t>Oś priorytetowa II</w:t>
            </w:r>
            <w:r w:rsidRPr="000F4CA9">
              <w:rPr>
                <w:rFonts w:cstheme="minorHAnsi"/>
                <w:i/>
                <w:color w:val="000099"/>
                <w:sz w:val="24"/>
                <w:szCs w:val="24"/>
              </w:rPr>
              <w:t xml:space="preserve"> </w:t>
            </w:r>
            <w:r>
              <w:rPr>
                <w:rFonts w:cstheme="minorHAnsi"/>
                <w:b/>
                <w:i/>
                <w:color w:val="000099"/>
                <w:sz w:val="24"/>
                <w:szCs w:val="24"/>
              </w:rPr>
              <w:t>Fundusze Europejskie dla czystej energii i ochrony środowiska naturalnego w województwie opolskim</w:t>
            </w:r>
          </w:p>
        </w:tc>
      </w:tr>
      <w:tr w:rsidR="005B09B9" w:rsidRPr="000F4CA9" w14:paraId="7974C606" w14:textId="77777777" w:rsidTr="005B09B9">
        <w:trPr>
          <w:trHeight w:hRule="exact" w:val="567"/>
        </w:trPr>
        <w:tc>
          <w:tcPr>
            <w:tcW w:w="14586" w:type="dxa"/>
            <w:gridSpan w:val="7"/>
            <w:tcBorders>
              <w:top w:val="single" w:sz="12" w:space="0" w:color="33CC33"/>
              <w:bottom w:val="single" w:sz="12" w:space="0" w:color="33CC33"/>
            </w:tcBorders>
            <w:shd w:val="clear" w:color="auto" w:fill="EAF1DD"/>
            <w:vAlign w:val="center"/>
          </w:tcPr>
          <w:p w14:paraId="7F7CFFF8" w14:textId="4306D1F1" w:rsidR="005B09B9" w:rsidRPr="000F4CA9" w:rsidRDefault="00567CA9" w:rsidP="00567CA9">
            <w:pPr>
              <w:spacing w:before="80" w:after="80"/>
              <w:rPr>
                <w:rFonts w:cstheme="minorHAnsi"/>
                <w:i/>
                <w:color w:val="000099"/>
                <w:sz w:val="24"/>
                <w:szCs w:val="24"/>
              </w:rPr>
            </w:pPr>
            <w:r>
              <w:rPr>
                <w:rFonts w:cstheme="minorHAnsi"/>
                <w:i/>
                <w:color w:val="000099"/>
                <w:sz w:val="24"/>
                <w:szCs w:val="24"/>
              </w:rPr>
              <w:t>Działanie 2.7</w:t>
            </w:r>
            <w:r w:rsidR="005B09B9" w:rsidRPr="000F4CA9">
              <w:rPr>
                <w:rFonts w:cstheme="minorHAnsi"/>
                <w:i/>
                <w:color w:val="000099"/>
                <w:sz w:val="24"/>
                <w:szCs w:val="24"/>
              </w:rPr>
              <w:t xml:space="preserve">  </w:t>
            </w:r>
            <w:r>
              <w:rPr>
                <w:rFonts w:cstheme="minorHAnsi"/>
                <w:b/>
                <w:i/>
                <w:color w:val="000099"/>
                <w:sz w:val="24"/>
                <w:szCs w:val="24"/>
              </w:rPr>
              <w:t>Instrumenty finansowe w obszarze środowiska</w:t>
            </w:r>
          </w:p>
        </w:tc>
      </w:tr>
      <w:tr w:rsidR="005B09B9" w:rsidRPr="000F4CA9" w14:paraId="472508D5" w14:textId="77777777" w:rsidTr="00D02A7D">
        <w:trPr>
          <w:trHeight w:val="1041"/>
        </w:trPr>
        <w:tc>
          <w:tcPr>
            <w:tcW w:w="552" w:type="dxa"/>
            <w:tcBorders>
              <w:top w:val="single" w:sz="12" w:space="0" w:color="33CC33"/>
            </w:tcBorders>
            <w:vAlign w:val="center"/>
          </w:tcPr>
          <w:p w14:paraId="0FDDDAFB" w14:textId="77777777" w:rsidR="005B09B9" w:rsidRPr="005E63FE" w:rsidRDefault="005B09B9" w:rsidP="005B09B9">
            <w:pPr>
              <w:spacing w:before="60" w:after="60"/>
              <w:rPr>
                <w:rFonts w:cstheme="minorHAnsi"/>
                <w:sz w:val="20"/>
                <w:szCs w:val="20"/>
                <w:highlight w:val="yellow"/>
              </w:rPr>
            </w:pPr>
            <w:r w:rsidRPr="003A7C4D">
              <w:rPr>
                <w:rFonts w:cstheme="minorHAnsi"/>
                <w:sz w:val="20"/>
                <w:szCs w:val="20"/>
              </w:rPr>
              <w:t>1.</w:t>
            </w:r>
          </w:p>
        </w:tc>
        <w:tc>
          <w:tcPr>
            <w:tcW w:w="2977" w:type="dxa"/>
            <w:tcBorders>
              <w:top w:val="single" w:sz="12" w:space="0" w:color="33CC33"/>
            </w:tcBorders>
            <w:vAlign w:val="center"/>
          </w:tcPr>
          <w:p w14:paraId="4D2679F8" w14:textId="5E19471F" w:rsidR="005B09B9" w:rsidRPr="003A7C4D" w:rsidRDefault="00567CA9" w:rsidP="005B09B9">
            <w:pPr>
              <w:spacing w:before="60" w:after="60"/>
              <w:rPr>
                <w:rFonts w:eastAsia="Times New Roman" w:cstheme="minorHAnsi"/>
                <w:i/>
                <w:color w:val="000000"/>
                <w:sz w:val="20"/>
                <w:szCs w:val="20"/>
                <w:highlight w:val="yellow"/>
              </w:rPr>
            </w:pPr>
            <w:r w:rsidRPr="003A7C4D">
              <w:rPr>
                <w:rFonts w:cstheme="minorHAnsi"/>
                <w:i/>
                <w:color w:val="000000"/>
                <w:sz w:val="20"/>
                <w:szCs w:val="20"/>
                <w:shd w:val="clear" w:color="auto" w:fill="FFFFFF"/>
              </w:rPr>
              <w:t>Liczba zmodernizowanych energetycznie budynków</w:t>
            </w:r>
          </w:p>
        </w:tc>
        <w:tc>
          <w:tcPr>
            <w:tcW w:w="1276" w:type="dxa"/>
            <w:tcBorders>
              <w:top w:val="single" w:sz="12" w:space="0" w:color="33CC33"/>
            </w:tcBorders>
            <w:vAlign w:val="center"/>
          </w:tcPr>
          <w:p w14:paraId="5821EE11" w14:textId="2F2E342A" w:rsidR="005B09B9" w:rsidRPr="002B30FD" w:rsidRDefault="00D02A7D" w:rsidP="002B30FD">
            <w:pPr>
              <w:spacing w:before="60" w:after="60"/>
              <w:jc w:val="center"/>
              <w:rPr>
                <w:rFonts w:eastAsia="Times New Roman" w:cstheme="minorHAnsi"/>
                <w:sz w:val="20"/>
                <w:szCs w:val="20"/>
              </w:rPr>
            </w:pPr>
            <w:r>
              <w:rPr>
                <w:rFonts w:cstheme="minorHAnsi"/>
                <w:sz w:val="20"/>
                <w:szCs w:val="20"/>
              </w:rPr>
              <w:t>s</w:t>
            </w:r>
            <w:r w:rsidR="003A7C4D">
              <w:rPr>
                <w:rFonts w:cstheme="minorHAnsi"/>
                <w:sz w:val="20"/>
                <w:szCs w:val="20"/>
              </w:rPr>
              <w:t>zt.</w:t>
            </w:r>
          </w:p>
        </w:tc>
        <w:tc>
          <w:tcPr>
            <w:tcW w:w="1276" w:type="dxa"/>
            <w:tcBorders>
              <w:top w:val="single" w:sz="12" w:space="0" w:color="33CC33"/>
            </w:tcBorders>
            <w:vAlign w:val="center"/>
          </w:tcPr>
          <w:p w14:paraId="28B6ED40" w14:textId="15479839"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275" w:type="dxa"/>
            <w:tcBorders>
              <w:top w:val="single" w:sz="12" w:space="0" w:color="33CC33"/>
            </w:tcBorders>
            <w:vAlign w:val="center"/>
          </w:tcPr>
          <w:p w14:paraId="0CB87962" w14:textId="778BFCE9" w:rsidR="005B09B9" w:rsidRPr="002B30FD" w:rsidRDefault="003A7C4D" w:rsidP="002B30FD">
            <w:pPr>
              <w:spacing w:before="60" w:after="60"/>
              <w:jc w:val="center"/>
              <w:rPr>
                <w:rFonts w:cstheme="minorHAnsi"/>
                <w:sz w:val="20"/>
                <w:szCs w:val="20"/>
              </w:rPr>
            </w:pPr>
            <w:r>
              <w:rPr>
                <w:rFonts w:cstheme="minorHAnsi"/>
                <w:sz w:val="20"/>
                <w:szCs w:val="20"/>
              </w:rPr>
              <w:t>kluczowy</w:t>
            </w:r>
          </w:p>
        </w:tc>
        <w:tc>
          <w:tcPr>
            <w:tcW w:w="1276" w:type="dxa"/>
            <w:tcBorders>
              <w:top w:val="single" w:sz="12" w:space="0" w:color="33CC33"/>
            </w:tcBorders>
            <w:vAlign w:val="center"/>
          </w:tcPr>
          <w:p w14:paraId="1C1562DF" w14:textId="1540A72D" w:rsidR="005B09B9" w:rsidRPr="002B30FD" w:rsidRDefault="00CA4BAD" w:rsidP="002B30FD">
            <w:pPr>
              <w:spacing w:before="60" w:after="60"/>
              <w:jc w:val="center"/>
              <w:rPr>
                <w:rFonts w:cstheme="minorHAnsi"/>
                <w:sz w:val="20"/>
                <w:szCs w:val="20"/>
              </w:rPr>
            </w:pPr>
            <w:r>
              <w:rPr>
                <w:rFonts w:cstheme="minorHAnsi"/>
                <w:sz w:val="20"/>
                <w:szCs w:val="20"/>
              </w:rPr>
              <w:t>Wskaźnik programowy</w:t>
            </w:r>
          </w:p>
        </w:tc>
        <w:tc>
          <w:tcPr>
            <w:tcW w:w="5954" w:type="dxa"/>
            <w:tcBorders>
              <w:top w:val="single" w:sz="12" w:space="0" w:color="33CC33"/>
            </w:tcBorders>
            <w:vAlign w:val="center"/>
          </w:tcPr>
          <w:p w14:paraId="70598EED" w14:textId="77777777" w:rsidR="003A7C4D" w:rsidRPr="00A40B94" w:rsidRDefault="003A7C4D" w:rsidP="003A7C4D">
            <w:pPr>
              <w:spacing w:before="60" w:after="60"/>
              <w:jc w:val="both"/>
              <w:rPr>
                <w:rFonts w:cstheme="minorHAnsi"/>
                <w:sz w:val="20"/>
                <w:szCs w:val="20"/>
              </w:rPr>
            </w:pPr>
            <w:r w:rsidRPr="00A40B94">
              <w:rPr>
                <w:rFonts w:cstheme="minorHAnsi"/>
                <w:sz w:val="20"/>
                <w:szCs w:val="20"/>
              </w:rPr>
              <w:t>Wskaźnik mierzy liczbę zmodernizowanych energetycznie budynków w wyniku realizacji projektu. Modernizacja – obejmuje przebudowę, remont oraz rozbudowę budynków w celu dokonania modernizacji urządzeń energetycznych. 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Remont – wykonywanie w istniejącym obiekcie budowlanym robót budowlanych polegających na odtworzeniu stanu pierwotnego, a niestanowiących bieżącej konserwacji, przy czym dopuszcza się stosowanie wyrobów budowlanych innych niż użyto w stanie pierwotnym. Rozbudowa – w budownictwie rodzaj budowy, w wyniku którego powstaje nowa część istniejącego już obiektu budowlanego</w:t>
            </w:r>
          </w:p>
          <w:p w14:paraId="7B7EB650" w14:textId="36CD1102" w:rsidR="005B09B9" w:rsidRPr="00A40B94" w:rsidRDefault="003A7C4D" w:rsidP="003A7C4D">
            <w:pPr>
              <w:spacing w:before="60" w:after="60"/>
              <w:jc w:val="both"/>
              <w:rPr>
                <w:rFonts w:cstheme="minorHAnsi"/>
                <w:sz w:val="20"/>
                <w:szCs w:val="20"/>
              </w:rPr>
            </w:pPr>
            <w:r w:rsidRPr="00A40B94">
              <w:rPr>
                <w:rFonts w:cstheme="minorHAnsi"/>
                <w:sz w:val="20"/>
                <w:szCs w:val="20"/>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5B09B9" w:rsidRPr="000F4CA9" w14:paraId="13D124DA" w14:textId="77777777" w:rsidTr="00D02A7D">
        <w:trPr>
          <w:trHeight w:val="1133"/>
        </w:trPr>
        <w:tc>
          <w:tcPr>
            <w:tcW w:w="552" w:type="dxa"/>
            <w:vAlign w:val="center"/>
          </w:tcPr>
          <w:p w14:paraId="72D0B143" w14:textId="77777777" w:rsidR="005B09B9" w:rsidRPr="005E63FE" w:rsidRDefault="005B09B9" w:rsidP="005B09B9">
            <w:pPr>
              <w:spacing w:before="60" w:after="60"/>
              <w:rPr>
                <w:rFonts w:cstheme="minorHAnsi"/>
                <w:sz w:val="20"/>
                <w:szCs w:val="20"/>
                <w:highlight w:val="yellow"/>
              </w:rPr>
            </w:pPr>
            <w:r w:rsidRPr="003A7C4D">
              <w:rPr>
                <w:rFonts w:cstheme="minorHAnsi"/>
                <w:sz w:val="20"/>
                <w:szCs w:val="20"/>
              </w:rPr>
              <w:t>2.</w:t>
            </w:r>
          </w:p>
        </w:tc>
        <w:tc>
          <w:tcPr>
            <w:tcW w:w="2977" w:type="dxa"/>
            <w:vAlign w:val="center"/>
          </w:tcPr>
          <w:p w14:paraId="4B2D4808" w14:textId="1444DFFE" w:rsidR="005B09B9" w:rsidRPr="003A7C4D" w:rsidRDefault="003A7C4D" w:rsidP="005B09B9">
            <w:pPr>
              <w:spacing w:before="60" w:after="60"/>
              <w:rPr>
                <w:rFonts w:eastAsia="Times New Roman" w:cstheme="minorHAnsi"/>
                <w:i/>
                <w:sz w:val="20"/>
                <w:szCs w:val="20"/>
                <w:highlight w:val="yellow"/>
              </w:rPr>
            </w:pPr>
            <w:r w:rsidRPr="003A7C4D">
              <w:rPr>
                <w:rFonts w:cs="Calibri"/>
                <w:i/>
                <w:color w:val="000000" w:themeColor="text1"/>
                <w:sz w:val="20"/>
                <w:szCs w:val="20"/>
              </w:rPr>
              <w:t>Lokale mieszkalne o udoskonalonej charakterystyce energetycznej</w:t>
            </w:r>
          </w:p>
        </w:tc>
        <w:tc>
          <w:tcPr>
            <w:tcW w:w="1276" w:type="dxa"/>
            <w:vAlign w:val="center"/>
          </w:tcPr>
          <w:p w14:paraId="23313BF1" w14:textId="6394069C"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szt.</w:t>
            </w:r>
          </w:p>
        </w:tc>
        <w:tc>
          <w:tcPr>
            <w:tcW w:w="1276" w:type="dxa"/>
            <w:vAlign w:val="center"/>
          </w:tcPr>
          <w:p w14:paraId="32D548A5" w14:textId="40CE73C0"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275" w:type="dxa"/>
            <w:vAlign w:val="center"/>
          </w:tcPr>
          <w:p w14:paraId="3B50AF58" w14:textId="4B3B67DD"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1276" w:type="dxa"/>
            <w:vAlign w:val="center"/>
          </w:tcPr>
          <w:p w14:paraId="21638ECC" w14:textId="5F545736" w:rsidR="005B09B9" w:rsidRPr="002B30FD" w:rsidRDefault="00CA4BAD" w:rsidP="002B30FD">
            <w:pPr>
              <w:spacing w:before="60" w:after="60"/>
              <w:jc w:val="center"/>
              <w:rPr>
                <w:rFonts w:cstheme="minorHAnsi"/>
                <w:sz w:val="20"/>
                <w:szCs w:val="20"/>
              </w:rPr>
            </w:pPr>
            <w:r>
              <w:rPr>
                <w:rFonts w:cstheme="minorHAnsi"/>
                <w:sz w:val="20"/>
                <w:szCs w:val="20"/>
              </w:rPr>
              <w:t>Wskaźnik programowy</w:t>
            </w:r>
          </w:p>
        </w:tc>
        <w:tc>
          <w:tcPr>
            <w:tcW w:w="5954" w:type="dxa"/>
            <w:vAlign w:val="center"/>
          </w:tcPr>
          <w:p w14:paraId="4551797E" w14:textId="77777777" w:rsidR="003A7C4D" w:rsidRPr="00A40B94" w:rsidRDefault="003A7C4D" w:rsidP="003A7C4D">
            <w:pPr>
              <w:jc w:val="both"/>
              <w:rPr>
                <w:rFonts w:cstheme="minorHAnsi"/>
                <w:sz w:val="20"/>
                <w:szCs w:val="20"/>
              </w:rPr>
            </w:pPr>
            <w:r w:rsidRPr="00A40B94">
              <w:rPr>
                <w:rFonts w:cstheme="minorHAnsi"/>
                <w:sz w:val="20"/>
                <w:szCs w:val="20"/>
              </w:rPr>
              <w:t xml:space="preserve">Liczba lokali mieszkalnych o udoskonalonej charakterystyce energetycznej dzięki udzielonemu wsparciu finansowemu. Udoskonaloną charakterystykę energetyczną należy rozumieć jako poprawę klasyfikacji energetycznej lokalu mieszkalnego o co najmniej jedną klasę energetyczną i należy ją udokumentować na podstawie świadectw charakterystyki energetycznej. Klasyfikacja energetyczna, o której mowa, jest zgodna z definicją zawartą w krajowym świadectwie </w:t>
            </w:r>
            <w:r w:rsidRPr="00A40B94">
              <w:rPr>
                <w:rFonts w:cstheme="minorHAnsi"/>
                <w:sz w:val="20"/>
                <w:szCs w:val="20"/>
              </w:rPr>
              <w:lastRenderedPageBreak/>
              <w:t>charakterystyki energetycznej, zgodnie z dyrektywą 2010/31/UE.   Lokal mieszkalny definiuje się jako „pomieszczenie lub zestaw pokoi w budynku stałym lub strukturalnie oddzielonej części budynku, który (…) jest przeznaczony do mieszkania przez jedno prywatne gospodarstwo domowe przez cały rok”. (zob. ESTAT online w odniesieniach). Wskaźnik obejmuje również mieszkalnictwo socjalne w ramach RSO2.1, w którym to przypadku należy również zastosować RCO65 – Inf. społeczna: Pojemność nowych lub zmodernizowanych lokali socjalnych.   Wskaźnik ten nie obejmuje lokali mieszkalnych objętych RCO123 Energia: Lokale mieszkalne z wymienionymi kotłami zasilanymi gazem ziemnym, aby uniknąć konieczności stosowania dwóch wskaźników charakterystyki energetycznej w odniesieniu do operacji objętych wsparciem.</w:t>
            </w:r>
          </w:p>
          <w:p w14:paraId="0369FB0F" w14:textId="61AEBC4D" w:rsidR="005B09B9" w:rsidRPr="00A40B94" w:rsidRDefault="003A7C4D" w:rsidP="003A7C4D">
            <w:pPr>
              <w:spacing w:before="60" w:after="60"/>
              <w:jc w:val="both"/>
              <w:rPr>
                <w:rFonts w:cstheme="minorHAnsi"/>
                <w:sz w:val="20"/>
                <w:szCs w:val="20"/>
              </w:rPr>
            </w:pPr>
            <w:r w:rsidRPr="00A40B94">
              <w:rPr>
                <w:rFonts w:cstheme="minorHAnsi"/>
                <w:sz w:val="20"/>
                <w:szCs w:val="20"/>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5B09B9" w:rsidRPr="000F4CA9" w14:paraId="0F61A909" w14:textId="77777777" w:rsidTr="00D02A7D">
        <w:trPr>
          <w:trHeight w:val="767"/>
        </w:trPr>
        <w:tc>
          <w:tcPr>
            <w:tcW w:w="552" w:type="dxa"/>
            <w:tcBorders>
              <w:top w:val="single" w:sz="4" w:space="0" w:color="92D050"/>
              <w:bottom w:val="single" w:sz="4" w:space="0" w:color="33CC33"/>
            </w:tcBorders>
            <w:vAlign w:val="center"/>
          </w:tcPr>
          <w:p w14:paraId="29CBC3F1" w14:textId="689C0B87" w:rsidR="005B09B9" w:rsidRPr="002B30FD" w:rsidRDefault="003A7C4D" w:rsidP="005B09B9">
            <w:pPr>
              <w:spacing w:before="60" w:after="60"/>
              <w:rPr>
                <w:rFonts w:cstheme="minorHAnsi"/>
                <w:sz w:val="20"/>
                <w:szCs w:val="20"/>
              </w:rPr>
            </w:pPr>
            <w:r>
              <w:rPr>
                <w:rFonts w:cstheme="minorHAnsi"/>
                <w:sz w:val="20"/>
                <w:szCs w:val="20"/>
              </w:rPr>
              <w:lastRenderedPageBreak/>
              <w:t>3</w:t>
            </w:r>
            <w:r w:rsidR="005B09B9" w:rsidRPr="002B30FD">
              <w:rPr>
                <w:rFonts w:cstheme="minorHAnsi"/>
                <w:sz w:val="20"/>
                <w:szCs w:val="20"/>
              </w:rPr>
              <w:t>.</w:t>
            </w:r>
          </w:p>
        </w:tc>
        <w:tc>
          <w:tcPr>
            <w:tcW w:w="2977" w:type="dxa"/>
            <w:tcBorders>
              <w:top w:val="single" w:sz="4" w:space="0" w:color="33CC33"/>
              <w:bottom w:val="single" w:sz="4" w:space="0" w:color="33CC33"/>
            </w:tcBorders>
            <w:vAlign w:val="center"/>
          </w:tcPr>
          <w:p w14:paraId="0928BB49" w14:textId="4D24E770" w:rsidR="005B09B9" w:rsidRPr="003A7C4D" w:rsidRDefault="003A7C4D" w:rsidP="005B09B9">
            <w:pPr>
              <w:spacing w:before="60" w:after="60"/>
              <w:rPr>
                <w:rFonts w:cstheme="minorHAnsi"/>
                <w:i/>
                <w:color w:val="000000" w:themeColor="text1"/>
                <w:sz w:val="20"/>
                <w:szCs w:val="20"/>
              </w:rPr>
            </w:pPr>
            <w:r w:rsidRPr="003A7C4D">
              <w:rPr>
                <w:rFonts w:cs="Calibri"/>
                <w:i/>
                <w:color w:val="000000" w:themeColor="text1"/>
                <w:sz w:val="20"/>
                <w:szCs w:val="20"/>
              </w:rPr>
              <w:t>Budynki publiczne o udoskonalonej charakterystyce energetycznej</w:t>
            </w:r>
          </w:p>
        </w:tc>
        <w:tc>
          <w:tcPr>
            <w:tcW w:w="1276" w:type="dxa"/>
            <w:tcBorders>
              <w:top w:val="single" w:sz="4" w:space="0" w:color="33CC33"/>
              <w:bottom w:val="single" w:sz="4" w:space="0" w:color="33CC33"/>
            </w:tcBorders>
            <w:vAlign w:val="center"/>
          </w:tcPr>
          <w:p w14:paraId="7AA5A4FA" w14:textId="7330810C" w:rsidR="005B09B9" w:rsidRPr="003A7C4D" w:rsidRDefault="003A7C4D" w:rsidP="002B30FD">
            <w:pPr>
              <w:spacing w:before="60" w:after="60"/>
              <w:jc w:val="center"/>
              <w:rPr>
                <w:rFonts w:eastAsia="Times New Roman" w:cstheme="minorHAnsi"/>
                <w:sz w:val="20"/>
                <w:szCs w:val="20"/>
                <w:vertAlign w:val="superscript"/>
              </w:rPr>
            </w:pPr>
            <w:r>
              <w:rPr>
                <w:rFonts w:cstheme="minorHAnsi"/>
                <w:sz w:val="20"/>
                <w:szCs w:val="20"/>
              </w:rPr>
              <w:t>m</w:t>
            </w:r>
            <w:r>
              <w:rPr>
                <w:rFonts w:cstheme="minorHAnsi"/>
                <w:sz w:val="20"/>
                <w:szCs w:val="20"/>
                <w:vertAlign w:val="superscript"/>
              </w:rPr>
              <w:t>2</w:t>
            </w:r>
          </w:p>
        </w:tc>
        <w:tc>
          <w:tcPr>
            <w:tcW w:w="1276" w:type="dxa"/>
            <w:tcBorders>
              <w:top w:val="single" w:sz="4" w:space="0" w:color="33CC33"/>
              <w:bottom w:val="single" w:sz="4" w:space="0" w:color="33CC33"/>
            </w:tcBorders>
            <w:vAlign w:val="center"/>
          </w:tcPr>
          <w:p w14:paraId="3FB6F345" w14:textId="4FB94CBC"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275" w:type="dxa"/>
            <w:tcBorders>
              <w:top w:val="single" w:sz="4" w:space="0" w:color="33CC33"/>
              <w:bottom w:val="single" w:sz="4" w:space="0" w:color="33CC33"/>
            </w:tcBorders>
            <w:vAlign w:val="center"/>
          </w:tcPr>
          <w:p w14:paraId="689F7FFF" w14:textId="12C19986"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1276" w:type="dxa"/>
            <w:tcBorders>
              <w:top w:val="single" w:sz="4" w:space="0" w:color="33CC33"/>
              <w:bottom w:val="single" w:sz="4" w:space="0" w:color="33CC33"/>
            </w:tcBorders>
            <w:vAlign w:val="center"/>
          </w:tcPr>
          <w:p w14:paraId="49FE42FC" w14:textId="040CAAD1" w:rsidR="005B09B9" w:rsidRPr="002B30FD" w:rsidRDefault="00CA4BAD" w:rsidP="002B30FD">
            <w:pPr>
              <w:spacing w:before="60" w:after="60"/>
              <w:jc w:val="center"/>
              <w:rPr>
                <w:rFonts w:cstheme="minorHAnsi"/>
                <w:sz w:val="20"/>
                <w:szCs w:val="20"/>
              </w:rPr>
            </w:pPr>
            <w:r>
              <w:rPr>
                <w:rFonts w:cstheme="minorHAnsi"/>
                <w:sz w:val="20"/>
                <w:szCs w:val="20"/>
              </w:rPr>
              <w:t>Wskaźnik programowy</w:t>
            </w:r>
          </w:p>
        </w:tc>
        <w:tc>
          <w:tcPr>
            <w:tcW w:w="5954" w:type="dxa"/>
            <w:tcBorders>
              <w:top w:val="single" w:sz="4" w:space="0" w:color="33CC33"/>
              <w:bottom w:val="single" w:sz="4" w:space="0" w:color="33CC33"/>
            </w:tcBorders>
            <w:vAlign w:val="center"/>
          </w:tcPr>
          <w:p w14:paraId="3A5CA639" w14:textId="00BE7F59" w:rsidR="005B09B9" w:rsidRPr="00A40B94" w:rsidRDefault="003A7C4D" w:rsidP="005B09B9">
            <w:pPr>
              <w:spacing w:before="60" w:after="60"/>
              <w:jc w:val="both"/>
              <w:rPr>
                <w:rFonts w:cstheme="minorHAnsi"/>
                <w:sz w:val="20"/>
                <w:szCs w:val="20"/>
              </w:rPr>
            </w:pPr>
            <w:r w:rsidRPr="00A40B94">
              <w:rPr>
                <w:rFonts w:cstheme="minorHAnsi"/>
                <w:sz w:val="20"/>
                <w:szCs w:val="20"/>
              </w:rPr>
              <w:t xml:space="preserve">Powierzchnia netto budynków publicznych, które osiągają lepszą charakterystykę energetyczną dzięki otrzymanemu wsparciu. Udoskonaloną charakterystykę energetyczną należy rozumieć jako poprawę klasyfikacji energetycznej budynku publicznego o co najmniej jedną klasę energetyczną i należy ją udokumentować na podstawie świadectw charakterystyki energetycznej. Klasyfikacja energetyczna, o której mowa, jest zgodna z definicją zawartą w krajowym świadectwie charakterystyki energetycznej, zgodnie z dyrektywą 2010/31/UE.   Budynki publiczne definiuje się jako budynki będące własnością instytucji publicznych i budynki będące własnością organizacji non-profit. Organizacja non-profit to osoba prawna zorganizowana i działająca dla zbiorowego, publicznego lub społecznego pożytku, w przeciwieństwie do podmiotu prowadzącego działalność gospodarczą, której celem jest generowanie zysku dla jego właścicieli. Przykłady </w:t>
            </w:r>
            <w:r w:rsidRPr="00A40B94">
              <w:rPr>
                <w:rFonts w:cstheme="minorHAnsi"/>
                <w:sz w:val="20"/>
                <w:szCs w:val="20"/>
              </w:rPr>
              <w:lastRenderedPageBreak/>
              <w:t>obejmują budynki administracji publicznej, szkoły, szpitale itp.   Wskaźnik nie obejmuje:   - lokali socjalnych (ponieważ są uwzględniane w RCO18),   - szkół prywatnych lub szpitali prywatnych będących własnością inwestorów prywatnych.    Wsparcie dla takich podmiotów prywatnych należy zgłaszać jako wsparcie dla przedsiębiorstw wykorzystując RCO01 itp.</w:t>
            </w:r>
          </w:p>
        </w:tc>
      </w:tr>
      <w:tr w:rsidR="005B09B9" w:rsidRPr="000F4CA9" w14:paraId="67BC0499" w14:textId="77777777" w:rsidTr="00D02A7D">
        <w:tc>
          <w:tcPr>
            <w:tcW w:w="552" w:type="dxa"/>
            <w:tcBorders>
              <w:top w:val="single" w:sz="4" w:space="0" w:color="33CC33"/>
              <w:bottom w:val="single" w:sz="4" w:space="0" w:color="33CC33"/>
            </w:tcBorders>
            <w:vAlign w:val="center"/>
          </w:tcPr>
          <w:p w14:paraId="2D1B82DD" w14:textId="6CB1810B" w:rsidR="005B09B9" w:rsidRPr="002B30FD" w:rsidRDefault="003A7C4D" w:rsidP="005B09B9">
            <w:pPr>
              <w:spacing w:before="60" w:after="60"/>
              <w:rPr>
                <w:rFonts w:cstheme="minorHAnsi"/>
                <w:sz w:val="20"/>
                <w:szCs w:val="20"/>
              </w:rPr>
            </w:pPr>
            <w:r>
              <w:rPr>
                <w:rFonts w:cstheme="minorHAnsi"/>
                <w:sz w:val="20"/>
                <w:szCs w:val="20"/>
              </w:rPr>
              <w:lastRenderedPageBreak/>
              <w:t>4</w:t>
            </w:r>
            <w:r w:rsidR="005B09B9" w:rsidRPr="002B30FD">
              <w:rPr>
                <w:rFonts w:cstheme="minorHAnsi"/>
                <w:sz w:val="20"/>
                <w:szCs w:val="20"/>
              </w:rPr>
              <w:t>.</w:t>
            </w:r>
          </w:p>
        </w:tc>
        <w:tc>
          <w:tcPr>
            <w:tcW w:w="2977" w:type="dxa"/>
            <w:tcBorders>
              <w:top w:val="single" w:sz="4" w:space="0" w:color="33CC33"/>
              <w:bottom w:val="single" w:sz="4" w:space="0" w:color="33CC33"/>
            </w:tcBorders>
            <w:vAlign w:val="center"/>
          </w:tcPr>
          <w:p w14:paraId="137819DA" w14:textId="1872AC1E" w:rsidR="005B09B9" w:rsidRPr="003A7C4D" w:rsidRDefault="003A7C4D" w:rsidP="005B09B9">
            <w:pPr>
              <w:spacing w:before="60" w:after="60"/>
              <w:rPr>
                <w:rFonts w:cstheme="minorHAnsi"/>
                <w:i/>
                <w:color w:val="000000" w:themeColor="text1"/>
                <w:sz w:val="20"/>
                <w:szCs w:val="20"/>
              </w:rPr>
            </w:pPr>
            <w:r w:rsidRPr="003A7C4D">
              <w:rPr>
                <w:rFonts w:cs="Calibri"/>
                <w:i/>
                <w:color w:val="000000" w:themeColor="text1"/>
                <w:sz w:val="20"/>
                <w:szCs w:val="20"/>
              </w:rPr>
              <w:t>Dodatkowa zdolność wytwarzania energii odnawialnej (w tym: energii elektrycznej, energii cieplnej)</w:t>
            </w:r>
          </w:p>
        </w:tc>
        <w:tc>
          <w:tcPr>
            <w:tcW w:w="1276" w:type="dxa"/>
            <w:tcBorders>
              <w:top w:val="single" w:sz="4" w:space="0" w:color="33CC33"/>
              <w:bottom w:val="single" w:sz="4" w:space="0" w:color="33CC33"/>
            </w:tcBorders>
            <w:vAlign w:val="center"/>
          </w:tcPr>
          <w:p w14:paraId="01847134" w14:textId="2FDC273E" w:rsidR="005B09B9" w:rsidRPr="002B30FD" w:rsidRDefault="003A7C4D" w:rsidP="002B30FD">
            <w:pPr>
              <w:spacing w:before="60" w:after="60"/>
              <w:jc w:val="center"/>
              <w:rPr>
                <w:rFonts w:eastAsia="Times New Roman" w:cstheme="minorHAnsi"/>
                <w:sz w:val="20"/>
                <w:szCs w:val="20"/>
              </w:rPr>
            </w:pPr>
            <w:r>
              <w:rPr>
                <w:rFonts w:cstheme="minorHAnsi"/>
                <w:sz w:val="20"/>
                <w:szCs w:val="20"/>
              </w:rPr>
              <w:t>MW</w:t>
            </w:r>
          </w:p>
        </w:tc>
        <w:tc>
          <w:tcPr>
            <w:tcW w:w="1276" w:type="dxa"/>
            <w:tcBorders>
              <w:top w:val="single" w:sz="4" w:space="0" w:color="33CC33"/>
              <w:bottom w:val="single" w:sz="4" w:space="0" w:color="33CC33"/>
            </w:tcBorders>
            <w:vAlign w:val="center"/>
          </w:tcPr>
          <w:p w14:paraId="50F7836C" w14:textId="40327E33"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275" w:type="dxa"/>
            <w:tcBorders>
              <w:top w:val="single" w:sz="4" w:space="0" w:color="33CC33"/>
              <w:bottom w:val="single" w:sz="4" w:space="0" w:color="33CC33"/>
            </w:tcBorders>
            <w:vAlign w:val="center"/>
          </w:tcPr>
          <w:p w14:paraId="4279B488" w14:textId="6C204C32"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1276" w:type="dxa"/>
            <w:tcBorders>
              <w:top w:val="single" w:sz="4" w:space="0" w:color="33CC33"/>
              <w:bottom w:val="single" w:sz="4" w:space="0" w:color="33CC33"/>
            </w:tcBorders>
            <w:vAlign w:val="center"/>
          </w:tcPr>
          <w:p w14:paraId="520F92BB" w14:textId="1277F2C1" w:rsidR="005B09B9" w:rsidRPr="002B30FD" w:rsidRDefault="00CA4BAD" w:rsidP="002B30FD">
            <w:pPr>
              <w:spacing w:before="60" w:after="60"/>
              <w:jc w:val="center"/>
              <w:rPr>
                <w:rFonts w:cstheme="minorHAnsi"/>
                <w:sz w:val="20"/>
                <w:szCs w:val="20"/>
              </w:rPr>
            </w:pPr>
            <w:r>
              <w:rPr>
                <w:rFonts w:cstheme="minorHAnsi"/>
                <w:sz w:val="20"/>
                <w:szCs w:val="20"/>
              </w:rPr>
              <w:t>Wskaźnik programowy</w:t>
            </w:r>
          </w:p>
        </w:tc>
        <w:tc>
          <w:tcPr>
            <w:tcW w:w="5954" w:type="dxa"/>
            <w:tcBorders>
              <w:top w:val="single" w:sz="4" w:space="0" w:color="33CC33"/>
              <w:bottom w:val="single" w:sz="4" w:space="0" w:color="33CC33"/>
            </w:tcBorders>
            <w:vAlign w:val="center"/>
          </w:tcPr>
          <w:p w14:paraId="3A7CFB28" w14:textId="4F0E1E54" w:rsidR="005B09B9" w:rsidRPr="00A40B94" w:rsidRDefault="003A7C4D" w:rsidP="00931055">
            <w:pPr>
              <w:spacing w:before="60" w:after="60"/>
              <w:jc w:val="both"/>
              <w:rPr>
                <w:rFonts w:cstheme="minorHAnsi"/>
                <w:sz w:val="20"/>
                <w:szCs w:val="20"/>
              </w:rPr>
            </w:pPr>
            <w:r w:rsidRPr="00A40B94">
              <w:rPr>
                <w:rFonts w:cstheme="minorHAnsi"/>
                <w:sz w:val="20"/>
                <w:szCs w:val="20"/>
              </w:rPr>
              <w:t>Dodatkowa zdolność produkcyjną  energii ze źródeł odnawialnych  wybudowana lub rozbudowane dzięki wsparciu. Wskaźnik obejmuje również zdolność produkcyjną , która została zbudowana lub rozbudowana i nie została jeszcze podłączona do sieci (jeśli dotyczy) lub nie jest jeszcze w pełni gotowa do wytwarzania energii.   Zdolność wytwarzania rozumiana jest jako „maksymalna moc wytwórcza energii elektrycznej netto”, definiowana przez Eurostat jako „maksymalna moc czynna, która może być dostarczana stale przez ciągle działający zakład w punkcie wyjścia (tj. po pobraniu energii dla potrzeb urządzeń pomocniczych stacji oraz uwzględniając straty w transformatorach uznawanych za integralne ze stacją)”. Energia odnawialna oznacza „energię z odnawialnych źródeł niekopalnych, a mianowicie energię wiatru, energię promieniowania słonecznego (energię słoneczną termiczną i energię fotowoltaiczną) oraz energię geotermalną, energię otoczenia, energię pływów, fal i inną energię oceanów, hydroenergię, biomasę oraz gaz pochodzący z wysypisk śmieci, oczyszczalni ścieków i ze źródeł biologicznych (biogaz)”. (Zob. dyrektywę 2018/2011).   Dezagregacja zdolności wytwarzania energii elektrycznej i cieplnej odnosi się do rodzaju wytwarzanej energii.</w:t>
            </w:r>
          </w:p>
        </w:tc>
      </w:tr>
      <w:tr w:rsidR="005B09B9" w:rsidRPr="000F4CA9" w14:paraId="5D1D58A6" w14:textId="77777777" w:rsidTr="00CA4BAD">
        <w:trPr>
          <w:trHeight w:val="767"/>
        </w:trPr>
        <w:tc>
          <w:tcPr>
            <w:tcW w:w="552" w:type="dxa"/>
            <w:tcBorders>
              <w:top w:val="single" w:sz="4" w:space="0" w:color="33CC33"/>
            </w:tcBorders>
            <w:vAlign w:val="center"/>
          </w:tcPr>
          <w:p w14:paraId="33093DF8" w14:textId="3E4FD128" w:rsidR="005B09B9" w:rsidRPr="002B30FD" w:rsidRDefault="003A7C4D" w:rsidP="005B09B9">
            <w:pPr>
              <w:spacing w:before="60" w:after="60"/>
              <w:rPr>
                <w:rFonts w:cstheme="minorHAnsi"/>
                <w:sz w:val="20"/>
                <w:szCs w:val="20"/>
              </w:rPr>
            </w:pPr>
            <w:r>
              <w:rPr>
                <w:rFonts w:cstheme="minorHAnsi"/>
                <w:sz w:val="20"/>
                <w:szCs w:val="20"/>
              </w:rPr>
              <w:t>5</w:t>
            </w:r>
            <w:r w:rsidR="005B09B9" w:rsidRPr="002B30FD">
              <w:rPr>
                <w:rFonts w:cstheme="minorHAnsi"/>
                <w:sz w:val="20"/>
                <w:szCs w:val="20"/>
              </w:rPr>
              <w:t>.</w:t>
            </w:r>
          </w:p>
        </w:tc>
        <w:tc>
          <w:tcPr>
            <w:tcW w:w="2977" w:type="dxa"/>
            <w:tcBorders>
              <w:top w:val="single" w:sz="4" w:space="0" w:color="33CC33"/>
            </w:tcBorders>
            <w:vAlign w:val="center"/>
          </w:tcPr>
          <w:p w14:paraId="049B2B83" w14:textId="45EB3E41" w:rsidR="005B09B9" w:rsidRPr="003A7C4D" w:rsidRDefault="003A7C4D" w:rsidP="00CA4BAD">
            <w:pPr>
              <w:spacing w:before="60" w:after="60"/>
              <w:rPr>
                <w:rFonts w:cstheme="minorHAnsi"/>
                <w:color w:val="000000"/>
                <w:sz w:val="20"/>
                <w:szCs w:val="20"/>
                <w:highlight w:val="yellow"/>
              </w:rPr>
            </w:pPr>
            <w:r w:rsidRPr="003A7C4D">
              <w:rPr>
                <w:rFonts w:ascii="Calibri" w:hAnsi="Calibri" w:cs="Calibri"/>
                <w:i/>
                <w:sz w:val="20"/>
                <w:szCs w:val="20"/>
              </w:rPr>
              <w:t>Liczba wspartych społeczności energetycznych działających w zakresie energii odnawialnej</w:t>
            </w:r>
          </w:p>
        </w:tc>
        <w:tc>
          <w:tcPr>
            <w:tcW w:w="1276" w:type="dxa"/>
            <w:tcBorders>
              <w:top w:val="single" w:sz="4" w:space="0" w:color="33CC33"/>
            </w:tcBorders>
            <w:vAlign w:val="center"/>
          </w:tcPr>
          <w:p w14:paraId="4FE100F4" w14:textId="3C9E4D1D" w:rsidR="005B09B9" w:rsidRPr="003A7C4D" w:rsidRDefault="003A7C4D" w:rsidP="00CA4BAD">
            <w:pPr>
              <w:spacing w:before="60" w:after="60"/>
              <w:rPr>
                <w:rFonts w:eastAsia="Times New Roman" w:cstheme="minorHAnsi"/>
                <w:sz w:val="20"/>
                <w:szCs w:val="20"/>
              </w:rPr>
            </w:pPr>
            <w:r>
              <w:rPr>
                <w:rFonts w:cstheme="minorHAnsi"/>
                <w:sz w:val="20"/>
                <w:szCs w:val="20"/>
              </w:rPr>
              <w:t>szt.</w:t>
            </w:r>
          </w:p>
        </w:tc>
        <w:tc>
          <w:tcPr>
            <w:tcW w:w="1276" w:type="dxa"/>
            <w:tcBorders>
              <w:top w:val="single" w:sz="4" w:space="0" w:color="33CC33"/>
            </w:tcBorders>
            <w:vAlign w:val="center"/>
          </w:tcPr>
          <w:p w14:paraId="05EE6B9C" w14:textId="09C22C12" w:rsidR="005B09B9" w:rsidRPr="003A7C4D" w:rsidRDefault="005B09B9" w:rsidP="00CA4BAD">
            <w:pPr>
              <w:spacing w:before="60" w:after="60"/>
              <w:rPr>
                <w:rFonts w:cstheme="minorHAnsi"/>
                <w:sz w:val="20"/>
                <w:szCs w:val="20"/>
              </w:rPr>
            </w:pPr>
            <w:r w:rsidRPr="003A7C4D">
              <w:rPr>
                <w:rFonts w:cstheme="minorHAnsi"/>
                <w:sz w:val="20"/>
                <w:szCs w:val="20"/>
              </w:rPr>
              <w:t>produkt</w:t>
            </w:r>
          </w:p>
        </w:tc>
        <w:tc>
          <w:tcPr>
            <w:tcW w:w="1275" w:type="dxa"/>
            <w:tcBorders>
              <w:top w:val="single" w:sz="4" w:space="0" w:color="33CC33"/>
            </w:tcBorders>
            <w:vAlign w:val="center"/>
          </w:tcPr>
          <w:p w14:paraId="26A2E06B" w14:textId="7921641C" w:rsidR="005B09B9" w:rsidRPr="003A7C4D" w:rsidRDefault="005B09B9" w:rsidP="00CA4BAD">
            <w:pPr>
              <w:spacing w:before="60" w:after="60"/>
              <w:rPr>
                <w:rFonts w:cstheme="minorHAnsi"/>
                <w:sz w:val="20"/>
                <w:szCs w:val="20"/>
              </w:rPr>
            </w:pPr>
            <w:r w:rsidRPr="003A7C4D">
              <w:rPr>
                <w:rFonts w:cstheme="minorHAnsi"/>
                <w:sz w:val="20"/>
                <w:szCs w:val="20"/>
              </w:rPr>
              <w:t>kluczowy</w:t>
            </w:r>
          </w:p>
        </w:tc>
        <w:tc>
          <w:tcPr>
            <w:tcW w:w="1276" w:type="dxa"/>
            <w:tcBorders>
              <w:top w:val="single" w:sz="4" w:space="0" w:color="33CC33"/>
            </w:tcBorders>
            <w:vAlign w:val="center"/>
          </w:tcPr>
          <w:p w14:paraId="51882ACF" w14:textId="4154874E" w:rsidR="005B09B9" w:rsidRPr="003A7C4D" w:rsidRDefault="00CA4BAD" w:rsidP="00CA4BAD">
            <w:pPr>
              <w:spacing w:before="60" w:after="60"/>
              <w:jc w:val="center"/>
              <w:rPr>
                <w:rFonts w:cstheme="minorHAnsi"/>
                <w:sz w:val="20"/>
                <w:szCs w:val="20"/>
              </w:rPr>
            </w:pPr>
            <w:r>
              <w:rPr>
                <w:rFonts w:cstheme="minorHAnsi"/>
                <w:sz w:val="20"/>
                <w:szCs w:val="20"/>
              </w:rPr>
              <w:t>Wskaźnik programowy</w:t>
            </w:r>
          </w:p>
        </w:tc>
        <w:tc>
          <w:tcPr>
            <w:tcW w:w="5954" w:type="dxa"/>
            <w:tcBorders>
              <w:top w:val="single" w:sz="4" w:space="0" w:color="33CC33"/>
            </w:tcBorders>
            <w:vAlign w:val="center"/>
          </w:tcPr>
          <w:p w14:paraId="067B85D6" w14:textId="77777777" w:rsidR="003A7C4D" w:rsidRPr="00A40B94" w:rsidRDefault="003A7C4D" w:rsidP="003A7C4D">
            <w:pPr>
              <w:spacing w:before="60" w:after="60"/>
              <w:jc w:val="both"/>
              <w:rPr>
                <w:rFonts w:cstheme="minorHAnsi"/>
                <w:sz w:val="20"/>
                <w:szCs w:val="20"/>
              </w:rPr>
            </w:pPr>
            <w:r w:rsidRPr="00A40B94">
              <w:rPr>
                <w:rFonts w:cstheme="minorHAnsi"/>
                <w:sz w:val="20"/>
                <w:szCs w:val="20"/>
              </w:rPr>
              <w:t xml:space="preserve">Liczba wspartych społeczności energetycznych działających w zakresie energii odnawialnej. Społeczność energetyczna działających w zakresie energii odnawialnej oznacza podmiot prawny, która spełnia następujące trzy warunki: </w:t>
            </w:r>
          </w:p>
          <w:p w14:paraId="4BCA0D27" w14:textId="77777777" w:rsidR="003A7C4D" w:rsidRPr="00A40B94" w:rsidRDefault="003A7C4D" w:rsidP="003A7C4D">
            <w:pPr>
              <w:spacing w:before="60" w:after="60"/>
              <w:jc w:val="both"/>
              <w:rPr>
                <w:rFonts w:cstheme="minorHAnsi"/>
                <w:sz w:val="20"/>
                <w:szCs w:val="20"/>
              </w:rPr>
            </w:pPr>
            <w:r w:rsidRPr="00A40B94">
              <w:rPr>
                <w:rFonts w:cstheme="minorHAnsi"/>
                <w:sz w:val="20"/>
                <w:szCs w:val="20"/>
              </w:rPr>
              <w:t xml:space="preserve">a) opiera się na otwartym i dobrowolnym uczestnictwie, jest niezależny i jest skutecznie kontrolowany przez udziałowców lub członków zlokalizowanych w niewielkiej odległości od projektów dotyczących </w:t>
            </w:r>
            <w:r w:rsidRPr="00A40B94">
              <w:rPr>
                <w:rFonts w:cstheme="minorHAnsi"/>
                <w:sz w:val="20"/>
                <w:szCs w:val="20"/>
              </w:rPr>
              <w:lastRenderedPageBreak/>
              <w:t xml:space="preserve">energii odnawialnej będących własnością tego podmiotu prawnego i przez niego rozwijanych; </w:t>
            </w:r>
          </w:p>
          <w:p w14:paraId="216763AB" w14:textId="77777777" w:rsidR="003A7C4D" w:rsidRPr="00A40B94" w:rsidRDefault="003A7C4D" w:rsidP="003A7C4D">
            <w:pPr>
              <w:spacing w:before="60" w:after="60"/>
              <w:jc w:val="both"/>
              <w:rPr>
                <w:rFonts w:cstheme="minorHAnsi"/>
                <w:sz w:val="20"/>
                <w:szCs w:val="20"/>
              </w:rPr>
            </w:pPr>
            <w:r w:rsidRPr="00A40B94">
              <w:rPr>
                <w:rFonts w:cstheme="minorHAnsi"/>
                <w:sz w:val="20"/>
                <w:szCs w:val="20"/>
              </w:rPr>
              <w:t xml:space="preserve">b) jego udziałowcy lub członkowie są osobami fizycznymi, MŚP lub organami lokalnymi, w tym gminnymi; </w:t>
            </w:r>
          </w:p>
          <w:p w14:paraId="6FDF1B0B" w14:textId="07F68C4F" w:rsidR="005B09B9" w:rsidRPr="00A40B94" w:rsidRDefault="003A7C4D" w:rsidP="003A7C4D">
            <w:pPr>
              <w:spacing w:before="60" w:after="60"/>
              <w:jc w:val="both"/>
              <w:rPr>
                <w:rFonts w:cstheme="minorHAnsi"/>
                <w:sz w:val="20"/>
                <w:szCs w:val="20"/>
              </w:rPr>
            </w:pPr>
            <w:r w:rsidRPr="00A40B94">
              <w:rPr>
                <w:rFonts w:cstheme="minorHAnsi"/>
                <w:sz w:val="20"/>
                <w:szCs w:val="20"/>
              </w:rPr>
              <w:t xml:space="preserve">c) jego podstawowym celem – zamiast przynoszenia zysków finansowych – jest raczej przynoszenie korzyści środowiskowych, ekonomicznych lub społecznych jego udziałowcom, członkom lub lokalnym obszarom, na których on działa. </w:t>
            </w:r>
          </w:p>
        </w:tc>
      </w:tr>
      <w:tr w:rsidR="003A7C4D" w:rsidRPr="000F4CA9" w14:paraId="0C9108A0" w14:textId="77777777" w:rsidTr="00D02A7D">
        <w:trPr>
          <w:trHeight w:val="781"/>
        </w:trPr>
        <w:tc>
          <w:tcPr>
            <w:tcW w:w="552" w:type="dxa"/>
            <w:vAlign w:val="center"/>
          </w:tcPr>
          <w:p w14:paraId="49DEC89F" w14:textId="793C4DD0" w:rsidR="003A7C4D" w:rsidRPr="002B30FD" w:rsidRDefault="00A40B94" w:rsidP="003A7C4D">
            <w:pPr>
              <w:spacing w:before="60" w:after="60"/>
              <w:rPr>
                <w:rFonts w:cstheme="minorHAnsi"/>
                <w:sz w:val="20"/>
                <w:szCs w:val="20"/>
              </w:rPr>
            </w:pPr>
            <w:r>
              <w:rPr>
                <w:rFonts w:cstheme="minorHAnsi"/>
                <w:sz w:val="20"/>
                <w:szCs w:val="20"/>
              </w:rPr>
              <w:lastRenderedPageBreak/>
              <w:t>6.</w:t>
            </w:r>
          </w:p>
        </w:tc>
        <w:tc>
          <w:tcPr>
            <w:tcW w:w="2977" w:type="dxa"/>
            <w:vAlign w:val="center"/>
          </w:tcPr>
          <w:p w14:paraId="02C36052" w14:textId="3AB1D603" w:rsidR="003A7C4D" w:rsidRPr="002B30FD" w:rsidRDefault="003A7C4D" w:rsidP="003A7C4D">
            <w:pPr>
              <w:spacing w:before="60" w:after="60"/>
              <w:rPr>
                <w:rFonts w:cstheme="minorHAnsi"/>
                <w:i/>
                <w:color w:val="000000"/>
                <w:sz w:val="20"/>
                <w:szCs w:val="20"/>
              </w:rPr>
            </w:pPr>
            <w:r w:rsidRPr="003A7C4D">
              <w:rPr>
                <w:rFonts w:cstheme="minorHAnsi"/>
                <w:i/>
                <w:color w:val="000000"/>
                <w:sz w:val="20"/>
                <w:szCs w:val="20"/>
              </w:rPr>
              <w:t>Liczba jednostek wytwarzania energii elektrycznej i cieplnej z OZE</w:t>
            </w:r>
          </w:p>
        </w:tc>
        <w:tc>
          <w:tcPr>
            <w:tcW w:w="1276" w:type="dxa"/>
            <w:vAlign w:val="center"/>
          </w:tcPr>
          <w:p w14:paraId="1C52D420" w14:textId="13B16EB1" w:rsidR="003A7C4D" w:rsidRPr="002B30FD" w:rsidRDefault="003A7C4D" w:rsidP="003A7C4D">
            <w:pPr>
              <w:spacing w:before="60" w:after="60"/>
              <w:jc w:val="center"/>
              <w:rPr>
                <w:rFonts w:eastAsia="Times New Roman" w:cstheme="minorHAnsi"/>
                <w:sz w:val="20"/>
                <w:szCs w:val="20"/>
              </w:rPr>
            </w:pPr>
            <w:r>
              <w:rPr>
                <w:rFonts w:cstheme="minorHAnsi"/>
                <w:sz w:val="20"/>
                <w:szCs w:val="20"/>
              </w:rPr>
              <w:t>szt.</w:t>
            </w:r>
          </w:p>
        </w:tc>
        <w:tc>
          <w:tcPr>
            <w:tcW w:w="1276" w:type="dxa"/>
            <w:vAlign w:val="center"/>
          </w:tcPr>
          <w:p w14:paraId="30A09B28" w14:textId="18F02AFC" w:rsidR="003A7C4D" w:rsidRPr="002B30FD" w:rsidRDefault="003A7C4D" w:rsidP="003A7C4D">
            <w:pPr>
              <w:spacing w:before="60" w:after="60"/>
              <w:jc w:val="center"/>
              <w:rPr>
                <w:rFonts w:cstheme="minorHAnsi"/>
                <w:sz w:val="20"/>
                <w:szCs w:val="20"/>
              </w:rPr>
            </w:pPr>
            <w:r w:rsidRPr="003A7C4D">
              <w:rPr>
                <w:rFonts w:cstheme="minorHAnsi"/>
                <w:sz w:val="20"/>
                <w:szCs w:val="20"/>
              </w:rPr>
              <w:t>produkt</w:t>
            </w:r>
          </w:p>
        </w:tc>
        <w:tc>
          <w:tcPr>
            <w:tcW w:w="1275" w:type="dxa"/>
            <w:vAlign w:val="center"/>
          </w:tcPr>
          <w:p w14:paraId="1C6D1B9C" w14:textId="50ADBF3E" w:rsidR="003A7C4D" w:rsidRPr="002B30FD" w:rsidRDefault="003A7C4D" w:rsidP="003A7C4D">
            <w:pPr>
              <w:spacing w:before="60" w:after="60"/>
              <w:jc w:val="center"/>
              <w:rPr>
                <w:rFonts w:cstheme="minorHAnsi"/>
                <w:sz w:val="20"/>
                <w:szCs w:val="20"/>
              </w:rPr>
            </w:pPr>
            <w:r w:rsidRPr="003A7C4D">
              <w:rPr>
                <w:rFonts w:cstheme="minorHAnsi"/>
                <w:sz w:val="20"/>
                <w:szCs w:val="20"/>
              </w:rPr>
              <w:t>kluczowy</w:t>
            </w:r>
          </w:p>
        </w:tc>
        <w:tc>
          <w:tcPr>
            <w:tcW w:w="1276" w:type="dxa"/>
            <w:vAlign w:val="center"/>
          </w:tcPr>
          <w:p w14:paraId="20C8ED7D" w14:textId="348E821E" w:rsidR="003A7C4D" w:rsidRPr="002B30FD" w:rsidRDefault="003A7C4D" w:rsidP="003A7C4D">
            <w:pPr>
              <w:spacing w:before="60" w:after="60"/>
              <w:jc w:val="center"/>
              <w:rPr>
                <w:rFonts w:cstheme="minorHAnsi"/>
                <w:sz w:val="20"/>
                <w:szCs w:val="20"/>
              </w:rPr>
            </w:pPr>
            <w:r w:rsidRPr="003A7C4D">
              <w:rPr>
                <w:rFonts w:cstheme="minorHAnsi"/>
                <w:sz w:val="20"/>
                <w:szCs w:val="20"/>
              </w:rPr>
              <w:t>-</w:t>
            </w:r>
          </w:p>
        </w:tc>
        <w:tc>
          <w:tcPr>
            <w:tcW w:w="5954" w:type="dxa"/>
            <w:vAlign w:val="center"/>
          </w:tcPr>
          <w:p w14:paraId="574BA8A1" w14:textId="634C58F1" w:rsidR="003A7C4D" w:rsidRPr="00A40B94" w:rsidRDefault="003A7C4D" w:rsidP="003A7C4D">
            <w:pPr>
              <w:spacing w:before="60" w:after="60"/>
              <w:jc w:val="both"/>
              <w:rPr>
                <w:rFonts w:cstheme="minorHAnsi"/>
                <w:color w:val="C00000"/>
                <w:sz w:val="20"/>
                <w:szCs w:val="20"/>
              </w:rPr>
            </w:pPr>
            <w:r w:rsidRPr="00A40B94">
              <w:rPr>
                <w:rFonts w:cstheme="minorHAnsi"/>
                <w:color w:val="000000" w:themeColor="text1"/>
                <w:sz w:val="20"/>
                <w:szCs w:val="20"/>
              </w:rPr>
              <w:t>Wskaźnik obejmuje wybudowane i zmodernizowane jednostki służące wytwarzaniu energii elektrycznej i cieplnej ze źródeł odnawialnych.    Jednostka wytwarzania energii elektrycznej i cieplnej obejmuje:   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i/lub cieplnej z OZE.</w:t>
            </w:r>
          </w:p>
        </w:tc>
      </w:tr>
      <w:tr w:rsidR="00B937E1" w:rsidRPr="000F4CA9" w14:paraId="2413A1EC" w14:textId="77777777" w:rsidTr="00D02A7D">
        <w:trPr>
          <w:trHeight w:val="781"/>
        </w:trPr>
        <w:tc>
          <w:tcPr>
            <w:tcW w:w="552" w:type="dxa"/>
            <w:vAlign w:val="center"/>
          </w:tcPr>
          <w:p w14:paraId="324BA5E3" w14:textId="19821149" w:rsidR="00B937E1" w:rsidRPr="002B30FD" w:rsidRDefault="00A40B94" w:rsidP="00B937E1">
            <w:pPr>
              <w:spacing w:before="60" w:after="60"/>
              <w:rPr>
                <w:rFonts w:cstheme="minorHAnsi"/>
                <w:sz w:val="20"/>
                <w:szCs w:val="20"/>
              </w:rPr>
            </w:pPr>
            <w:r>
              <w:rPr>
                <w:rFonts w:cstheme="minorHAnsi"/>
                <w:sz w:val="20"/>
                <w:szCs w:val="20"/>
              </w:rPr>
              <w:t>7.</w:t>
            </w:r>
          </w:p>
        </w:tc>
        <w:tc>
          <w:tcPr>
            <w:tcW w:w="2977" w:type="dxa"/>
            <w:vAlign w:val="center"/>
          </w:tcPr>
          <w:p w14:paraId="1B27CCE9" w14:textId="59054E8C" w:rsidR="00B937E1" w:rsidRPr="003A7C4D" w:rsidRDefault="00B937E1" w:rsidP="00B937E1">
            <w:pPr>
              <w:spacing w:before="60" w:after="60"/>
              <w:rPr>
                <w:rFonts w:cstheme="minorHAnsi"/>
                <w:i/>
                <w:color w:val="000000"/>
                <w:sz w:val="20"/>
                <w:szCs w:val="20"/>
              </w:rPr>
            </w:pPr>
            <w:r w:rsidRPr="00B937E1">
              <w:rPr>
                <w:rFonts w:cstheme="minorHAnsi"/>
                <w:i/>
                <w:color w:val="000000"/>
                <w:sz w:val="20"/>
                <w:szCs w:val="20"/>
              </w:rPr>
              <w:t>Przedsiębiorstwa objęte wsparciem (w tym: mikro, małe, średnie, duże)</w:t>
            </w:r>
          </w:p>
        </w:tc>
        <w:tc>
          <w:tcPr>
            <w:tcW w:w="1276" w:type="dxa"/>
            <w:vAlign w:val="center"/>
          </w:tcPr>
          <w:p w14:paraId="60ECB925" w14:textId="4C76D350" w:rsidR="00B937E1" w:rsidRDefault="00B937E1" w:rsidP="00B937E1">
            <w:pPr>
              <w:spacing w:before="60" w:after="60"/>
              <w:jc w:val="center"/>
              <w:rPr>
                <w:rFonts w:cstheme="minorHAnsi"/>
                <w:sz w:val="20"/>
                <w:szCs w:val="20"/>
              </w:rPr>
            </w:pPr>
            <w:r>
              <w:rPr>
                <w:rFonts w:cstheme="minorHAnsi"/>
                <w:sz w:val="20"/>
                <w:szCs w:val="20"/>
              </w:rPr>
              <w:t>szt.</w:t>
            </w:r>
          </w:p>
        </w:tc>
        <w:tc>
          <w:tcPr>
            <w:tcW w:w="1276" w:type="dxa"/>
            <w:vAlign w:val="center"/>
          </w:tcPr>
          <w:p w14:paraId="7487AA9D" w14:textId="059593B6" w:rsidR="00B937E1" w:rsidRPr="003A7C4D" w:rsidRDefault="00B937E1" w:rsidP="00B937E1">
            <w:pPr>
              <w:spacing w:before="60" w:after="60"/>
              <w:jc w:val="center"/>
              <w:rPr>
                <w:rFonts w:cstheme="minorHAnsi"/>
                <w:sz w:val="20"/>
                <w:szCs w:val="20"/>
              </w:rPr>
            </w:pPr>
            <w:r w:rsidRPr="003A7C4D">
              <w:rPr>
                <w:rFonts w:cstheme="minorHAnsi"/>
                <w:sz w:val="20"/>
                <w:szCs w:val="20"/>
              </w:rPr>
              <w:t>produkt</w:t>
            </w:r>
          </w:p>
        </w:tc>
        <w:tc>
          <w:tcPr>
            <w:tcW w:w="1275" w:type="dxa"/>
            <w:vAlign w:val="center"/>
          </w:tcPr>
          <w:p w14:paraId="13A931A3" w14:textId="565052F4" w:rsidR="00B937E1" w:rsidRPr="003A7C4D" w:rsidRDefault="00B937E1" w:rsidP="00B937E1">
            <w:pPr>
              <w:spacing w:before="60" w:after="60"/>
              <w:jc w:val="center"/>
              <w:rPr>
                <w:rFonts w:cstheme="minorHAnsi"/>
                <w:sz w:val="20"/>
                <w:szCs w:val="20"/>
              </w:rPr>
            </w:pPr>
            <w:r w:rsidRPr="003A7C4D">
              <w:rPr>
                <w:rFonts w:cstheme="minorHAnsi"/>
                <w:sz w:val="20"/>
                <w:szCs w:val="20"/>
              </w:rPr>
              <w:t>kluczowy</w:t>
            </w:r>
          </w:p>
        </w:tc>
        <w:tc>
          <w:tcPr>
            <w:tcW w:w="1276" w:type="dxa"/>
            <w:vAlign w:val="center"/>
          </w:tcPr>
          <w:p w14:paraId="5CE20391" w14:textId="68BAE31D" w:rsidR="00B937E1" w:rsidRPr="003A7C4D" w:rsidRDefault="00CA4BAD" w:rsidP="00B937E1">
            <w:pPr>
              <w:spacing w:before="60" w:after="60"/>
              <w:jc w:val="center"/>
              <w:rPr>
                <w:rFonts w:cstheme="minorHAnsi"/>
                <w:sz w:val="20"/>
                <w:szCs w:val="20"/>
              </w:rPr>
            </w:pPr>
            <w:r>
              <w:rPr>
                <w:rFonts w:cstheme="minorHAnsi"/>
                <w:sz w:val="20"/>
                <w:szCs w:val="20"/>
              </w:rPr>
              <w:t>W</w:t>
            </w:r>
            <w:r w:rsidR="00B937E1">
              <w:rPr>
                <w:rFonts w:cstheme="minorHAnsi"/>
                <w:sz w:val="20"/>
                <w:szCs w:val="20"/>
              </w:rPr>
              <w:t>skaźnik agregujący</w:t>
            </w:r>
          </w:p>
        </w:tc>
        <w:tc>
          <w:tcPr>
            <w:tcW w:w="5954" w:type="dxa"/>
            <w:vAlign w:val="center"/>
          </w:tcPr>
          <w:p w14:paraId="65AFCB35" w14:textId="2C3BD6A8" w:rsidR="00B937E1" w:rsidRPr="00A40B94" w:rsidRDefault="00B937E1" w:rsidP="00B937E1">
            <w:pPr>
              <w:spacing w:before="60" w:after="60"/>
              <w:jc w:val="both"/>
              <w:rPr>
                <w:rFonts w:cstheme="minorHAnsi"/>
                <w:color w:val="000000" w:themeColor="text1"/>
                <w:sz w:val="20"/>
                <w:szCs w:val="20"/>
              </w:rPr>
            </w:pPr>
            <w:r w:rsidRPr="00A40B94">
              <w:rPr>
                <w:rFonts w:cstheme="minorHAnsi"/>
                <w:color w:val="000000" w:themeColor="text1"/>
                <w:sz w:val="20"/>
                <w:szCs w:val="20"/>
              </w:rPr>
              <w:t xml:space="preserve">Wskaźnik obejmuje wszystkie przedsiębiorstwa, które otrzymują wsparcie finansowe lub rzeczowe z EFRR i Funduszu Spójności.   „Przedsiębiorstwo“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 Jednostki prawne obejmują osoby prawne, których istnienie jest uznane przez prawo, niezależnie od osób indywidualnych lub instytucji, które są ich właścicielami lub członkami, takie jak spółki jawne, spółki komandytowe, spółki z ograniczoną odpowiedzialnością, spółki akcyjne itp. Do jednostek prawnych zalicza się również osoby fizyczne osoby prowadzące działalność gospodarczą we własnym </w:t>
            </w:r>
            <w:r w:rsidRPr="00A40B94">
              <w:rPr>
                <w:rFonts w:cstheme="minorHAnsi"/>
                <w:color w:val="000000" w:themeColor="text1"/>
                <w:sz w:val="20"/>
                <w:szCs w:val="20"/>
              </w:rPr>
              <w:lastRenderedPageBreak/>
              <w:t xml:space="preserve">imieniu, takie jak właściciel i operator sklepu lub warsztatu, prawnik lub samozatrudniony rzemieślnik.    (ESTAT w odniesieniach, na podstawie rozporządzenia Rady (EWG) nr 696/93, sekcja III A z 15.03.1993 r.)   Na potrzeby tego wskaźnika przedsiębiorstwa są organizacjami nastawionymi na osiąganie zysku, które wytwarzają towary lub usługi w celu zaspokojenia potrzeb rynku. W przypadku celu polityki 4 (Społeczna Europa) wskaźnik obejmuje również przedsiębiorstwa społeczne definiowane przez Komisję (DG GROW) następująco: „przedsiębiorstwo społeczne jest podmiotem gospodarki społecznej, którego głównym celem jest raczej wywarcie skutku społecznego niż wygenerowanie zysku dla właścicieli i udziałowców. Przedsiębiorstwo społeczne działa, dostarczając towary i świadcząc usługi na rynku w sposób przedsiębiorczy i innowacyjny, a zyski wykorzystuje przede wszystkim do osiągania celów społecznych”.   Klasyfikacja przedsiębiorstw:   Mikroprzedsiębiorstwo (&lt; 10 pracowników i roczne obroty ≤ 2 mln EUR lub bilans ≤ 2 mln EUR);   Małe przedsiębiorstwo (10-49 pracowników i roczne obroty &gt; 2 mln EUR ≤ 10 mln EUR lub bilans &gt; 2 mln EUR ≤ 10 mln EUR);   Średnie przedsiębiorstwo (50-249 pracowników i roczne obroty &gt; 10 mln EUR ≤ 50 mln EUR lub bilans w EUR &gt; 10 mln EUR ≤ 43 mln EUR);   Duże przedsiębiorstwa (&gt;250 pracowników i obroty &gt; 50 mln EUR lub bilans &gt; 43 mln EUR).   W przypadku przekroczenia jednego z dwóch progów (liczby pracowników lub rocznych obrót/bilansu) przedsiębiorstwa klasyfikuje się do wyższej kategorii wielkości.    (ESTAT na podstawie art. 2-3 załącznika do zalecenia KE 2003/361/WE)   Wielkość wspieranego przedsiębiorstwa jest mierzona w momencie wnioskowania   </w:t>
            </w:r>
          </w:p>
        </w:tc>
      </w:tr>
      <w:tr w:rsidR="00B937E1" w:rsidRPr="000F4CA9" w14:paraId="53BE80D4" w14:textId="77777777" w:rsidTr="00D02A7D">
        <w:trPr>
          <w:trHeight w:val="781"/>
        </w:trPr>
        <w:tc>
          <w:tcPr>
            <w:tcW w:w="552" w:type="dxa"/>
            <w:vAlign w:val="center"/>
          </w:tcPr>
          <w:p w14:paraId="173F93F3" w14:textId="2DDDE693" w:rsidR="00B937E1" w:rsidRPr="002B30FD" w:rsidRDefault="00A40B94" w:rsidP="00B937E1">
            <w:pPr>
              <w:spacing w:before="60" w:after="60"/>
              <w:rPr>
                <w:rFonts w:cstheme="minorHAnsi"/>
                <w:sz w:val="20"/>
                <w:szCs w:val="20"/>
              </w:rPr>
            </w:pPr>
            <w:r>
              <w:rPr>
                <w:rFonts w:cstheme="minorHAnsi"/>
                <w:sz w:val="20"/>
                <w:szCs w:val="20"/>
              </w:rPr>
              <w:lastRenderedPageBreak/>
              <w:t>8.</w:t>
            </w:r>
          </w:p>
        </w:tc>
        <w:tc>
          <w:tcPr>
            <w:tcW w:w="2977" w:type="dxa"/>
            <w:vAlign w:val="center"/>
          </w:tcPr>
          <w:p w14:paraId="7D1B9CE0" w14:textId="02DFF383" w:rsidR="00B937E1" w:rsidRPr="00B937E1" w:rsidRDefault="00B937E1" w:rsidP="00B937E1">
            <w:pPr>
              <w:spacing w:before="60" w:after="60"/>
              <w:rPr>
                <w:rFonts w:cstheme="minorHAnsi"/>
                <w:i/>
                <w:color w:val="000000"/>
                <w:sz w:val="20"/>
                <w:szCs w:val="20"/>
              </w:rPr>
            </w:pPr>
            <w:r w:rsidRPr="003A7C4D">
              <w:rPr>
                <w:rFonts w:cstheme="minorHAnsi"/>
                <w:i/>
                <w:sz w:val="20"/>
                <w:szCs w:val="20"/>
              </w:rPr>
              <w:t>Liczba wspartych mikroprzedsiębiorstw</w:t>
            </w:r>
          </w:p>
        </w:tc>
        <w:tc>
          <w:tcPr>
            <w:tcW w:w="1276" w:type="dxa"/>
            <w:vAlign w:val="center"/>
          </w:tcPr>
          <w:p w14:paraId="275E4825" w14:textId="648DA461" w:rsidR="00B937E1" w:rsidRDefault="00B937E1" w:rsidP="00B937E1">
            <w:pPr>
              <w:spacing w:before="60" w:after="60"/>
              <w:jc w:val="center"/>
              <w:rPr>
                <w:rFonts w:cstheme="minorHAnsi"/>
                <w:sz w:val="20"/>
                <w:szCs w:val="20"/>
              </w:rPr>
            </w:pPr>
            <w:r>
              <w:rPr>
                <w:rFonts w:cstheme="minorHAnsi"/>
                <w:sz w:val="20"/>
                <w:szCs w:val="20"/>
              </w:rPr>
              <w:t>szt.</w:t>
            </w:r>
          </w:p>
        </w:tc>
        <w:tc>
          <w:tcPr>
            <w:tcW w:w="1276" w:type="dxa"/>
            <w:vAlign w:val="center"/>
          </w:tcPr>
          <w:p w14:paraId="67027633" w14:textId="28E81B7F" w:rsidR="00B937E1" w:rsidRPr="003A7C4D" w:rsidRDefault="00B937E1" w:rsidP="00B937E1">
            <w:pPr>
              <w:spacing w:before="60" w:after="60"/>
              <w:jc w:val="center"/>
              <w:rPr>
                <w:rFonts w:cstheme="minorHAnsi"/>
                <w:sz w:val="20"/>
                <w:szCs w:val="20"/>
              </w:rPr>
            </w:pPr>
            <w:r w:rsidRPr="003A7C4D">
              <w:rPr>
                <w:rFonts w:cstheme="minorHAnsi"/>
                <w:sz w:val="20"/>
                <w:szCs w:val="20"/>
              </w:rPr>
              <w:t>produkt</w:t>
            </w:r>
          </w:p>
        </w:tc>
        <w:tc>
          <w:tcPr>
            <w:tcW w:w="1275" w:type="dxa"/>
            <w:vAlign w:val="center"/>
          </w:tcPr>
          <w:p w14:paraId="647D7CA9" w14:textId="6B73A416" w:rsidR="00B937E1" w:rsidRPr="003A7C4D" w:rsidRDefault="00B937E1" w:rsidP="00B937E1">
            <w:pPr>
              <w:spacing w:before="60" w:after="60"/>
              <w:jc w:val="center"/>
              <w:rPr>
                <w:rFonts w:cstheme="minorHAnsi"/>
                <w:sz w:val="20"/>
                <w:szCs w:val="20"/>
              </w:rPr>
            </w:pPr>
            <w:r w:rsidRPr="003A7C4D">
              <w:rPr>
                <w:rFonts w:cstheme="minorHAnsi"/>
                <w:sz w:val="20"/>
                <w:szCs w:val="20"/>
              </w:rPr>
              <w:t>kluczowy</w:t>
            </w:r>
          </w:p>
        </w:tc>
        <w:tc>
          <w:tcPr>
            <w:tcW w:w="1276" w:type="dxa"/>
            <w:vAlign w:val="center"/>
          </w:tcPr>
          <w:p w14:paraId="3D243C15" w14:textId="4E6ACEBC" w:rsidR="00B937E1" w:rsidRDefault="00B937E1" w:rsidP="00B937E1">
            <w:pPr>
              <w:spacing w:before="60" w:after="60"/>
              <w:jc w:val="center"/>
              <w:rPr>
                <w:rFonts w:cstheme="minorHAnsi"/>
                <w:sz w:val="20"/>
                <w:szCs w:val="20"/>
              </w:rPr>
            </w:pPr>
            <w:r w:rsidRPr="003A7C4D">
              <w:rPr>
                <w:rFonts w:cstheme="minorHAnsi"/>
                <w:sz w:val="20"/>
                <w:szCs w:val="20"/>
              </w:rPr>
              <w:t>-</w:t>
            </w:r>
          </w:p>
        </w:tc>
        <w:tc>
          <w:tcPr>
            <w:tcW w:w="5954" w:type="dxa"/>
            <w:vAlign w:val="center"/>
          </w:tcPr>
          <w:p w14:paraId="3221BF8E" w14:textId="7289EE1E" w:rsidR="00B937E1" w:rsidRPr="00B937E1" w:rsidRDefault="00B937E1" w:rsidP="00B937E1">
            <w:pPr>
              <w:spacing w:before="60" w:after="60"/>
              <w:jc w:val="both"/>
              <w:rPr>
                <w:rFonts w:cstheme="minorHAnsi"/>
                <w:i/>
                <w:color w:val="000000" w:themeColor="text1"/>
                <w:sz w:val="20"/>
                <w:szCs w:val="20"/>
              </w:rPr>
            </w:pPr>
            <w:r w:rsidRPr="003A7C4D">
              <w:rPr>
                <w:rFonts w:cstheme="minorHAnsi"/>
                <w:sz w:val="20"/>
                <w:szCs w:val="20"/>
              </w:rPr>
              <w:t xml:space="preserve">Wskaźnik obejmuje mikroprzedsiębiorstwa, które otrzymały wsparcie finansowe oraz pozafinansowe z Europejskiego Funduszu Rozwoju Regionalnego (EFRR) , Funduszu Spójności (FS) oraz Funduszu Sprawiedliwej Transformacji (FST).    Definicja przedsiębiorstwa zgodna z definicją wskaźnika RCO 01.    Zgodnie z zaleceniem KE (2003/361/EC) mikroprzedsiębiorstwo to przedsiębiorstwo zatrudniające mniej niż 10 osób oraz którego roczny obrót lub/i roczny bilans nie przekracza 2 mln </w:t>
            </w:r>
            <w:r w:rsidRPr="003A7C4D">
              <w:rPr>
                <w:rFonts w:cstheme="minorHAnsi"/>
                <w:sz w:val="20"/>
                <w:szCs w:val="20"/>
              </w:rPr>
              <w:lastRenderedPageBreak/>
              <w:t>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B937E1" w:rsidRPr="000F4CA9" w14:paraId="3B096FA0" w14:textId="77777777" w:rsidTr="00D02A7D">
        <w:tc>
          <w:tcPr>
            <w:tcW w:w="552" w:type="dxa"/>
            <w:vAlign w:val="center"/>
          </w:tcPr>
          <w:p w14:paraId="33049753" w14:textId="11235760" w:rsidR="00B937E1" w:rsidRPr="002B30FD" w:rsidRDefault="00A40B94" w:rsidP="00B937E1">
            <w:pPr>
              <w:spacing w:before="60" w:after="60"/>
              <w:rPr>
                <w:rFonts w:cstheme="minorHAnsi"/>
                <w:sz w:val="20"/>
                <w:szCs w:val="20"/>
              </w:rPr>
            </w:pPr>
            <w:r>
              <w:rPr>
                <w:rFonts w:cstheme="minorHAnsi"/>
                <w:sz w:val="20"/>
                <w:szCs w:val="20"/>
              </w:rPr>
              <w:lastRenderedPageBreak/>
              <w:t>9.</w:t>
            </w:r>
          </w:p>
        </w:tc>
        <w:tc>
          <w:tcPr>
            <w:tcW w:w="2977" w:type="dxa"/>
            <w:vAlign w:val="center"/>
          </w:tcPr>
          <w:p w14:paraId="522E23A4" w14:textId="393652D3" w:rsidR="00B937E1" w:rsidRPr="002B30FD" w:rsidRDefault="00B937E1" w:rsidP="00B937E1">
            <w:pPr>
              <w:spacing w:before="60" w:after="60"/>
              <w:rPr>
                <w:rFonts w:eastAsia="Times New Roman" w:cstheme="minorHAnsi"/>
                <w:i/>
                <w:sz w:val="20"/>
                <w:szCs w:val="20"/>
              </w:rPr>
            </w:pPr>
            <w:r w:rsidRPr="003A7C4D">
              <w:rPr>
                <w:rFonts w:eastAsia="Times New Roman" w:cstheme="minorHAnsi"/>
                <w:i/>
                <w:sz w:val="20"/>
                <w:szCs w:val="20"/>
              </w:rPr>
              <w:t>Liczba wspartych małych przedsiębiorstw</w:t>
            </w:r>
          </w:p>
        </w:tc>
        <w:tc>
          <w:tcPr>
            <w:tcW w:w="1276" w:type="dxa"/>
            <w:vAlign w:val="center"/>
          </w:tcPr>
          <w:p w14:paraId="4F1A3846" w14:textId="79973B0A" w:rsidR="00B937E1" w:rsidRPr="002B30FD" w:rsidRDefault="00B937E1" w:rsidP="00B937E1">
            <w:pPr>
              <w:spacing w:before="60" w:after="60"/>
              <w:jc w:val="center"/>
              <w:rPr>
                <w:rFonts w:eastAsia="Times New Roman" w:cstheme="minorHAnsi"/>
                <w:sz w:val="20"/>
                <w:szCs w:val="20"/>
              </w:rPr>
            </w:pPr>
            <w:r>
              <w:rPr>
                <w:rFonts w:cstheme="minorHAnsi"/>
                <w:sz w:val="20"/>
                <w:szCs w:val="20"/>
              </w:rPr>
              <w:t>szt.</w:t>
            </w:r>
          </w:p>
        </w:tc>
        <w:tc>
          <w:tcPr>
            <w:tcW w:w="1276" w:type="dxa"/>
            <w:vAlign w:val="center"/>
          </w:tcPr>
          <w:p w14:paraId="3BEDAC46" w14:textId="39C0F8E0" w:rsidR="00B937E1" w:rsidRPr="002B30FD" w:rsidRDefault="00B937E1" w:rsidP="00B937E1">
            <w:pPr>
              <w:spacing w:before="60" w:after="60"/>
              <w:jc w:val="center"/>
              <w:rPr>
                <w:rFonts w:cstheme="minorHAnsi"/>
                <w:sz w:val="20"/>
                <w:szCs w:val="20"/>
              </w:rPr>
            </w:pPr>
            <w:r w:rsidRPr="003A7C4D">
              <w:rPr>
                <w:rFonts w:cstheme="minorHAnsi"/>
                <w:sz w:val="20"/>
                <w:szCs w:val="20"/>
              </w:rPr>
              <w:t>produkt</w:t>
            </w:r>
          </w:p>
        </w:tc>
        <w:tc>
          <w:tcPr>
            <w:tcW w:w="1275" w:type="dxa"/>
            <w:vAlign w:val="center"/>
          </w:tcPr>
          <w:p w14:paraId="27F6C0EA" w14:textId="3B188829" w:rsidR="00B937E1" w:rsidRPr="002B30FD" w:rsidRDefault="00B937E1" w:rsidP="00B937E1">
            <w:pPr>
              <w:spacing w:before="60" w:after="60"/>
              <w:jc w:val="center"/>
              <w:rPr>
                <w:rFonts w:cstheme="minorHAnsi"/>
                <w:sz w:val="20"/>
                <w:szCs w:val="20"/>
              </w:rPr>
            </w:pPr>
            <w:r w:rsidRPr="003A7C4D">
              <w:rPr>
                <w:rFonts w:cstheme="minorHAnsi"/>
                <w:sz w:val="20"/>
                <w:szCs w:val="20"/>
              </w:rPr>
              <w:t>kluczowy</w:t>
            </w:r>
          </w:p>
        </w:tc>
        <w:tc>
          <w:tcPr>
            <w:tcW w:w="1276" w:type="dxa"/>
            <w:vAlign w:val="center"/>
          </w:tcPr>
          <w:p w14:paraId="40538F6C" w14:textId="372C5E1E" w:rsidR="00B937E1" w:rsidRPr="002B30FD" w:rsidRDefault="00B937E1" w:rsidP="00B937E1">
            <w:pPr>
              <w:spacing w:before="60" w:after="60"/>
              <w:jc w:val="center"/>
              <w:rPr>
                <w:rFonts w:cstheme="minorHAnsi"/>
                <w:sz w:val="20"/>
                <w:szCs w:val="20"/>
              </w:rPr>
            </w:pPr>
            <w:r w:rsidRPr="003A7C4D">
              <w:rPr>
                <w:rFonts w:cstheme="minorHAnsi"/>
                <w:sz w:val="20"/>
                <w:szCs w:val="20"/>
              </w:rPr>
              <w:t>-</w:t>
            </w:r>
          </w:p>
        </w:tc>
        <w:tc>
          <w:tcPr>
            <w:tcW w:w="5954" w:type="dxa"/>
            <w:vAlign w:val="center"/>
          </w:tcPr>
          <w:p w14:paraId="28E38246" w14:textId="16C112D0" w:rsidR="00B937E1" w:rsidRPr="002B30FD" w:rsidRDefault="00B937E1" w:rsidP="00B937E1">
            <w:pPr>
              <w:spacing w:before="60" w:after="60"/>
              <w:jc w:val="both"/>
              <w:rPr>
                <w:rFonts w:cstheme="minorHAnsi"/>
                <w:color w:val="C00000"/>
                <w:sz w:val="20"/>
                <w:szCs w:val="20"/>
              </w:rPr>
            </w:pPr>
            <w:r w:rsidRPr="003A7C4D">
              <w:rPr>
                <w:rFonts w:cstheme="minorHAnsi"/>
                <w:color w:val="000000" w:themeColor="text1"/>
                <w:sz w:val="20"/>
                <w:szCs w:val="20"/>
              </w:rPr>
              <w:t>Wskaźnik obejmuje małe przedsiębiorstwa, które otrzymały wsparcie finansowe oraz pozafinansowe z Europejskiego Funduszu Rozwoju Regionalnego (EFRR) , Funduszu Spójności (FS) oraz Funduszu Sprawiedliwej Transformacji (FST).    Definicja przedsiębiorstwa zgodna z definicją wskaźnika RCO 01.    Zgodnie z zaleceniem KE (2003/361/EC) małe przedsiębiorstwo to przedsiębiorstwo zatrudniające mniej niż  50 osób oraz którego roczny obrót lub/i roczny bilans nie przekracza  10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B937E1" w:rsidRPr="000F4CA9" w14:paraId="1CF1936F" w14:textId="77777777" w:rsidTr="00D02A7D">
        <w:trPr>
          <w:trHeight w:val="63"/>
        </w:trPr>
        <w:tc>
          <w:tcPr>
            <w:tcW w:w="552" w:type="dxa"/>
            <w:tcBorders>
              <w:top w:val="single" w:sz="8" w:space="0" w:color="33CC33"/>
              <w:bottom w:val="single" w:sz="8" w:space="0" w:color="33CC33"/>
            </w:tcBorders>
            <w:vAlign w:val="center"/>
          </w:tcPr>
          <w:p w14:paraId="4415D23F" w14:textId="13DBBD0B" w:rsidR="00B937E1" w:rsidRPr="002B30FD" w:rsidRDefault="00A40B94" w:rsidP="00B937E1">
            <w:pPr>
              <w:spacing w:before="60" w:after="60"/>
              <w:rPr>
                <w:rFonts w:cstheme="minorHAnsi"/>
                <w:sz w:val="20"/>
                <w:szCs w:val="20"/>
              </w:rPr>
            </w:pPr>
            <w:r>
              <w:rPr>
                <w:rFonts w:cstheme="minorHAnsi"/>
                <w:sz w:val="20"/>
                <w:szCs w:val="20"/>
              </w:rPr>
              <w:t>10.</w:t>
            </w:r>
          </w:p>
        </w:tc>
        <w:tc>
          <w:tcPr>
            <w:tcW w:w="2977" w:type="dxa"/>
            <w:tcBorders>
              <w:top w:val="single" w:sz="8" w:space="0" w:color="33CC33"/>
              <w:bottom w:val="single" w:sz="8" w:space="0" w:color="33CC33"/>
            </w:tcBorders>
            <w:vAlign w:val="center"/>
          </w:tcPr>
          <w:p w14:paraId="142F87C4" w14:textId="543FBCB5" w:rsidR="00B937E1" w:rsidRPr="002B30FD" w:rsidRDefault="00B937E1" w:rsidP="00B937E1">
            <w:pPr>
              <w:autoSpaceDE w:val="0"/>
              <w:autoSpaceDN w:val="0"/>
              <w:adjustRightInd w:val="0"/>
              <w:rPr>
                <w:rFonts w:cstheme="minorHAnsi"/>
                <w:i/>
                <w:sz w:val="20"/>
                <w:szCs w:val="20"/>
              </w:rPr>
            </w:pPr>
            <w:r w:rsidRPr="003A7C4D">
              <w:rPr>
                <w:rFonts w:cstheme="minorHAnsi"/>
                <w:i/>
                <w:sz w:val="20"/>
                <w:szCs w:val="20"/>
              </w:rPr>
              <w:t>Liczba wspartych średnich przedsiębiorstw</w:t>
            </w:r>
          </w:p>
        </w:tc>
        <w:tc>
          <w:tcPr>
            <w:tcW w:w="1276" w:type="dxa"/>
            <w:tcBorders>
              <w:top w:val="single" w:sz="8" w:space="0" w:color="33CC33"/>
              <w:bottom w:val="single" w:sz="8" w:space="0" w:color="33CC33"/>
            </w:tcBorders>
            <w:vAlign w:val="center"/>
          </w:tcPr>
          <w:p w14:paraId="7E782B9D" w14:textId="2C375CD2" w:rsidR="00B937E1" w:rsidRPr="002B30FD" w:rsidRDefault="00B937E1" w:rsidP="00B937E1">
            <w:pPr>
              <w:spacing w:before="60" w:after="60"/>
              <w:jc w:val="center"/>
              <w:rPr>
                <w:rFonts w:cstheme="minorHAnsi"/>
                <w:sz w:val="20"/>
                <w:szCs w:val="20"/>
              </w:rPr>
            </w:pPr>
            <w:r>
              <w:rPr>
                <w:rFonts w:cstheme="minorHAnsi"/>
                <w:sz w:val="20"/>
                <w:szCs w:val="20"/>
              </w:rPr>
              <w:t>szt.</w:t>
            </w:r>
          </w:p>
        </w:tc>
        <w:tc>
          <w:tcPr>
            <w:tcW w:w="1276" w:type="dxa"/>
            <w:tcBorders>
              <w:top w:val="single" w:sz="8" w:space="0" w:color="33CC33"/>
              <w:bottom w:val="single" w:sz="8" w:space="0" w:color="33CC33"/>
            </w:tcBorders>
            <w:vAlign w:val="center"/>
          </w:tcPr>
          <w:p w14:paraId="632E15D4" w14:textId="62F0C1CC" w:rsidR="00B937E1" w:rsidRPr="002B30FD" w:rsidRDefault="00B937E1" w:rsidP="00B937E1">
            <w:pPr>
              <w:spacing w:before="80" w:after="80"/>
              <w:jc w:val="center"/>
              <w:rPr>
                <w:rFonts w:cstheme="minorHAnsi"/>
                <w:sz w:val="20"/>
                <w:szCs w:val="20"/>
              </w:rPr>
            </w:pPr>
            <w:r w:rsidRPr="003A7C4D">
              <w:rPr>
                <w:rFonts w:cstheme="minorHAnsi"/>
                <w:sz w:val="20"/>
                <w:szCs w:val="20"/>
              </w:rPr>
              <w:t>produkt</w:t>
            </w:r>
          </w:p>
        </w:tc>
        <w:tc>
          <w:tcPr>
            <w:tcW w:w="1275" w:type="dxa"/>
            <w:tcBorders>
              <w:top w:val="single" w:sz="8" w:space="0" w:color="33CC33"/>
              <w:bottom w:val="single" w:sz="8" w:space="0" w:color="33CC33"/>
            </w:tcBorders>
            <w:vAlign w:val="center"/>
          </w:tcPr>
          <w:p w14:paraId="7A084027" w14:textId="4947A353" w:rsidR="00B937E1" w:rsidRPr="002B30FD" w:rsidRDefault="00B937E1" w:rsidP="00B937E1">
            <w:pPr>
              <w:spacing w:before="80" w:after="80"/>
              <w:jc w:val="center"/>
              <w:rPr>
                <w:rFonts w:cstheme="minorHAnsi"/>
                <w:sz w:val="20"/>
                <w:szCs w:val="20"/>
              </w:rPr>
            </w:pPr>
            <w:r w:rsidRPr="003A7C4D">
              <w:rPr>
                <w:rFonts w:cstheme="minorHAnsi"/>
                <w:sz w:val="20"/>
                <w:szCs w:val="20"/>
              </w:rPr>
              <w:t>kluczowy</w:t>
            </w:r>
          </w:p>
        </w:tc>
        <w:tc>
          <w:tcPr>
            <w:tcW w:w="1276" w:type="dxa"/>
            <w:tcBorders>
              <w:top w:val="single" w:sz="8" w:space="0" w:color="33CC33"/>
              <w:bottom w:val="single" w:sz="8" w:space="0" w:color="33CC33"/>
            </w:tcBorders>
            <w:vAlign w:val="center"/>
          </w:tcPr>
          <w:p w14:paraId="299205B7" w14:textId="5C51766D" w:rsidR="00B937E1" w:rsidRPr="002B30FD" w:rsidRDefault="00B937E1" w:rsidP="00B937E1">
            <w:pPr>
              <w:spacing w:before="80" w:after="80"/>
              <w:jc w:val="center"/>
              <w:rPr>
                <w:rFonts w:cstheme="minorHAnsi"/>
                <w:sz w:val="20"/>
                <w:szCs w:val="20"/>
              </w:rPr>
            </w:pPr>
            <w:r w:rsidRPr="003A7C4D">
              <w:rPr>
                <w:rFonts w:cstheme="minorHAnsi"/>
                <w:sz w:val="20"/>
                <w:szCs w:val="20"/>
              </w:rPr>
              <w:t>-</w:t>
            </w:r>
          </w:p>
        </w:tc>
        <w:tc>
          <w:tcPr>
            <w:tcW w:w="5954" w:type="dxa"/>
            <w:tcBorders>
              <w:top w:val="single" w:sz="8" w:space="0" w:color="33CC33"/>
              <w:bottom w:val="single" w:sz="8" w:space="0" w:color="33CC33"/>
            </w:tcBorders>
            <w:vAlign w:val="center"/>
          </w:tcPr>
          <w:p w14:paraId="61F20689" w14:textId="3C39142E" w:rsidR="00B937E1" w:rsidRPr="002B30FD" w:rsidRDefault="00B937E1" w:rsidP="00B937E1">
            <w:pPr>
              <w:autoSpaceDE w:val="0"/>
              <w:autoSpaceDN w:val="0"/>
              <w:adjustRightInd w:val="0"/>
              <w:spacing w:before="80" w:after="40"/>
              <w:jc w:val="both"/>
              <w:rPr>
                <w:rFonts w:cstheme="minorHAnsi"/>
                <w:sz w:val="20"/>
                <w:szCs w:val="20"/>
              </w:rPr>
            </w:pPr>
            <w:r w:rsidRPr="003A7C4D">
              <w:rPr>
                <w:rFonts w:cstheme="minorHAnsi"/>
                <w:sz w:val="20"/>
                <w:szCs w:val="20"/>
              </w:rPr>
              <w:t>Wskaźnik obejmuje średnie przedsiębiorstwa, które otrzymały wsparcie finansowe oraz pozafinansowe z Europejskiego Funduszu Rozwoju Regionalnego (EFRR) , Funduszu Spójności (FS) oraz Funduszu Sprawiedliwej Transformacji (FST).    Definicja przedsiębiorstwa zgodna z definicją wskaźnika RCO 01.    Zgodnie z zaleceniem KE (2003/361/EC) średnie przedsiębiorstwo to przedsiębiorstwo zatrudniające od 50 do 249  osób oraz którego roczny obrót wynosi  nie przekracza 50 mln EUR lub/i roczny bilans nie przekracza43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B937E1" w:rsidRPr="000F4CA9" w14:paraId="2668122F" w14:textId="77777777" w:rsidTr="00D02A7D">
        <w:trPr>
          <w:trHeight w:val="63"/>
        </w:trPr>
        <w:tc>
          <w:tcPr>
            <w:tcW w:w="552" w:type="dxa"/>
            <w:tcBorders>
              <w:top w:val="single" w:sz="8" w:space="0" w:color="33CC33"/>
              <w:bottom w:val="single" w:sz="8" w:space="0" w:color="33CC33"/>
            </w:tcBorders>
            <w:vAlign w:val="center"/>
          </w:tcPr>
          <w:p w14:paraId="25781DA1" w14:textId="6FF00731" w:rsidR="00B937E1" w:rsidRPr="002B30FD" w:rsidRDefault="00A40B94" w:rsidP="00B937E1">
            <w:pPr>
              <w:spacing w:before="60" w:after="60"/>
              <w:rPr>
                <w:rFonts w:cstheme="minorHAnsi"/>
                <w:sz w:val="20"/>
                <w:szCs w:val="20"/>
              </w:rPr>
            </w:pPr>
            <w:r>
              <w:rPr>
                <w:rFonts w:cstheme="minorHAnsi"/>
                <w:sz w:val="20"/>
                <w:szCs w:val="20"/>
              </w:rPr>
              <w:lastRenderedPageBreak/>
              <w:t>11.</w:t>
            </w:r>
          </w:p>
        </w:tc>
        <w:tc>
          <w:tcPr>
            <w:tcW w:w="2977" w:type="dxa"/>
            <w:tcBorders>
              <w:top w:val="single" w:sz="8" w:space="0" w:color="33CC33"/>
              <w:bottom w:val="single" w:sz="8" w:space="0" w:color="33CC33"/>
            </w:tcBorders>
            <w:vAlign w:val="center"/>
          </w:tcPr>
          <w:p w14:paraId="0C157ED6" w14:textId="748B0E68" w:rsidR="00B937E1" w:rsidRPr="002B30FD" w:rsidRDefault="00B937E1" w:rsidP="00B937E1">
            <w:pPr>
              <w:autoSpaceDE w:val="0"/>
              <w:autoSpaceDN w:val="0"/>
              <w:adjustRightInd w:val="0"/>
              <w:rPr>
                <w:rFonts w:cstheme="minorHAnsi"/>
                <w:i/>
                <w:sz w:val="20"/>
                <w:szCs w:val="20"/>
              </w:rPr>
            </w:pPr>
            <w:r w:rsidRPr="00B937E1">
              <w:rPr>
                <w:rFonts w:cstheme="minorHAnsi"/>
                <w:i/>
                <w:sz w:val="20"/>
                <w:szCs w:val="20"/>
              </w:rPr>
              <w:t>Przedsiębiorstwa objęte wsparciem z instrumentów finansowych</w:t>
            </w:r>
          </w:p>
        </w:tc>
        <w:tc>
          <w:tcPr>
            <w:tcW w:w="1276" w:type="dxa"/>
            <w:tcBorders>
              <w:top w:val="single" w:sz="8" w:space="0" w:color="33CC33"/>
              <w:bottom w:val="single" w:sz="8" w:space="0" w:color="33CC33"/>
            </w:tcBorders>
            <w:vAlign w:val="center"/>
          </w:tcPr>
          <w:p w14:paraId="2FAF86F3" w14:textId="709F4E2A" w:rsidR="00B937E1" w:rsidRPr="002B30FD" w:rsidRDefault="00B937E1" w:rsidP="00B937E1">
            <w:pPr>
              <w:spacing w:before="60" w:after="60"/>
              <w:jc w:val="center"/>
              <w:rPr>
                <w:rFonts w:cstheme="minorHAnsi"/>
                <w:sz w:val="20"/>
                <w:szCs w:val="20"/>
              </w:rPr>
            </w:pPr>
            <w:r>
              <w:rPr>
                <w:rFonts w:cstheme="minorHAnsi"/>
                <w:sz w:val="20"/>
                <w:szCs w:val="20"/>
              </w:rPr>
              <w:t>szt.</w:t>
            </w:r>
          </w:p>
        </w:tc>
        <w:tc>
          <w:tcPr>
            <w:tcW w:w="1276" w:type="dxa"/>
            <w:tcBorders>
              <w:top w:val="single" w:sz="8" w:space="0" w:color="33CC33"/>
              <w:bottom w:val="single" w:sz="8" w:space="0" w:color="33CC33"/>
            </w:tcBorders>
            <w:vAlign w:val="center"/>
          </w:tcPr>
          <w:p w14:paraId="7BD8DC62" w14:textId="2A86A3A2" w:rsidR="00B937E1" w:rsidRPr="002B30FD" w:rsidRDefault="00B937E1" w:rsidP="00B937E1">
            <w:pPr>
              <w:spacing w:before="80" w:after="80"/>
              <w:jc w:val="center"/>
              <w:rPr>
                <w:rFonts w:cstheme="minorHAnsi"/>
                <w:sz w:val="20"/>
                <w:szCs w:val="20"/>
              </w:rPr>
            </w:pPr>
            <w:r w:rsidRPr="003A7C4D">
              <w:rPr>
                <w:rFonts w:cstheme="minorHAnsi"/>
                <w:sz w:val="20"/>
                <w:szCs w:val="20"/>
              </w:rPr>
              <w:t>produkt</w:t>
            </w:r>
          </w:p>
        </w:tc>
        <w:tc>
          <w:tcPr>
            <w:tcW w:w="1275" w:type="dxa"/>
            <w:tcBorders>
              <w:top w:val="single" w:sz="8" w:space="0" w:color="33CC33"/>
              <w:bottom w:val="single" w:sz="8" w:space="0" w:color="33CC33"/>
            </w:tcBorders>
            <w:vAlign w:val="center"/>
          </w:tcPr>
          <w:p w14:paraId="498BA013" w14:textId="0A4059CB" w:rsidR="00B937E1" w:rsidRPr="002B30FD" w:rsidRDefault="00B937E1" w:rsidP="00B937E1">
            <w:pPr>
              <w:spacing w:before="80" w:after="80"/>
              <w:jc w:val="center"/>
              <w:rPr>
                <w:rFonts w:cstheme="minorHAnsi"/>
                <w:sz w:val="20"/>
                <w:szCs w:val="20"/>
              </w:rPr>
            </w:pPr>
            <w:r w:rsidRPr="003A7C4D">
              <w:rPr>
                <w:rFonts w:cstheme="minorHAnsi"/>
                <w:sz w:val="20"/>
                <w:szCs w:val="20"/>
              </w:rPr>
              <w:t>kluczowy</w:t>
            </w:r>
          </w:p>
        </w:tc>
        <w:tc>
          <w:tcPr>
            <w:tcW w:w="1276" w:type="dxa"/>
            <w:tcBorders>
              <w:top w:val="single" w:sz="8" w:space="0" w:color="33CC33"/>
              <w:bottom w:val="single" w:sz="8" w:space="0" w:color="33CC33"/>
            </w:tcBorders>
            <w:vAlign w:val="center"/>
          </w:tcPr>
          <w:p w14:paraId="0C88D824" w14:textId="61C16F5A" w:rsidR="00B937E1" w:rsidRPr="002B30FD" w:rsidRDefault="00B937E1" w:rsidP="00B937E1">
            <w:pPr>
              <w:spacing w:before="80" w:after="80"/>
              <w:jc w:val="center"/>
              <w:rPr>
                <w:rFonts w:cstheme="minorHAnsi"/>
                <w:sz w:val="20"/>
                <w:szCs w:val="20"/>
              </w:rPr>
            </w:pPr>
            <w:r w:rsidRPr="003A7C4D">
              <w:rPr>
                <w:rFonts w:cstheme="minorHAnsi"/>
                <w:sz w:val="20"/>
                <w:szCs w:val="20"/>
              </w:rPr>
              <w:t>-</w:t>
            </w:r>
          </w:p>
        </w:tc>
        <w:tc>
          <w:tcPr>
            <w:tcW w:w="5954" w:type="dxa"/>
            <w:tcBorders>
              <w:top w:val="single" w:sz="8" w:space="0" w:color="33CC33"/>
              <w:bottom w:val="single" w:sz="8" w:space="0" w:color="33CC33"/>
            </w:tcBorders>
            <w:vAlign w:val="center"/>
          </w:tcPr>
          <w:p w14:paraId="78D88B61" w14:textId="00709800" w:rsidR="00B937E1" w:rsidRPr="002B30FD" w:rsidRDefault="00B937E1" w:rsidP="00B937E1">
            <w:pPr>
              <w:autoSpaceDE w:val="0"/>
              <w:autoSpaceDN w:val="0"/>
              <w:adjustRightInd w:val="0"/>
              <w:spacing w:before="80" w:after="40"/>
              <w:jc w:val="both"/>
              <w:rPr>
                <w:rFonts w:cstheme="minorHAnsi"/>
                <w:sz w:val="20"/>
                <w:szCs w:val="20"/>
              </w:rPr>
            </w:pPr>
            <w:r w:rsidRPr="00B937E1">
              <w:rPr>
                <w:rFonts w:cstheme="minorHAnsi"/>
                <w:sz w:val="20"/>
                <w:szCs w:val="20"/>
              </w:rPr>
              <w:t>Liczba przedsiębiorstw otrzymujących wsparcie w formie pożyczek, dotacji na spłatę odsetek, gwarancji kredytowych, venture capital lub innego instrumentu finansowego. Instrumenty finansowe w tym kontekście obejmują inwestycje quasi-kapitałowe, kapitałowe, gwarancje i pożyczki zgodnie z definicją w art. 2 rozporządzenia UE 2018/1046: (52) „inwestycja quasi-kapitałowa” oznacza rodzaj finansowania mieszczący się między finansowaniem kapitałowym a finansowaniem dłużnym, o poziomie ryzyka wyższym niż dług uprzywilejowany, a niższym niż kapitał podstawowy, i który może mieć taką strukturę jak dług, zazwyczaj niezabezpieczony i podporządkowany, a w niektórych przypadkach wymienialny na udziały lub na udziały preferencyjne;   25) „inwestycja kapitałowa” oznacza wniesienie do spółki kapitału, zainwestowanego bezpośrednio lub pośrednio w zamian za całkowite lub częściowe udziały w strukturze własności tej spółki, przy czym inwestor kapitałowy może sprawować pewną kontrolę nad zarządzaniem spółką oraz może mieć udział w zyskach spółki;   34) „gwarancja” oznacza pisemne zobowiązanie do przyjęcia odpowiedzialności za całość lub część długu lub zobowiązania osoby trzeciej lub za pomyślne wykonanie przez nią zobowiązań w przypadku wystąpienia zdarzenia, które uruchamia taką gwarancję, takiego jak niewykonanie zobowiązań z tytułu pożyczki;   40) „pożyczka” oznacza umowę zobowiązującą pożyczkodawcę do udostępnienia pożyczkobiorcy uzgodnionej kwoty na uzgodniony okres, zgodnie z którą to umową pożyczkobiorca ma obowiązek spłacić tę kwotę w uzgodnionym terminie;   Definicja przedsiębiorstwa znajduje się w RCO01.</w:t>
            </w:r>
          </w:p>
        </w:tc>
      </w:tr>
      <w:tr w:rsidR="00B937E1" w:rsidRPr="000F4CA9" w14:paraId="01400D4D" w14:textId="77777777" w:rsidTr="00D02A7D">
        <w:trPr>
          <w:trHeight w:val="63"/>
        </w:trPr>
        <w:tc>
          <w:tcPr>
            <w:tcW w:w="552" w:type="dxa"/>
            <w:tcBorders>
              <w:top w:val="single" w:sz="8" w:space="0" w:color="33CC33"/>
              <w:bottom w:val="single" w:sz="8" w:space="0" w:color="33CC33"/>
            </w:tcBorders>
            <w:vAlign w:val="center"/>
          </w:tcPr>
          <w:p w14:paraId="3CCE67FF" w14:textId="38E39BA6" w:rsidR="00B937E1" w:rsidRPr="002B30FD" w:rsidRDefault="00D02A7D" w:rsidP="00B937E1">
            <w:pPr>
              <w:spacing w:before="60" w:after="60"/>
              <w:rPr>
                <w:rFonts w:cstheme="minorHAnsi"/>
                <w:sz w:val="20"/>
                <w:szCs w:val="20"/>
              </w:rPr>
            </w:pPr>
            <w:r>
              <w:rPr>
                <w:rFonts w:cstheme="minorHAnsi"/>
                <w:sz w:val="20"/>
                <w:szCs w:val="20"/>
              </w:rPr>
              <w:t>12</w:t>
            </w:r>
            <w:r w:rsidR="00A40B94">
              <w:rPr>
                <w:rFonts w:cstheme="minorHAnsi"/>
                <w:sz w:val="20"/>
                <w:szCs w:val="20"/>
              </w:rPr>
              <w:t>.</w:t>
            </w:r>
          </w:p>
        </w:tc>
        <w:tc>
          <w:tcPr>
            <w:tcW w:w="2977" w:type="dxa"/>
            <w:tcBorders>
              <w:top w:val="single" w:sz="8" w:space="0" w:color="33CC33"/>
              <w:bottom w:val="single" w:sz="8" w:space="0" w:color="33CC33"/>
            </w:tcBorders>
            <w:vAlign w:val="center"/>
          </w:tcPr>
          <w:p w14:paraId="55786718" w14:textId="2F684D44" w:rsidR="00B937E1" w:rsidRPr="00B937E1" w:rsidRDefault="00B937E1" w:rsidP="00B937E1">
            <w:pPr>
              <w:autoSpaceDE w:val="0"/>
              <w:autoSpaceDN w:val="0"/>
              <w:adjustRightInd w:val="0"/>
              <w:rPr>
                <w:rFonts w:cstheme="minorHAnsi"/>
                <w:i/>
                <w:sz w:val="20"/>
                <w:szCs w:val="20"/>
              </w:rPr>
            </w:pPr>
            <w:r w:rsidRPr="00B937E1">
              <w:rPr>
                <w:i/>
                <w:noProof/>
                <w:color w:val="000000" w:themeColor="text1"/>
                <w:sz w:val="20"/>
                <w:szCs w:val="20"/>
              </w:rPr>
              <w:t>Roczne zużycie energii pierwotnej (w tym lokalach mieszkalnych, budynkach publicznych, przedsiębiorstwach, innych)</w:t>
            </w:r>
          </w:p>
        </w:tc>
        <w:tc>
          <w:tcPr>
            <w:tcW w:w="1276" w:type="dxa"/>
            <w:tcBorders>
              <w:top w:val="single" w:sz="8" w:space="0" w:color="33CC33"/>
              <w:bottom w:val="single" w:sz="8" w:space="0" w:color="33CC33"/>
            </w:tcBorders>
            <w:vAlign w:val="center"/>
          </w:tcPr>
          <w:p w14:paraId="0717EC2C" w14:textId="7903A014" w:rsidR="00B937E1" w:rsidRPr="002B30FD" w:rsidRDefault="00B937E1" w:rsidP="00B937E1">
            <w:pPr>
              <w:spacing w:before="60" w:after="60"/>
              <w:jc w:val="center"/>
              <w:rPr>
                <w:rFonts w:cstheme="minorHAnsi"/>
                <w:sz w:val="20"/>
                <w:szCs w:val="20"/>
              </w:rPr>
            </w:pPr>
            <w:r>
              <w:rPr>
                <w:rFonts w:cstheme="minorHAnsi"/>
                <w:sz w:val="20"/>
                <w:szCs w:val="20"/>
              </w:rPr>
              <w:t>MWh/rok</w:t>
            </w:r>
          </w:p>
        </w:tc>
        <w:tc>
          <w:tcPr>
            <w:tcW w:w="1276" w:type="dxa"/>
            <w:tcBorders>
              <w:top w:val="single" w:sz="8" w:space="0" w:color="33CC33"/>
              <w:bottom w:val="single" w:sz="8" w:space="0" w:color="33CC33"/>
            </w:tcBorders>
            <w:vAlign w:val="center"/>
          </w:tcPr>
          <w:p w14:paraId="3BCC0F67" w14:textId="056BD322" w:rsidR="00B937E1" w:rsidRPr="002B30FD" w:rsidRDefault="00B937E1" w:rsidP="00B937E1">
            <w:pPr>
              <w:spacing w:before="80" w:after="80"/>
              <w:jc w:val="center"/>
              <w:rPr>
                <w:rFonts w:cstheme="minorHAnsi"/>
                <w:sz w:val="20"/>
                <w:szCs w:val="20"/>
              </w:rPr>
            </w:pPr>
            <w:r>
              <w:rPr>
                <w:rFonts w:cstheme="minorHAnsi"/>
                <w:sz w:val="20"/>
                <w:szCs w:val="20"/>
              </w:rPr>
              <w:t>rezultat</w:t>
            </w:r>
          </w:p>
        </w:tc>
        <w:tc>
          <w:tcPr>
            <w:tcW w:w="1275" w:type="dxa"/>
            <w:tcBorders>
              <w:top w:val="single" w:sz="8" w:space="0" w:color="33CC33"/>
              <w:bottom w:val="single" w:sz="8" w:space="0" w:color="33CC33"/>
            </w:tcBorders>
            <w:vAlign w:val="center"/>
          </w:tcPr>
          <w:p w14:paraId="1E77BDD5" w14:textId="609D6890" w:rsidR="00B937E1" w:rsidRPr="002B30FD" w:rsidRDefault="00B937E1" w:rsidP="00B937E1">
            <w:pPr>
              <w:spacing w:before="80" w:after="80"/>
              <w:jc w:val="center"/>
              <w:rPr>
                <w:rFonts w:cstheme="minorHAnsi"/>
                <w:sz w:val="20"/>
                <w:szCs w:val="20"/>
              </w:rPr>
            </w:pPr>
            <w:r w:rsidRPr="003A7C4D">
              <w:rPr>
                <w:rFonts w:cstheme="minorHAnsi"/>
                <w:sz w:val="20"/>
                <w:szCs w:val="20"/>
              </w:rPr>
              <w:t>kluczowy</w:t>
            </w:r>
          </w:p>
        </w:tc>
        <w:tc>
          <w:tcPr>
            <w:tcW w:w="1276" w:type="dxa"/>
            <w:tcBorders>
              <w:top w:val="single" w:sz="8" w:space="0" w:color="33CC33"/>
              <w:bottom w:val="single" w:sz="8" w:space="0" w:color="33CC33"/>
            </w:tcBorders>
            <w:vAlign w:val="center"/>
          </w:tcPr>
          <w:p w14:paraId="72BA5EEE" w14:textId="065C2E64" w:rsidR="00B937E1" w:rsidRPr="002B30FD" w:rsidRDefault="00CA4BAD" w:rsidP="00B937E1">
            <w:pPr>
              <w:spacing w:before="80" w:after="80"/>
              <w:jc w:val="center"/>
              <w:rPr>
                <w:rFonts w:cstheme="minorHAnsi"/>
                <w:sz w:val="20"/>
                <w:szCs w:val="20"/>
              </w:rPr>
            </w:pPr>
            <w:r>
              <w:rPr>
                <w:rFonts w:cstheme="minorHAnsi"/>
                <w:sz w:val="20"/>
                <w:szCs w:val="20"/>
              </w:rPr>
              <w:t xml:space="preserve">Wskaźnik </w:t>
            </w:r>
            <w:r w:rsidR="00796639">
              <w:rPr>
                <w:rFonts w:cstheme="minorHAnsi"/>
                <w:sz w:val="20"/>
                <w:szCs w:val="20"/>
              </w:rPr>
              <w:t>programowy</w:t>
            </w:r>
          </w:p>
        </w:tc>
        <w:tc>
          <w:tcPr>
            <w:tcW w:w="5954" w:type="dxa"/>
            <w:tcBorders>
              <w:top w:val="single" w:sz="8" w:space="0" w:color="33CC33"/>
              <w:bottom w:val="single" w:sz="8" w:space="0" w:color="33CC33"/>
            </w:tcBorders>
            <w:vAlign w:val="center"/>
          </w:tcPr>
          <w:p w14:paraId="72D8C665" w14:textId="342DB450" w:rsidR="00B937E1" w:rsidRPr="002B30FD" w:rsidRDefault="00B937E1" w:rsidP="00B937E1">
            <w:pPr>
              <w:autoSpaceDE w:val="0"/>
              <w:autoSpaceDN w:val="0"/>
              <w:adjustRightInd w:val="0"/>
              <w:spacing w:before="80" w:after="40"/>
              <w:jc w:val="both"/>
              <w:rPr>
                <w:rFonts w:cstheme="minorHAnsi"/>
                <w:sz w:val="20"/>
                <w:szCs w:val="20"/>
              </w:rPr>
            </w:pPr>
            <w:r w:rsidRPr="00B937E1">
              <w:rPr>
                <w:rFonts w:cstheme="minorHAnsi"/>
                <w:sz w:val="20"/>
                <w:szCs w:val="20"/>
              </w:rPr>
              <w:t xml:space="preserve">Całkowite roczne zużycie energii pierwotnej podmiotów objętych wsparciem. Wartość bazowa odnosi się do rocznego zużycia energii pierwotnej przed interwencją, a osiągnięta wartość odnosi się do rocznego zużycia energii pierwotnej rok po interwencji. W przypadku budynków obie wartości należy udokumentować na podstawie świadectw charakterystyki energetycznej, zgodnie z dyrektywą 2010/31/UE. W przypadku procesów w przedsiębiorstwach roczne </w:t>
            </w:r>
            <w:r w:rsidRPr="00B937E1">
              <w:rPr>
                <w:rFonts w:cstheme="minorHAnsi"/>
                <w:sz w:val="20"/>
                <w:szCs w:val="20"/>
              </w:rPr>
              <w:lastRenderedPageBreak/>
              <w:t>zużycie energii pierwotnej należy udokumentować na podstawie audytów energetycznych lub innych odpowiednich specyfikacji technicznych.   Budynki publiczne definiuje się jako budynki będące własnością instytucji publicznych i budynki będące własnością organizacji non-profit, pod warunkiem że takie instytucje realizują w budynku objętym projektem cele leżące w interesie ogólnym, takie jak edukacja, zdrowie, środowisko i transport. Przykłady obejmują budynki administracji publicznej, szkoły, szpitale itp.</w:t>
            </w:r>
          </w:p>
        </w:tc>
      </w:tr>
      <w:tr w:rsidR="00B937E1" w:rsidRPr="000F4CA9" w14:paraId="15ECAE00" w14:textId="77777777" w:rsidTr="00D02A7D">
        <w:trPr>
          <w:trHeight w:val="63"/>
        </w:trPr>
        <w:tc>
          <w:tcPr>
            <w:tcW w:w="552" w:type="dxa"/>
            <w:tcBorders>
              <w:top w:val="single" w:sz="8" w:space="0" w:color="33CC33"/>
              <w:bottom w:val="single" w:sz="8" w:space="0" w:color="33CC33"/>
            </w:tcBorders>
            <w:vAlign w:val="center"/>
          </w:tcPr>
          <w:p w14:paraId="4183291C" w14:textId="677025AD" w:rsidR="00B937E1" w:rsidRPr="002B30FD" w:rsidRDefault="00D02A7D" w:rsidP="00B937E1">
            <w:pPr>
              <w:spacing w:before="60" w:after="60"/>
              <w:rPr>
                <w:rFonts w:cstheme="minorHAnsi"/>
                <w:sz w:val="20"/>
                <w:szCs w:val="20"/>
              </w:rPr>
            </w:pPr>
            <w:r>
              <w:rPr>
                <w:rFonts w:cstheme="minorHAnsi"/>
                <w:sz w:val="20"/>
                <w:szCs w:val="20"/>
              </w:rPr>
              <w:lastRenderedPageBreak/>
              <w:t>13</w:t>
            </w:r>
            <w:r w:rsidR="00A40B94">
              <w:rPr>
                <w:rFonts w:cstheme="minorHAnsi"/>
                <w:sz w:val="20"/>
                <w:szCs w:val="20"/>
              </w:rPr>
              <w:t>.</w:t>
            </w:r>
          </w:p>
        </w:tc>
        <w:tc>
          <w:tcPr>
            <w:tcW w:w="2977" w:type="dxa"/>
            <w:tcBorders>
              <w:top w:val="single" w:sz="8" w:space="0" w:color="33CC33"/>
              <w:bottom w:val="single" w:sz="8" w:space="0" w:color="33CC33"/>
            </w:tcBorders>
            <w:vAlign w:val="center"/>
          </w:tcPr>
          <w:p w14:paraId="5FCCE77E" w14:textId="70055F70" w:rsidR="00B937E1" w:rsidRPr="00B937E1" w:rsidRDefault="00B937E1" w:rsidP="00B937E1">
            <w:pPr>
              <w:autoSpaceDE w:val="0"/>
              <w:autoSpaceDN w:val="0"/>
              <w:adjustRightInd w:val="0"/>
              <w:rPr>
                <w:rFonts w:cstheme="minorHAnsi"/>
                <w:i/>
                <w:sz w:val="20"/>
                <w:szCs w:val="20"/>
              </w:rPr>
            </w:pPr>
            <w:r w:rsidRPr="00B937E1">
              <w:rPr>
                <w:i/>
                <w:noProof/>
                <w:color w:val="000000" w:themeColor="text1"/>
                <w:sz w:val="20"/>
                <w:szCs w:val="20"/>
              </w:rPr>
              <w:t>Szacowana emisja gazów cieplarnianych</w:t>
            </w:r>
          </w:p>
        </w:tc>
        <w:tc>
          <w:tcPr>
            <w:tcW w:w="1276" w:type="dxa"/>
            <w:tcBorders>
              <w:top w:val="single" w:sz="8" w:space="0" w:color="33CC33"/>
              <w:bottom w:val="single" w:sz="8" w:space="0" w:color="33CC33"/>
            </w:tcBorders>
            <w:vAlign w:val="center"/>
          </w:tcPr>
          <w:p w14:paraId="52D9C22F" w14:textId="353F1DAA" w:rsidR="00B937E1" w:rsidRPr="002B30FD" w:rsidRDefault="00B937E1" w:rsidP="00B937E1">
            <w:pPr>
              <w:spacing w:before="60" w:after="60"/>
              <w:jc w:val="center"/>
              <w:rPr>
                <w:rFonts w:cstheme="minorHAnsi"/>
                <w:sz w:val="20"/>
                <w:szCs w:val="20"/>
              </w:rPr>
            </w:pPr>
            <w:r w:rsidRPr="00B937E1">
              <w:rPr>
                <w:rFonts w:cstheme="minorHAnsi"/>
                <w:sz w:val="20"/>
                <w:szCs w:val="20"/>
              </w:rPr>
              <w:t>tony równoważnika CO2/rok</w:t>
            </w:r>
          </w:p>
        </w:tc>
        <w:tc>
          <w:tcPr>
            <w:tcW w:w="1276" w:type="dxa"/>
            <w:tcBorders>
              <w:top w:val="single" w:sz="8" w:space="0" w:color="33CC33"/>
              <w:bottom w:val="single" w:sz="8" w:space="0" w:color="33CC33"/>
            </w:tcBorders>
            <w:vAlign w:val="center"/>
          </w:tcPr>
          <w:p w14:paraId="06FB771E" w14:textId="0E53CEA7" w:rsidR="00B937E1" w:rsidRPr="002B30FD" w:rsidRDefault="00B937E1" w:rsidP="00B937E1">
            <w:pPr>
              <w:spacing w:before="80" w:after="80"/>
              <w:jc w:val="center"/>
              <w:rPr>
                <w:rFonts w:cstheme="minorHAnsi"/>
                <w:sz w:val="20"/>
                <w:szCs w:val="20"/>
              </w:rPr>
            </w:pPr>
            <w:r>
              <w:rPr>
                <w:rFonts w:cstheme="minorHAnsi"/>
                <w:sz w:val="20"/>
                <w:szCs w:val="20"/>
              </w:rPr>
              <w:t>rezultat</w:t>
            </w:r>
          </w:p>
        </w:tc>
        <w:tc>
          <w:tcPr>
            <w:tcW w:w="1275" w:type="dxa"/>
            <w:tcBorders>
              <w:top w:val="single" w:sz="8" w:space="0" w:color="33CC33"/>
              <w:bottom w:val="single" w:sz="8" w:space="0" w:color="33CC33"/>
            </w:tcBorders>
            <w:vAlign w:val="center"/>
          </w:tcPr>
          <w:p w14:paraId="78157EE8" w14:textId="402BA6EC" w:rsidR="00B937E1" w:rsidRPr="002B30FD" w:rsidRDefault="00B937E1" w:rsidP="00B937E1">
            <w:pPr>
              <w:spacing w:before="80" w:after="80"/>
              <w:jc w:val="center"/>
              <w:rPr>
                <w:rFonts w:cstheme="minorHAnsi"/>
                <w:sz w:val="20"/>
                <w:szCs w:val="20"/>
              </w:rPr>
            </w:pPr>
            <w:r w:rsidRPr="003A7C4D">
              <w:rPr>
                <w:rFonts w:cstheme="minorHAnsi"/>
                <w:sz w:val="20"/>
                <w:szCs w:val="20"/>
              </w:rPr>
              <w:t>kluczowy</w:t>
            </w:r>
          </w:p>
        </w:tc>
        <w:tc>
          <w:tcPr>
            <w:tcW w:w="1276" w:type="dxa"/>
            <w:tcBorders>
              <w:top w:val="single" w:sz="8" w:space="0" w:color="33CC33"/>
              <w:bottom w:val="single" w:sz="8" w:space="0" w:color="33CC33"/>
            </w:tcBorders>
            <w:vAlign w:val="center"/>
          </w:tcPr>
          <w:p w14:paraId="6BB26F48" w14:textId="1BC1C9F0" w:rsidR="00B937E1" w:rsidRPr="002B30FD" w:rsidRDefault="00CA4BAD" w:rsidP="00B937E1">
            <w:pPr>
              <w:spacing w:before="80" w:after="80"/>
              <w:jc w:val="center"/>
              <w:rPr>
                <w:rFonts w:cstheme="minorHAnsi"/>
                <w:sz w:val="20"/>
                <w:szCs w:val="20"/>
              </w:rPr>
            </w:pPr>
            <w:r>
              <w:rPr>
                <w:rFonts w:cstheme="minorHAnsi"/>
                <w:sz w:val="20"/>
                <w:szCs w:val="20"/>
              </w:rPr>
              <w:t>Wskaźnik programowy</w:t>
            </w:r>
          </w:p>
        </w:tc>
        <w:tc>
          <w:tcPr>
            <w:tcW w:w="5954" w:type="dxa"/>
            <w:tcBorders>
              <w:top w:val="single" w:sz="8" w:space="0" w:color="33CC33"/>
              <w:bottom w:val="single" w:sz="8" w:space="0" w:color="33CC33"/>
            </w:tcBorders>
            <w:vAlign w:val="center"/>
          </w:tcPr>
          <w:p w14:paraId="376417AA" w14:textId="2B735643" w:rsidR="00B937E1" w:rsidRPr="002B30FD" w:rsidRDefault="00B937E1" w:rsidP="00B937E1">
            <w:pPr>
              <w:autoSpaceDE w:val="0"/>
              <w:autoSpaceDN w:val="0"/>
              <w:adjustRightInd w:val="0"/>
              <w:spacing w:before="80" w:after="40"/>
              <w:jc w:val="both"/>
              <w:rPr>
                <w:rFonts w:cstheme="minorHAnsi"/>
                <w:sz w:val="20"/>
                <w:szCs w:val="20"/>
              </w:rPr>
            </w:pPr>
            <w:r w:rsidRPr="00B937E1">
              <w:rPr>
                <w:rFonts w:cstheme="minorHAnsi"/>
                <w:sz w:val="20"/>
                <w:szCs w:val="20"/>
              </w:rPr>
              <w:t>Całkowita szacowana emisja gazów cieplarnianych podmiotów lub procesów objętych wsparciem. Wartość bazowa odnosi się do poziomu szacowanej emisji gazów cieplarnianych w ciągu roku przed rozpoczęciem interwencji, a osiągnięta wartość jest obliczana jako całkowita szacowana emisja gazów cieplarnianych na podstawie osiągniętego poziomu charakterystyki energetycznej w roku następującym po zakończeniu interwencji.   Wskaźnika tego nie stosuje się w operacjach wykorzystujących wskaźniki „RCR105 Szacowana emisja gazów cieplarnianych z kotłów przekształconych na zasilanie gazem” lub „RCR29a FST: Szacowana emisja gazów cieplarnianych w przedsiębiorstwach (dyr. 2003/87/WE)”, aby uniknąć konieczności stosowania dwóch wskaźników emisji gazów cieplarnianych w odniesieniu do operacji objętych wsparciem.</w:t>
            </w:r>
          </w:p>
        </w:tc>
      </w:tr>
      <w:tr w:rsidR="00A52061" w:rsidRPr="000F4CA9" w14:paraId="068E511A" w14:textId="77777777" w:rsidTr="00D02A7D">
        <w:trPr>
          <w:trHeight w:val="63"/>
        </w:trPr>
        <w:tc>
          <w:tcPr>
            <w:tcW w:w="552" w:type="dxa"/>
            <w:tcBorders>
              <w:top w:val="single" w:sz="8" w:space="0" w:color="33CC33"/>
              <w:bottom w:val="single" w:sz="8" w:space="0" w:color="33CC33"/>
            </w:tcBorders>
            <w:vAlign w:val="center"/>
          </w:tcPr>
          <w:p w14:paraId="627F7C43" w14:textId="5A0A2990" w:rsidR="00A52061" w:rsidRPr="002B30FD" w:rsidRDefault="00D02A7D" w:rsidP="00A52061">
            <w:pPr>
              <w:spacing w:before="60" w:after="60"/>
              <w:rPr>
                <w:rFonts w:cstheme="minorHAnsi"/>
                <w:sz w:val="20"/>
                <w:szCs w:val="20"/>
              </w:rPr>
            </w:pPr>
            <w:r>
              <w:rPr>
                <w:rFonts w:cstheme="minorHAnsi"/>
                <w:sz w:val="20"/>
                <w:szCs w:val="20"/>
              </w:rPr>
              <w:t>14</w:t>
            </w:r>
            <w:r w:rsidR="00A40B94">
              <w:rPr>
                <w:rFonts w:cstheme="minorHAnsi"/>
                <w:sz w:val="20"/>
                <w:szCs w:val="20"/>
              </w:rPr>
              <w:t>.</w:t>
            </w:r>
          </w:p>
        </w:tc>
        <w:tc>
          <w:tcPr>
            <w:tcW w:w="2977" w:type="dxa"/>
            <w:tcBorders>
              <w:top w:val="single" w:sz="8" w:space="0" w:color="33CC33"/>
              <w:bottom w:val="single" w:sz="8" w:space="0" w:color="33CC33"/>
            </w:tcBorders>
            <w:vAlign w:val="center"/>
          </w:tcPr>
          <w:p w14:paraId="4FCF0994" w14:textId="6A78BFE3" w:rsidR="00A52061" w:rsidRPr="00A52061" w:rsidRDefault="00A52061" w:rsidP="00A52061">
            <w:pPr>
              <w:autoSpaceDE w:val="0"/>
              <w:autoSpaceDN w:val="0"/>
              <w:adjustRightInd w:val="0"/>
              <w:rPr>
                <w:rFonts w:cstheme="minorHAnsi"/>
                <w:i/>
                <w:sz w:val="20"/>
                <w:szCs w:val="20"/>
              </w:rPr>
            </w:pPr>
            <w:r w:rsidRPr="00A52061">
              <w:rPr>
                <w:i/>
                <w:noProof/>
                <w:color w:val="000000" w:themeColor="text1"/>
                <w:sz w:val="20"/>
                <w:szCs w:val="20"/>
              </w:rPr>
              <w:t>Wytworzona energia odnawialna ogółem (w tym: energia elektryczna, energia cieplna)</w:t>
            </w:r>
          </w:p>
        </w:tc>
        <w:tc>
          <w:tcPr>
            <w:tcW w:w="1276" w:type="dxa"/>
            <w:tcBorders>
              <w:top w:val="single" w:sz="8" w:space="0" w:color="33CC33"/>
              <w:bottom w:val="single" w:sz="8" w:space="0" w:color="33CC33"/>
            </w:tcBorders>
            <w:vAlign w:val="center"/>
          </w:tcPr>
          <w:p w14:paraId="54AF5A8A" w14:textId="4110D6F9" w:rsidR="00A52061" w:rsidRPr="002B30FD" w:rsidRDefault="00A52061" w:rsidP="00A52061">
            <w:pPr>
              <w:spacing w:before="60" w:after="60"/>
              <w:jc w:val="center"/>
              <w:rPr>
                <w:rFonts w:cstheme="minorHAnsi"/>
                <w:sz w:val="20"/>
                <w:szCs w:val="20"/>
              </w:rPr>
            </w:pPr>
            <w:r>
              <w:rPr>
                <w:rFonts w:cstheme="minorHAnsi"/>
                <w:sz w:val="20"/>
                <w:szCs w:val="20"/>
              </w:rPr>
              <w:t>MWh/rok</w:t>
            </w:r>
          </w:p>
        </w:tc>
        <w:tc>
          <w:tcPr>
            <w:tcW w:w="1276" w:type="dxa"/>
            <w:tcBorders>
              <w:top w:val="single" w:sz="8" w:space="0" w:color="33CC33"/>
              <w:bottom w:val="single" w:sz="8" w:space="0" w:color="33CC33"/>
            </w:tcBorders>
            <w:vAlign w:val="center"/>
          </w:tcPr>
          <w:p w14:paraId="66314FEC" w14:textId="3E13EF91" w:rsidR="00A52061" w:rsidRPr="002B30FD" w:rsidRDefault="00A52061" w:rsidP="00A52061">
            <w:pPr>
              <w:spacing w:before="80" w:after="80"/>
              <w:jc w:val="center"/>
              <w:rPr>
                <w:rFonts w:cstheme="minorHAnsi"/>
                <w:sz w:val="20"/>
                <w:szCs w:val="20"/>
              </w:rPr>
            </w:pPr>
            <w:r>
              <w:rPr>
                <w:rFonts w:cstheme="minorHAnsi"/>
                <w:sz w:val="20"/>
                <w:szCs w:val="20"/>
              </w:rPr>
              <w:t>rezultat</w:t>
            </w:r>
          </w:p>
        </w:tc>
        <w:tc>
          <w:tcPr>
            <w:tcW w:w="1275" w:type="dxa"/>
            <w:tcBorders>
              <w:top w:val="single" w:sz="8" w:space="0" w:color="33CC33"/>
              <w:bottom w:val="single" w:sz="8" w:space="0" w:color="33CC33"/>
            </w:tcBorders>
            <w:vAlign w:val="center"/>
          </w:tcPr>
          <w:p w14:paraId="0CD4113D" w14:textId="1DDA50BD" w:rsidR="00A52061" w:rsidRPr="002B30FD" w:rsidRDefault="00A52061" w:rsidP="00A52061">
            <w:pPr>
              <w:spacing w:before="80" w:after="80"/>
              <w:jc w:val="center"/>
              <w:rPr>
                <w:rFonts w:cstheme="minorHAnsi"/>
                <w:sz w:val="20"/>
                <w:szCs w:val="20"/>
              </w:rPr>
            </w:pPr>
            <w:r w:rsidRPr="003A7C4D">
              <w:rPr>
                <w:rFonts w:cstheme="minorHAnsi"/>
                <w:sz w:val="20"/>
                <w:szCs w:val="20"/>
              </w:rPr>
              <w:t>kluczowy</w:t>
            </w:r>
          </w:p>
        </w:tc>
        <w:tc>
          <w:tcPr>
            <w:tcW w:w="1276" w:type="dxa"/>
            <w:tcBorders>
              <w:top w:val="single" w:sz="8" w:space="0" w:color="33CC33"/>
              <w:bottom w:val="single" w:sz="8" w:space="0" w:color="33CC33"/>
            </w:tcBorders>
            <w:vAlign w:val="center"/>
          </w:tcPr>
          <w:p w14:paraId="3EA61858" w14:textId="7BC4E255" w:rsidR="00A52061" w:rsidRPr="002B30FD" w:rsidRDefault="00CA4BAD" w:rsidP="00A52061">
            <w:pPr>
              <w:spacing w:before="80" w:after="80"/>
              <w:jc w:val="center"/>
              <w:rPr>
                <w:rFonts w:cstheme="minorHAnsi"/>
                <w:sz w:val="20"/>
                <w:szCs w:val="20"/>
              </w:rPr>
            </w:pPr>
            <w:r>
              <w:rPr>
                <w:rFonts w:cstheme="minorHAnsi"/>
                <w:sz w:val="20"/>
                <w:szCs w:val="20"/>
              </w:rPr>
              <w:t>Wskaźnik programowy</w:t>
            </w:r>
          </w:p>
        </w:tc>
        <w:tc>
          <w:tcPr>
            <w:tcW w:w="5954" w:type="dxa"/>
            <w:tcBorders>
              <w:top w:val="single" w:sz="8" w:space="0" w:color="33CC33"/>
              <w:bottom w:val="single" w:sz="8" w:space="0" w:color="33CC33"/>
            </w:tcBorders>
            <w:vAlign w:val="center"/>
          </w:tcPr>
          <w:p w14:paraId="0500B0E1" w14:textId="5932352E" w:rsidR="00A52061" w:rsidRPr="002B30FD" w:rsidRDefault="00A52061" w:rsidP="00A52061">
            <w:pPr>
              <w:autoSpaceDE w:val="0"/>
              <w:autoSpaceDN w:val="0"/>
              <w:adjustRightInd w:val="0"/>
              <w:spacing w:before="80" w:after="40"/>
              <w:jc w:val="both"/>
              <w:rPr>
                <w:rFonts w:cstheme="minorHAnsi"/>
                <w:sz w:val="20"/>
                <w:szCs w:val="20"/>
              </w:rPr>
            </w:pPr>
            <w:r w:rsidRPr="00A52061">
              <w:rPr>
                <w:rFonts w:cstheme="minorHAnsi"/>
                <w:sz w:val="20"/>
                <w:szCs w:val="20"/>
              </w:rPr>
              <w:t>Produkcja energii ze źródeł odnawialnych  przed interwencją i po niej w ramach   projektów objętych wsparciem. Wartość bazowa odnosi się do rocznej energii wyprodukowanej w roku poprzedzającym rozpoczęcie projektu i może być większa od zera w przypadkach, gdy zdolność produkcyjna zostaje zwiększona. Osiągnięta wartość to roczna energia wytworzona w roku po zakończeniu interwencji. Dezagregacja według energii elektrycznej i energii cieplnej odnosi się do źródła energii odnawialnej.</w:t>
            </w:r>
          </w:p>
        </w:tc>
      </w:tr>
      <w:tr w:rsidR="00A52061" w:rsidRPr="000F4CA9" w14:paraId="64786A51" w14:textId="77777777" w:rsidTr="00D02A7D">
        <w:trPr>
          <w:trHeight w:val="63"/>
        </w:trPr>
        <w:tc>
          <w:tcPr>
            <w:tcW w:w="552" w:type="dxa"/>
            <w:tcBorders>
              <w:top w:val="single" w:sz="8" w:space="0" w:color="33CC33"/>
              <w:bottom w:val="single" w:sz="8" w:space="0" w:color="33CC33"/>
            </w:tcBorders>
            <w:vAlign w:val="center"/>
          </w:tcPr>
          <w:p w14:paraId="1EF0C533" w14:textId="5B72B8FC" w:rsidR="00A52061" w:rsidRPr="002B30FD" w:rsidRDefault="00D02A7D" w:rsidP="00A52061">
            <w:pPr>
              <w:spacing w:before="60" w:after="60"/>
              <w:rPr>
                <w:rFonts w:cstheme="minorHAnsi"/>
                <w:sz w:val="20"/>
                <w:szCs w:val="20"/>
              </w:rPr>
            </w:pPr>
            <w:r>
              <w:rPr>
                <w:rFonts w:cstheme="minorHAnsi"/>
                <w:sz w:val="20"/>
                <w:szCs w:val="20"/>
              </w:rPr>
              <w:t>15</w:t>
            </w:r>
            <w:r w:rsidR="00A40B94">
              <w:rPr>
                <w:rFonts w:cstheme="minorHAnsi"/>
                <w:sz w:val="20"/>
                <w:szCs w:val="20"/>
              </w:rPr>
              <w:t>.</w:t>
            </w:r>
          </w:p>
        </w:tc>
        <w:tc>
          <w:tcPr>
            <w:tcW w:w="2977" w:type="dxa"/>
            <w:tcBorders>
              <w:top w:val="single" w:sz="8" w:space="0" w:color="33CC33"/>
              <w:bottom w:val="single" w:sz="8" w:space="0" w:color="33CC33"/>
            </w:tcBorders>
            <w:vAlign w:val="center"/>
          </w:tcPr>
          <w:p w14:paraId="15CA028E" w14:textId="53E26FAE" w:rsidR="00A52061" w:rsidRPr="00A52061" w:rsidRDefault="00A52061" w:rsidP="00A52061">
            <w:pPr>
              <w:autoSpaceDE w:val="0"/>
              <w:autoSpaceDN w:val="0"/>
              <w:adjustRightInd w:val="0"/>
              <w:rPr>
                <w:rFonts w:cstheme="minorHAnsi"/>
                <w:i/>
                <w:sz w:val="20"/>
                <w:szCs w:val="20"/>
              </w:rPr>
            </w:pPr>
            <w:r w:rsidRPr="00A52061">
              <w:rPr>
                <w:rFonts w:ascii="Calibri" w:hAnsi="Calibri" w:cs="Calibri"/>
                <w:i/>
                <w:noProof/>
                <w:sz w:val="20"/>
                <w:szCs w:val="20"/>
              </w:rPr>
              <w:t>Dodatkowa moc zainstalowana odnawialnych źródeł energii</w:t>
            </w:r>
          </w:p>
        </w:tc>
        <w:tc>
          <w:tcPr>
            <w:tcW w:w="1276" w:type="dxa"/>
            <w:tcBorders>
              <w:top w:val="single" w:sz="8" w:space="0" w:color="33CC33"/>
              <w:bottom w:val="single" w:sz="8" w:space="0" w:color="33CC33"/>
            </w:tcBorders>
            <w:vAlign w:val="center"/>
          </w:tcPr>
          <w:p w14:paraId="01D0D0F0" w14:textId="18342EDF" w:rsidR="00A52061" w:rsidRPr="002B30FD" w:rsidRDefault="00A52061" w:rsidP="00A52061">
            <w:pPr>
              <w:spacing w:before="60" w:after="60"/>
              <w:jc w:val="center"/>
              <w:rPr>
                <w:rFonts w:cstheme="minorHAnsi"/>
                <w:sz w:val="20"/>
                <w:szCs w:val="20"/>
              </w:rPr>
            </w:pPr>
            <w:r>
              <w:rPr>
                <w:rFonts w:cstheme="minorHAnsi"/>
                <w:sz w:val="20"/>
                <w:szCs w:val="20"/>
              </w:rPr>
              <w:t>MW</w:t>
            </w:r>
          </w:p>
        </w:tc>
        <w:tc>
          <w:tcPr>
            <w:tcW w:w="1276" w:type="dxa"/>
            <w:tcBorders>
              <w:top w:val="single" w:sz="8" w:space="0" w:color="33CC33"/>
              <w:bottom w:val="single" w:sz="8" w:space="0" w:color="33CC33"/>
            </w:tcBorders>
            <w:vAlign w:val="center"/>
          </w:tcPr>
          <w:p w14:paraId="42EC4860" w14:textId="6498D446" w:rsidR="00A52061" w:rsidRPr="002B30FD" w:rsidRDefault="00A52061" w:rsidP="00A52061">
            <w:pPr>
              <w:spacing w:before="80" w:after="80"/>
              <w:jc w:val="center"/>
              <w:rPr>
                <w:rFonts w:cstheme="minorHAnsi"/>
                <w:sz w:val="20"/>
                <w:szCs w:val="20"/>
              </w:rPr>
            </w:pPr>
            <w:r>
              <w:rPr>
                <w:rFonts w:cstheme="minorHAnsi"/>
                <w:sz w:val="20"/>
                <w:szCs w:val="20"/>
              </w:rPr>
              <w:t>rezultat</w:t>
            </w:r>
          </w:p>
        </w:tc>
        <w:tc>
          <w:tcPr>
            <w:tcW w:w="1275" w:type="dxa"/>
            <w:tcBorders>
              <w:top w:val="single" w:sz="8" w:space="0" w:color="33CC33"/>
              <w:bottom w:val="single" w:sz="8" w:space="0" w:color="33CC33"/>
            </w:tcBorders>
            <w:vAlign w:val="center"/>
          </w:tcPr>
          <w:p w14:paraId="7DA165C3" w14:textId="56146169" w:rsidR="00A52061" w:rsidRPr="002B30FD" w:rsidRDefault="00A52061" w:rsidP="00A52061">
            <w:pPr>
              <w:spacing w:before="80" w:after="80"/>
              <w:jc w:val="center"/>
              <w:rPr>
                <w:rFonts w:cstheme="minorHAnsi"/>
                <w:sz w:val="20"/>
                <w:szCs w:val="20"/>
              </w:rPr>
            </w:pPr>
            <w:r w:rsidRPr="003A7C4D">
              <w:rPr>
                <w:rFonts w:cstheme="minorHAnsi"/>
                <w:sz w:val="20"/>
                <w:szCs w:val="20"/>
              </w:rPr>
              <w:t>kluczowy</w:t>
            </w:r>
          </w:p>
        </w:tc>
        <w:tc>
          <w:tcPr>
            <w:tcW w:w="1276" w:type="dxa"/>
            <w:tcBorders>
              <w:top w:val="single" w:sz="8" w:space="0" w:color="33CC33"/>
              <w:bottom w:val="single" w:sz="8" w:space="0" w:color="33CC33"/>
            </w:tcBorders>
            <w:vAlign w:val="center"/>
          </w:tcPr>
          <w:p w14:paraId="33C9E759" w14:textId="6DC9FCA5" w:rsidR="00A52061" w:rsidRPr="002B30FD" w:rsidRDefault="00CA4BAD" w:rsidP="00A52061">
            <w:pPr>
              <w:spacing w:before="80" w:after="80"/>
              <w:jc w:val="center"/>
              <w:rPr>
                <w:rFonts w:cstheme="minorHAnsi"/>
                <w:sz w:val="20"/>
                <w:szCs w:val="20"/>
              </w:rPr>
            </w:pPr>
            <w:r>
              <w:rPr>
                <w:rFonts w:cstheme="minorHAnsi"/>
                <w:sz w:val="20"/>
                <w:szCs w:val="20"/>
              </w:rPr>
              <w:t>Wskaźnik programowy</w:t>
            </w:r>
          </w:p>
        </w:tc>
        <w:tc>
          <w:tcPr>
            <w:tcW w:w="5954" w:type="dxa"/>
            <w:tcBorders>
              <w:top w:val="single" w:sz="8" w:space="0" w:color="33CC33"/>
              <w:bottom w:val="single" w:sz="8" w:space="0" w:color="33CC33"/>
            </w:tcBorders>
            <w:vAlign w:val="center"/>
          </w:tcPr>
          <w:p w14:paraId="63BCFE66" w14:textId="5A91C2A6" w:rsidR="00A52061" w:rsidRPr="002B30FD" w:rsidRDefault="00A52061" w:rsidP="00A52061">
            <w:pPr>
              <w:autoSpaceDE w:val="0"/>
              <w:autoSpaceDN w:val="0"/>
              <w:adjustRightInd w:val="0"/>
              <w:spacing w:before="80" w:after="40"/>
              <w:jc w:val="both"/>
              <w:rPr>
                <w:rFonts w:cstheme="minorHAnsi"/>
                <w:sz w:val="20"/>
                <w:szCs w:val="20"/>
              </w:rPr>
            </w:pPr>
            <w:r w:rsidRPr="00A52061">
              <w:rPr>
                <w:rFonts w:cstheme="minorHAnsi"/>
                <w:sz w:val="20"/>
                <w:szCs w:val="20"/>
              </w:rPr>
              <w:t xml:space="preserve">Dodatkowa moc zainstalowana odnawialnych źródeł energii dzięki udzielonemu wsparciu, którą oddano do eksploatacji (tj. podłączona do sieci (jeśli dotyczy) i w pełni gotowa do wytwarzania energii lub już ją </w:t>
            </w:r>
            <w:r w:rsidRPr="00A52061">
              <w:rPr>
                <w:rFonts w:cstheme="minorHAnsi"/>
                <w:sz w:val="20"/>
                <w:szCs w:val="20"/>
              </w:rPr>
              <w:lastRenderedPageBreak/>
              <w:t>wytwarza). Zdolność wytwarzania rozumiana jest jako „maksymalna moc wytwórcza energii elektrycznej netto”, definiowana przez Eurostat jako „maksymalna moc czynna, która może być dostarczana stale przez ciągle działający zakład w punkcie wyjścia (tj. po pobraniu energii dla potrzeb urządzeń pomocniczych stacji oraz uwzględniając straty w transformatorach uznawanych za integralne ze stacją)”.</w:t>
            </w:r>
          </w:p>
        </w:tc>
      </w:tr>
      <w:tr w:rsidR="00A40B94" w:rsidRPr="000F4CA9" w14:paraId="4BA9BC08" w14:textId="77777777" w:rsidTr="00D02A7D">
        <w:trPr>
          <w:trHeight w:val="63"/>
        </w:trPr>
        <w:tc>
          <w:tcPr>
            <w:tcW w:w="552" w:type="dxa"/>
            <w:tcBorders>
              <w:top w:val="single" w:sz="8" w:space="0" w:color="33CC33"/>
              <w:bottom w:val="single" w:sz="8" w:space="0" w:color="33CC33"/>
            </w:tcBorders>
            <w:vAlign w:val="center"/>
          </w:tcPr>
          <w:p w14:paraId="37C802AE" w14:textId="4B0F9696" w:rsidR="00A40B94" w:rsidRPr="002B30FD" w:rsidRDefault="00D02A7D" w:rsidP="00A40B94">
            <w:pPr>
              <w:spacing w:before="60" w:after="60"/>
              <w:rPr>
                <w:rFonts w:cstheme="minorHAnsi"/>
                <w:sz w:val="20"/>
                <w:szCs w:val="20"/>
              </w:rPr>
            </w:pPr>
            <w:r>
              <w:rPr>
                <w:rFonts w:cstheme="minorHAnsi"/>
                <w:sz w:val="20"/>
                <w:szCs w:val="20"/>
              </w:rPr>
              <w:lastRenderedPageBreak/>
              <w:t>16</w:t>
            </w:r>
            <w:r w:rsidR="00A40B94">
              <w:rPr>
                <w:rFonts w:cstheme="minorHAnsi"/>
                <w:sz w:val="20"/>
                <w:szCs w:val="20"/>
              </w:rPr>
              <w:t>.</w:t>
            </w:r>
          </w:p>
        </w:tc>
        <w:tc>
          <w:tcPr>
            <w:tcW w:w="2977" w:type="dxa"/>
            <w:tcBorders>
              <w:top w:val="single" w:sz="8" w:space="0" w:color="33CC33"/>
              <w:bottom w:val="single" w:sz="8" w:space="0" w:color="33CC33"/>
            </w:tcBorders>
            <w:vAlign w:val="center"/>
          </w:tcPr>
          <w:p w14:paraId="0F1B9179" w14:textId="78F7980F" w:rsidR="00A40B94" w:rsidRPr="00A40B94" w:rsidRDefault="00A40B94" w:rsidP="00A40B94">
            <w:pPr>
              <w:autoSpaceDE w:val="0"/>
              <w:autoSpaceDN w:val="0"/>
              <w:adjustRightInd w:val="0"/>
              <w:rPr>
                <w:rFonts w:cstheme="minorHAnsi"/>
                <w:i/>
                <w:sz w:val="20"/>
                <w:szCs w:val="20"/>
              </w:rPr>
            </w:pPr>
            <w:r w:rsidRPr="00A40B94">
              <w:rPr>
                <w:rFonts w:cstheme="minorHAnsi"/>
                <w:i/>
                <w:color w:val="000000"/>
                <w:sz w:val="20"/>
                <w:szCs w:val="20"/>
                <w:shd w:val="clear" w:color="auto" w:fill="FFFFFF"/>
              </w:rPr>
              <w:t>Ilość zaoszczędzonej energii elektrycznej i cieplnej</w:t>
            </w:r>
          </w:p>
        </w:tc>
        <w:tc>
          <w:tcPr>
            <w:tcW w:w="1276" w:type="dxa"/>
            <w:tcBorders>
              <w:top w:val="single" w:sz="8" w:space="0" w:color="33CC33"/>
              <w:bottom w:val="single" w:sz="8" w:space="0" w:color="33CC33"/>
            </w:tcBorders>
            <w:vAlign w:val="center"/>
          </w:tcPr>
          <w:p w14:paraId="2FA894A4" w14:textId="63BBBA24" w:rsidR="00A40B94" w:rsidRPr="002B30FD" w:rsidRDefault="00A40B94" w:rsidP="00A40B94">
            <w:pPr>
              <w:spacing w:before="60" w:after="60"/>
              <w:jc w:val="center"/>
              <w:rPr>
                <w:rFonts w:cstheme="minorHAnsi"/>
                <w:sz w:val="20"/>
                <w:szCs w:val="20"/>
              </w:rPr>
            </w:pPr>
            <w:r>
              <w:rPr>
                <w:rFonts w:cstheme="minorHAnsi"/>
                <w:sz w:val="20"/>
                <w:szCs w:val="20"/>
              </w:rPr>
              <w:t>MWh/rok</w:t>
            </w:r>
          </w:p>
        </w:tc>
        <w:tc>
          <w:tcPr>
            <w:tcW w:w="1276" w:type="dxa"/>
            <w:tcBorders>
              <w:top w:val="single" w:sz="8" w:space="0" w:color="33CC33"/>
              <w:bottom w:val="single" w:sz="8" w:space="0" w:color="33CC33"/>
            </w:tcBorders>
            <w:vAlign w:val="center"/>
          </w:tcPr>
          <w:p w14:paraId="715B2E91" w14:textId="33E0E60C" w:rsidR="00A40B94" w:rsidRPr="002B30FD" w:rsidRDefault="00A40B94" w:rsidP="00A40B94">
            <w:pPr>
              <w:spacing w:before="80" w:after="80"/>
              <w:jc w:val="center"/>
              <w:rPr>
                <w:rFonts w:cstheme="minorHAnsi"/>
                <w:sz w:val="20"/>
                <w:szCs w:val="20"/>
              </w:rPr>
            </w:pPr>
            <w:r>
              <w:rPr>
                <w:rFonts w:cstheme="minorHAnsi"/>
                <w:sz w:val="20"/>
                <w:szCs w:val="20"/>
              </w:rPr>
              <w:t>rezultat</w:t>
            </w:r>
          </w:p>
        </w:tc>
        <w:tc>
          <w:tcPr>
            <w:tcW w:w="1275" w:type="dxa"/>
            <w:tcBorders>
              <w:top w:val="single" w:sz="8" w:space="0" w:color="33CC33"/>
              <w:bottom w:val="single" w:sz="8" w:space="0" w:color="33CC33"/>
            </w:tcBorders>
            <w:vAlign w:val="center"/>
          </w:tcPr>
          <w:p w14:paraId="52166C75" w14:textId="55E63492" w:rsidR="00A40B94" w:rsidRPr="002B30FD" w:rsidRDefault="00A40B94" w:rsidP="00A40B94">
            <w:pPr>
              <w:spacing w:before="80" w:after="80"/>
              <w:jc w:val="center"/>
              <w:rPr>
                <w:rFonts w:cstheme="minorHAnsi"/>
                <w:sz w:val="20"/>
                <w:szCs w:val="20"/>
              </w:rPr>
            </w:pPr>
            <w:r w:rsidRPr="003A7C4D">
              <w:rPr>
                <w:rFonts w:cstheme="minorHAnsi"/>
                <w:sz w:val="20"/>
                <w:szCs w:val="20"/>
              </w:rPr>
              <w:t>kluczowy</w:t>
            </w:r>
          </w:p>
        </w:tc>
        <w:tc>
          <w:tcPr>
            <w:tcW w:w="1276" w:type="dxa"/>
            <w:tcBorders>
              <w:top w:val="single" w:sz="8" w:space="0" w:color="33CC33"/>
              <w:bottom w:val="single" w:sz="8" w:space="0" w:color="33CC33"/>
            </w:tcBorders>
            <w:vAlign w:val="center"/>
          </w:tcPr>
          <w:p w14:paraId="414BA10A" w14:textId="7B7BB98D" w:rsidR="00A40B94" w:rsidRPr="002B30FD" w:rsidRDefault="00A40B94" w:rsidP="00A40B94">
            <w:pPr>
              <w:spacing w:before="80" w:after="80"/>
              <w:jc w:val="center"/>
              <w:rPr>
                <w:rFonts w:cstheme="minorHAnsi"/>
                <w:sz w:val="20"/>
                <w:szCs w:val="20"/>
              </w:rPr>
            </w:pPr>
            <w:r w:rsidRPr="003A7C4D">
              <w:rPr>
                <w:rFonts w:cstheme="minorHAnsi"/>
                <w:sz w:val="20"/>
                <w:szCs w:val="20"/>
              </w:rPr>
              <w:t>-</w:t>
            </w:r>
          </w:p>
        </w:tc>
        <w:tc>
          <w:tcPr>
            <w:tcW w:w="5954" w:type="dxa"/>
            <w:tcBorders>
              <w:top w:val="single" w:sz="8" w:space="0" w:color="33CC33"/>
              <w:bottom w:val="single" w:sz="8" w:space="0" w:color="33CC33"/>
            </w:tcBorders>
            <w:vAlign w:val="center"/>
          </w:tcPr>
          <w:p w14:paraId="0D6DE2FD" w14:textId="2605DE89" w:rsidR="00A40B94" w:rsidRPr="002B30FD" w:rsidRDefault="00A40B94" w:rsidP="00A40B94">
            <w:pPr>
              <w:autoSpaceDE w:val="0"/>
              <w:autoSpaceDN w:val="0"/>
              <w:adjustRightInd w:val="0"/>
              <w:spacing w:before="80" w:after="40"/>
              <w:jc w:val="both"/>
              <w:rPr>
                <w:rFonts w:cstheme="minorHAnsi"/>
                <w:sz w:val="20"/>
                <w:szCs w:val="20"/>
              </w:rPr>
            </w:pPr>
            <w:r w:rsidRPr="00A40B94">
              <w:rPr>
                <w:rFonts w:cstheme="minorHAnsi"/>
                <w:sz w:val="20"/>
                <w:szCs w:val="20"/>
              </w:rPr>
              <w:t>Ilość zaoszczędzonej w wyniku realizacji projektu energii elektrycznej i cieplnej w ciągu pełnego roku po zakończeniu projektu w stosunku do roku bazowego.    Wskaźnik odnosi się do energii końcowej.   Sposób pomiaru:    W przypadku przedsiębiorstw produkcyjnych: różnica między rocznym zużyciem energii elektrycznej i/lub cieplnej w roku bazowym w stosunku do rocznego zużycia energii elektrycznej i/lub cieplnej po zakończeniu projektu, skorygowana w przypadku zmiany wielkości produkcji.    W przypadku modernizacji energetycznej budynków: różnica między rocznym zużyciem energii elektrycznej i/lub cieplnej w roku bazowym w stosunku do rocznego zużycia energii elektrycznej po zakończeniu projektu.</w:t>
            </w:r>
          </w:p>
        </w:tc>
      </w:tr>
      <w:tr w:rsidR="00A40B94" w:rsidRPr="000F4CA9" w14:paraId="40C004DB" w14:textId="77777777" w:rsidTr="00D02A7D">
        <w:trPr>
          <w:trHeight w:val="63"/>
        </w:trPr>
        <w:tc>
          <w:tcPr>
            <w:tcW w:w="552" w:type="dxa"/>
            <w:tcBorders>
              <w:top w:val="single" w:sz="8" w:space="0" w:color="33CC33"/>
              <w:bottom w:val="single" w:sz="8" w:space="0" w:color="33CC33"/>
            </w:tcBorders>
            <w:vAlign w:val="center"/>
          </w:tcPr>
          <w:p w14:paraId="5AA1D8A7" w14:textId="12C61D02" w:rsidR="00A40B94" w:rsidRPr="002B30FD" w:rsidRDefault="00D02A7D" w:rsidP="00A40B94">
            <w:pPr>
              <w:spacing w:before="60" w:after="60"/>
              <w:rPr>
                <w:rFonts w:cstheme="minorHAnsi"/>
                <w:sz w:val="20"/>
                <w:szCs w:val="20"/>
              </w:rPr>
            </w:pPr>
            <w:r>
              <w:rPr>
                <w:rFonts w:cstheme="minorHAnsi"/>
                <w:sz w:val="20"/>
                <w:szCs w:val="20"/>
              </w:rPr>
              <w:t>17</w:t>
            </w:r>
            <w:r w:rsidR="00A40B94">
              <w:rPr>
                <w:rFonts w:cstheme="minorHAnsi"/>
                <w:sz w:val="20"/>
                <w:szCs w:val="20"/>
              </w:rPr>
              <w:t>.</w:t>
            </w:r>
          </w:p>
        </w:tc>
        <w:tc>
          <w:tcPr>
            <w:tcW w:w="2977" w:type="dxa"/>
            <w:tcBorders>
              <w:top w:val="single" w:sz="8" w:space="0" w:color="33CC33"/>
              <w:bottom w:val="single" w:sz="8" w:space="0" w:color="33CC33"/>
            </w:tcBorders>
            <w:vAlign w:val="center"/>
          </w:tcPr>
          <w:p w14:paraId="0E0173A2" w14:textId="0D34A34E" w:rsidR="00A40B94" w:rsidRPr="002B30FD" w:rsidRDefault="00A40B94" w:rsidP="00A40B94">
            <w:pPr>
              <w:autoSpaceDE w:val="0"/>
              <w:autoSpaceDN w:val="0"/>
              <w:adjustRightInd w:val="0"/>
              <w:rPr>
                <w:rFonts w:cstheme="minorHAnsi"/>
                <w:i/>
                <w:sz w:val="20"/>
                <w:szCs w:val="20"/>
              </w:rPr>
            </w:pPr>
            <w:r w:rsidRPr="00A40B94">
              <w:rPr>
                <w:rFonts w:cstheme="minorHAnsi"/>
                <w:i/>
                <w:sz w:val="20"/>
                <w:szCs w:val="20"/>
              </w:rPr>
              <w:t>Inwestycje prywatne uzupełniające wsparcie publiczne (w tym: dotacje, instrumenty finansowe)</w:t>
            </w:r>
          </w:p>
        </w:tc>
        <w:tc>
          <w:tcPr>
            <w:tcW w:w="1276" w:type="dxa"/>
            <w:tcBorders>
              <w:top w:val="single" w:sz="8" w:space="0" w:color="33CC33"/>
              <w:bottom w:val="single" w:sz="8" w:space="0" w:color="33CC33"/>
            </w:tcBorders>
            <w:vAlign w:val="center"/>
          </w:tcPr>
          <w:p w14:paraId="68BDD615" w14:textId="3AE099E8" w:rsidR="00A40B94" w:rsidRPr="002B30FD" w:rsidRDefault="00A40B94" w:rsidP="00A40B94">
            <w:pPr>
              <w:spacing w:before="60" w:after="60"/>
              <w:jc w:val="center"/>
              <w:rPr>
                <w:rFonts w:cstheme="minorHAnsi"/>
                <w:sz w:val="20"/>
                <w:szCs w:val="20"/>
              </w:rPr>
            </w:pPr>
            <w:r>
              <w:rPr>
                <w:rFonts w:cstheme="minorHAnsi"/>
                <w:sz w:val="20"/>
                <w:szCs w:val="20"/>
              </w:rPr>
              <w:t>Euro</w:t>
            </w:r>
          </w:p>
        </w:tc>
        <w:tc>
          <w:tcPr>
            <w:tcW w:w="1276" w:type="dxa"/>
            <w:tcBorders>
              <w:top w:val="single" w:sz="8" w:space="0" w:color="33CC33"/>
              <w:bottom w:val="single" w:sz="8" w:space="0" w:color="33CC33"/>
            </w:tcBorders>
            <w:vAlign w:val="center"/>
          </w:tcPr>
          <w:p w14:paraId="55CAC15D" w14:textId="03BBB0A2" w:rsidR="00A40B94" w:rsidRPr="002B30FD" w:rsidRDefault="00A40B94" w:rsidP="00A40B94">
            <w:pPr>
              <w:spacing w:before="80" w:after="80"/>
              <w:jc w:val="center"/>
              <w:rPr>
                <w:rFonts w:cstheme="minorHAnsi"/>
                <w:sz w:val="20"/>
                <w:szCs w:val="20"/>
              </w:rPr>
            </w:pPr>
            <w:r>
              <w:rPr>
                <w:rFonts w:cstheme="minorHAnsi"/>
                <w:sz w:val="20"/>
                <w:szCs w:val="20"/>
              </w:rPr>
              <w:t>rezultat</w:t>
            </w:r>
          </w:p>
        </w:tc>
        <w:tc>
          <w:tcPr>
            <w:tcW w:w="1275" w:type="dxa"/>
            <w:tcBorders>
              <w:top w:val="single" w:sz="8" w:space="0" w:color="33CC33"/>
              <w:bottom w:val="single" w:sz="8" w:space="0" w:color="33CC33"/>
            </w:tcBorders>
            <w:vAlign w:val="center"/>
          </w:tcPr>
          <w:p w14:paraId="5E68EF8A" w14:textId="5273F797" w:rsidR="00A40B94" w:rsidRPr="002B30FD" w:rsidRDefault="00A40B94" w:rsidP="00A40B94">
            <w:pPr>
              <w:spacing w:before="80" w:after="80"/>
              <w:jc w:val="center"/>
              <w:rPr>
                <w:rFonts w:cstheme="minorHAnsi"/>
                <w:sz w:val="20"/>
                <w:szCs w:val="20"/>
              </w:rPr>
            </w:pPr>
            <w:r w:rsidRPr="003A7C4D">
              <w:rPr>
                <w:rFonts w:cstheme="minorHAnsi"/>
                <w:sz w:val="20"/>
                <w:szCs w:val="20"/>
              </w:rPr>
              <w:t>kluczowy</w:t>
            </w:r>
          </w:p>
        </w:tc>
        <w:tc>
          <w:tcPr>
            <w:tcW w:w="1276" w:type="dxa"/>
            <w:tcBorders>
              <w:top w:val="single" w:sz="8" w:space="0" w:color="33CC33"/>
              <w:bottom w:val="single" w:sz="8" w:space="0" w:color="33CC33"/>
            </w:tcBorders>
            <w:vAlign w:val="center"/>
          </w:tcPr>
          <w:p w14:paraId="7ABA6A67" w14:textId="310B8EBB" w:rsidR="00A40B94" w:rsidRPr="002B30FD" w:rsidRDefault="00A40B94" w:rsidP="00A40B94">
            <w:pPr>
              <w:spacing w:before="80" w:after="80"/>
              <w:jc w:val="center"/>
              <w:rPr>
                <w:rFonts w:cstheme="minorHAnsi"/>
                <w:sz w:val="20"/>
                <w:szCs w:val="20"/>
              </w:rPr>
            </w:pPr>
            <w:r>
              <w:rPr>
                <w:rFonts w:cstheme="minorHAnsi"/>
                <w:sz w:val="20"/>
                <w:szCs w:val="20"/>
              </w:rPr>
              <w:t>Wskaźnik agregujący</w:t>
            </w:r>
          </w:p>
        </w:tc>
        <w:tc>
          <w:tcPr>
            <w:tcW w:w="5954" w:type="dxa"/>
            <w:tcBorders>
              <w:top w:val="single" w:sz="8" w:space="0" w:color="33CC33"/>
              <w:bottom w:val="single" w:sz="8" w:space="0" w:color="33CC33"/>
            </w:tcBorders>
            <w:vAlign w:val="center"/>
          </w:tcPr>
          <w:p w14:paraId="5C90F97C" w14:textId="34E37310" w:rsidR="00A40B94" w:rsidRPr="002B30FD" w:rsidRDefault="00A40B94" w:rsidP="00A40B94">
            <w:pPr>
              <w:autoSpaceDE w:val="0"/>
              <w:autoSpaceDN w:val="0"/>
              <w:adjustRightInd w:val="0"/>
              <w:spacing w:before="80" w:after="40"/>
              <w:jc w:val="both"/>
              <w:rPr>
                <w:rFonts w:cstheme="minorHAnsi"/>
                <w:sz w:val="20"/>
                <w:szCs w:val="20"/>
              </w:rPr>
            </w:pPr>
            <w:r w:rsidRPr="00A40B94">
              <w:rPr>
                <w:rFonts w:cstheme="minorHAnsi"/>
                <w:sz w:val="20"/>
                <w:szCs w:val="20"/>
              </w:rPr>
              <w:t>Całkowity wkład prywatny współfinansujący wspierane projekty, w których    wsparcie ma formę dotacji lub pochodzi z instrumentów finansowych. Wskaźnik obejmuje również niekwalifikowalną część kosztów projektu, w tym podatek VAT. W przypadku przedsiębiorstw państwowych wskaźnik obejmuje wkłady na współfinansowanie z ich własnego budżetu.   Wskaźnik należy obliczyć na podstawie prywatnego współfinansowania przewidzianego w umowach o dofinansowanie.   W przypadku instrumentów finansowych ma on obejmować zarówno finansowanie prywatne przez pośrednika (zarządzającego funduszem), jak i ostatecznego odbiorcę</w:t>
            </w:r>
            <w:r>
              <w:rPr>
                <w:rFonts w:cstheme="minorHAnsi"/>
                <w:sz w:val="20"/>
                <w:szCs w:val="20"/>
              </w:rPr>
              <w:t>.</w:t>
            </w:r>
          </w:p>
        </w:tc>
      </w:tr>
      <w:tr w:rsidR="00A40B94" w:rsidRPr="000F4CA9" w14:paraId="3B4C08A1" w14:textId="77777777" w:rsidTr="00D02A7D">
        <w:trPr>
          <w:trHeight w:val="63"/>
        </w:trPr>
        <w:tc>
          <w:tcPr>
            <w:tcW w:w="552" w:type="dxa"/>
            <w:tcBorders>
              <w:top w:val="single" w:sz="8" w:space="0" w:color="33CC33"/>
              <w:bottom w:val="single" w:sz="8" w:space="0" w:color="33CC33"/>
            </w:tcBorders>
            <w:vAlign w:val="center"/>
          </w:tcPr>
          <w:p w14:paraId="032D7D43" w14:textId="01617A74" w:rsidR="00A40B94" w:rsidRPr="002B30FD" w:rsidRDefault="00D02A7D" w:rsidP="00A40B94">
            <w:pPr>
              <w:spacing w:before="60" w:after="60"/>
              <w:rPr>
                <w:rFonts w:cstheme="minorHAnsi"/>
                <w:sz w:val="20"/>
                <w:szCs w:val="20"/>
              </w:rPr>
            </w:pPr>
            <w:r>
              <w:rPr>
                <w:rFonts w:cstheme="minorHAnsi"/>
                <w:sz w:val="20"/>
                <w:szCs w:val="20"/>
              </w:rPr>
              <w:t>18</w:t>
            </w:r>
            <w:r w:rsidR="00A40B94">
              <w:rPr>
                <w:rFonts w:cstheme="minorHAnsi"/>
                <w:sz w:val="20"/>
                <w:szCs w:val="20"/>
              </w:rPr>
              <w:t>.</w:t>
            </w:r>
          </w:p>
        </w:tc>
        <w:tc>
          <w:tcPr>
            <w:tcW w:w="2977" w:type="dxa"/>
            <w:tcBorders>
              <w:top w:val="single" w:sz="8" w:space="0" w:color="33CC33"/>
              <w:bottom w:val="single" w:sz="8" w:space="0" w:color="33CC33"/>
            </w:tcBorders>
            <w:vAlign w:val="center"/>
          </w:tcPr>
          <w:p w14:paraId="032B1583" w14:textId="254A36FC" w:rsidR="00A40B94" w:rsidRPr="00A40B94" w:rsidRDefault="00A40B94" w:rsidP="00D02A7D">
            <w:pPr>
              <w:autoSpaceDE w:val="0"/>
              <w:autoSpaceDN w:val="0"/>
              <w:adjustRightInd w:val="0"/>
              <w:rPr>
                <w:rFonts w:cstheme="minorHAnsi"/>
                <w:i/>
                <w:sz w:val="20"/>
                <w:szCs w:val="20"/>
              </w:rPr>
            </w:pPr>
            <w:r w:rsidRPr="00A40B94">
              <w:rPr>
                <w:rFonts w:cstheme="minorHAnsi"/>
                <w:i/>
                <w:sz w:val="20"/>
                <w:szCs w:val="20"/>
              </w:rPr>
              <w:t>Wartość inwestycji prywatnych uzupełniających wsparcie publiczne – instrumenty finansowe</w:t>
            </w:r>
          </w:p>
        </w:tc>
        <w:tc>
          <w:tcPr>
            <w:tcW w:w="1276" w:type="dxa"/>
            <w:tcBorders>
              <w:top w:val="single" w:sz="8" w:space="0" w:color="33CC33"/>
              <w:bottom w:val="single" w:sz="8" w:space="0" w:color="33CC33"/>
            </w:tcBorders>
            <w:vAlign w:val="center"/>
          </w:tcPr>
          <w:p w14:paraId="26E4EF7A" w14:textId="2B2C20F0" w:rsidR="00A40B94" w:rsidRDefault="00A40B94" w:rsidP="00A40B94">
            <w:pPr>
              <w:spacing w:before="60" w:after="60"/>
              <w:jc w:val="center"/>
              <w:rPr>
                <w:rFonts w:cstheme="minorHAnsi"/>
                <w:sz w:val="20"/>
                <w:szCs w:val="20"/>
              </w:rPr>
            </w:pPr>
            <w:r>
              <w:rPr>
                <w:rFonts w:cstheme="minorHAnsi"/>
                <w:sz w:val="20"/>
                <w:szCs w:val="20"/>
              </w:rPr>
              <w:t>PLN</w:t>
            </w:r>
          </w:p>
        </w:tc>
        <w:tc>
          <w:tcPr>
            <w:tcW w:w="1276" w:type="dxa"/>
            <w:tcBorders>
              <w:top w:val="single" w:sz="8" w:space="0" w:color="33CC33"/>
              <w:bottom w:val="single" w:sz="8" w:space="0" w:color="33CC33"/>
            </w:tcBorders>
            <w:vAlign w:val="center"/>
          </w:tcPr>
          <w:p w14:paraId="37C3DE3A" w14:textId="120E0BD9" w:rsidR="00A40B94" w:rsidRDefault="00A40B94" w:rsidP="00A40B94">
            <w:pPr>
              <w:spacing w:before="80" w:after="80"/>
              <w:jc w:val="center"/>
              <w:rPr>
                <w:rFonts w:cstheme="minorHAnsi"/>
                <w:sz w:val="20"/>
                <w:szCs w:val="20"/>
              </w:rPr>
            </w:pPr>
            <w:r>
              <w:rPr>
                <w:rFonts w:cstheme="minorHAnsi"/>
                <w:sz w:val="20"/>
                <w:szCs w:val="20"/>
              </w:rPr>
              <w:t>rezultat</w:t>
            </w:r>
          </w:p>
        </w:tc>
        <w:tc>
          <w:tcPr>
            <w:tcW w:w="1275" w:type="dxa"/>
            <w:tcBorders>
              <w:top w:val="single" w:sz="8" w:space="0" w:color="33CC33"/>
              <w:bottom w:val="single" w:sz="8" w:space="0" w:color="33CC33"/>
            </w:tcBorders>
            <w:vAlign w:val="center"/>
          </w:tcPr>
          <w:p w14:paraId="70313122" w14:textId="3FE94AF0" w:rsidR="00A40B94" w:rsidRPr="003A7C4D" w:rsidRDefault="00A40B94" w:rsidP="00A40B94">
            <w:pPr>
              <w:spacing w:before="80" w:after="80"/>
              <w:jc w:val="center"/>
              <w:rPr>
                <w:rFonts w:cstheme="minorHAnsi"/>
                <w:sz w:val="20"/>
                <w:szCs w:val="20"/>
              </w:rPr>
            </w:pPr>
            <w:r w:rsidRPr="003A7C4D">
              <w:rPr>
                <w:rFonts w:cstheme="minorHAnsi"/>
                <w:sz w:val="20"/>
                <w:szCs w:val="20"/>
              </w:rPr>
              <w:t>kluczowy</w:t>
            </w:r>
          </w:p>
        </w:tc>
        <w:tc>
          <w:tcPr>
            <w:tcW w:w="1276" w:type="dxa"/>
            <w:tcBorders>
              <w:top w:val="single" w:sz="8" w:space="0" w:color="33CC33"/>
              <w:bottom w:val="single" w:sz="8" w:space="0" w:color="33CC33"/>
            </w:tcBorders>
            <w:vAlign w:val="center"/>
          </w:tcPr>
          <w:p w14:paraId="64FA89BD" w14:textId="77777777" w:rsidR="00A40B94" w:rsidRDefault="00A40B94" w:rsidP="00A40B94">
            <w:pPr>
              <w:spacing w:before="80" w:after="80"/>
              <w:jc w:val="center"/>
              <w:rPr>
                <w:rFonts w:cstheme="minorHAnsi"/>
                <w:sz w:val="20"/>
                <w:szCs w:val="20"/>
              </w:rPr>
            </w:pPr>
            <w:r>
              <w:rPr>
                <w:rFonts w:cstheme="minorHAnsi"/>
                <w:sz w:val="20"/>
                <w:szCs w:val="20"/>
              </w:rPr>
              <w:t>-</w:t>
            </w:r>
          </w:p>
          <w:p w14:paraId="2A36CBEE" w14:textId="77777777" w:rsidR="00A40B94" w:rsidRDefault="00A40B94" w:rsidP="00A40B94">
            <w:pPr>
              <w:spacing w:before="80" w:after="80"/>
              <w:jc w:val="center"/>
              <w:rPr>
                <w:rFonts w:cstheme="minorHAnsi"/>
                <w:sz w:val="20"/>
                <w:szCs w:val="20"/>
              </w:rPr>
            </w:pPr>
          </w:p>
        </w:tc>
        <w:tc>
          <w:tcPr>
            <w:tcW w:w="5954" w:type="dxa"/>
            <w:tcBorders>
              <w:top w:val="single" w:sz="8" w:space="0" w:color="33CC33"/>
              <w:bottom w:val="single" w:sz="8" w:space="0" w:color="33CC33"/>
            </w:tcBorders>
            <w:vAlign w:val="center"/>
          </w:tcPr>
          <w:p w14:paraId="133A3691" w14:textId="73281D57" w:rsidR="00A40B94" w:rsidRPr="00A40B94" w:rsidRDefault="00A40B94" w:rsidP="00A40B94">
            <w:pPr>
              <w:autoSpaceDE w:val="0"/>
              <w:autoSpaceDN w:val="0"/>
              <w:adjustRightInd w:val="0"/>
              <w:spacing w:before="80" w:after="40"/>
              <w:jc w:val="both"/>
              <w:rPr>
                <w:rFonts w:cstheme="minorHAnsi"/>
                <w:sz w:val="20"/>
                <w:szCs w:val="20"/>
              </w:rPr>
            </w:pPr>
            <w:r w:rsidRPr="00A40B94">
              <w:rPr>
                <w:rFonts w:cstheme="minorHAnsi"/>
                <w:sz w:val="20"/>
                <w:szCs w:val="20"/>
              </w:rPr>
              <w:t xml:space="preserve">Wskaźnik mierzy całkowity wkład prywatny współfinansujący wspierane projekty, w przypadku których formą wsparcia są instrumenty finansowe. Wskaźnik obejmuje również niekwalifikowalną część kosztów projektu, w tym podatek VAT. W przypadku projektów realizowanych przez przedsiębiorstwa państwowe, do wartości </w:t>
            </w:r>
            <w:r w:rsidRPr="00A40B94">
              <w:rPr>
                <w:rFonts w:cstheme="minorHAnsi"/>
                <w:sz w:val="20"/>
                <w:szCs w:val="20"/>
              </w:rPr>
              <w:lastRenderedPageBreak/>
              <w:t>wskaźnika wliczany jest wkład własny tego przedsiębiorstwa.   Wskaźnik powinien być obliczany na podstawie współfinansowania prywatnego przewidzianego w umowach o dofinansowanie dla wspieranych projektów.</w:t>
            </w:r>
          </w:p>
        </w:tc>
      </w:tr>
    </w:tbl>
    <w:p w14:paraId="69453700" w14:textId="7A8310AB" w:rsidR="005B09B9" w:rsidRPr="00483DA1" w:rsidRDefault="005B09B9" w:rsidP="00E01179">
      <w:pPr>
        <w:spacing w:after="0"/>
        <w:rPr>
          <w:rFonts w:ascii="Arial" w:eastAsiaTheme="minorEastAsia" w:hAnsi="Arial" w:cs="Arial"/>
          <w:sz w:val="18"/>
          <w:szCs w:val="18"/>
          <w:lang w:eastAsia="pl-PL"/>
        </w:rPr>
      </w:pPr>
    </w:p>
    <w:p w14:paraId="27DBEE86" w14:textId="686D0448" w:rsidR="00BE377C" w:rsidRPr="00483DA1" w:rsidRDefault="00BE377C" w:rsidP="00870BF6">
      <w:pPr>
        <w:spacing w:after="0"/>
        <w:ind w:hanging="142"/>
        <w:rPr>
          <w:rFonts w:ascii="Arial" w:hAnsi="Arial" w:cs="Arial"/>
          <w:i/>
          <w:sz w:val="18"/>
          <w:szCs w:val="18"/>
        </w:rPr>
      </w:pPr>
    </w:p>
    <w:p w14:paraId="2CB61CC5" w14:textId="1CE3384B" w:rsidR="00102FB7" w:rsidRPr="00483DA1" w:rsidRDefault="00102FB7">
      <w:pPr>
        <w:tabs>
          <w:tab w:val="left" w:pos="3402"/>
          <w:tab w:val="left" w:pos="5103"/>
        </w:tabs>
        <w:ind w:left="-709"/>
        <w:jc w:val="both"/>
        <w:rPr>
          <w:rFonts w:ascii="Arial" w:hAnsi="Arial" w:cs="Arial"/>
          <w:sz w:val="18"/>
          <w:szCs w:val="18"/>
        </w:rPr>
      </w:pPr>
    </w:p>
    <w:sectPr w:rsidR="00102FB7" w:rsidRPr="00483DA1"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F16A" w14:textId="77777777" w:rsidR="005B09B9" w:rsidRDefault="005B09B9" w:rsidP="00A11280">
      <w:pPr>
        <w:spacing w:after="0" w:line="240" w:lineRule="auto"/>
      </w:pPr>
      <w:r>
        <w:separator/>
      </w:r>
    </w:p>
  </w:endnote>
  <w:endnote w:type="continuationSeparator" w:id="0">
    <w:p w14:paraId="2FB0BA83" w14:textId="77777777" w:rsidR="005B09B9" w:rsidRDefault="005B09B9"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5B09B9" w:rsidRDefault="005B09B9">
        <w:pPr>
          <w:pStyle w:val="Stopka"/>
          <w:jc w:val="center"/>
        </w:pPr>
        <w:r>
          <w:fldChar w:fldCharType="begin"/>
        </w:r>
        <w:r>
          <w:instrText>PAGE   \* MERGEFORMAT</w:instrText>
        </w:r>
        <w:r>
          <w:fldChar w:fldCharType="separate"/>
        </w:r>
        <w:r w:rsidR="004F3B75">
          <w:rPr>
            <w:noProof/>
          </w:rPr>
          <w:t>2</w:t>
        </w:r>
        <w:r>
          <w:rPr>
            <w:noProof/>
          </w:rPr>
          <w:fldChar w:fldCharType="end"/>
        </w:r>
      </w:p>
    </w:sdtContent>
  </w:sdt>
  <w:p w14:paraId="1CE2B7A3" w14:textId="77777777" w:rsidR="005B09B9" w:rsidRDefault="005B09B9"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EA45" w14:textId="77777777" w:rsidR="005B09B9" w:rsidRDefault="005B09B9" w:rsidP="00A11280">
      <w:pPr>
        <w:spacing w:after="0" w:line="240" w:lineRule="auto"/>
      </w:pPr>
      <w:r>
        <w:separator/>
      </w:r>
    </w:p>
  </w:footnote>
  <w:footnote w:type="continuationSeparator" w:id="0">
    <w:p w14:paraId="70E686FE" w14:textId="77777777" w:rsidR="005B09B9" w:rsidRDefault="005B09B9"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97C4" w14:textId="1C26B0F3" w:rsidR="005B09B9" w:rsidRPr="00FC4C51" w:rsidRDefault="00F904AB" w:rsidP="00FC4C51">
    <w:pPr>
      <w:pStyle w:val="Nagwek"/>
    </w:pPr>
    <w:r w:rsidRPr="00F904AB">
      <w:rPr>
        <w:rFonts w:eastAsiaTheme="minorEastAsia"/>
        <w:i/>
        <w:iCs/>
        <w:lang w:eastAsia="pl-PL"/>
      </w:rPr>
      <w:t>Załącznik nr 8 do Regulaminu wyboru projektów nabór nr FEOP.02.07-IP.01-001/23 dotyczący projektów złożonych w ramach postępowania niekonkurencyjnego działania 2.7 Instrumenty finansowe w obszarze środowiska w ramach FEO 2021-2027 nabór I, Wersja nr 1, czerwiec 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BB29" w14:textId="03BEB85C" w:rsidR="005B09B9" w:rsidRPr="00F904AB" w:rsidRDefault="00F904AB" w:rsidP="00F904AB">
    <w:pPr>
      <w:pStyle w:val="Nagwek"/>
    </w:pPr>
    <w:r w:rsidRPr="00F904AB">
      <w:t>Załącznik nr 8 do Regulaminu wyboru projektów nabór nr FEOP.02.07-IP.01-001/23</w:t>
    </w:r>
    <w:r>
      <w:t xml:space="preserve"> </w:t>
    </w:r>
    <w:r w:rsidRPr="00F904AB">
      <w:t xml:space="preserve">dotyczący projektów złożonych w ramach postępowania niekonkurencyjnego działania </w:t>
    </w:r>
    <w:r>
      <w:t>2.7</w:t>
    </w:r>
    <w:r w:rsidRPr="00F904AB">
      <w:t xml:space="preserve"> Instrume</w:t>
    </w:r>
    <w:r>
      <w:t>nty finansowe w obszarze środowiska</w:t>
    </w:r>
    <w:r w:rsidRPr="00F904AB">
      <w:t xml:space="preserve"> w ramach FEO 2021-2027 nabór I, Wersja nr 1, czerwiec 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abstractNumId w:val="22"/>
  </w:num>
  <w:num w:numId="2">
    <w:abstractNumId w:val="40"/>
  </w:num>
  <w:num w:numId="3">
    <w:abstractNumId w:val="19"/>
  </w:num>
  <w:num w:numId="4">
    <w:abstractNumId w:val="36"/>
  </w:num>
  <w:num w:numId="5">
    <w:abstractNumId w:val="16"/>
  </w:num>
  <w:num w:numId="6">
    <w:abstractNumId w:val="35"/>
  </w:num>
  <w:num w:numId="7">
    <w:abstractNumId w:val="23"/>
  </w:num>
  <w:num w:numId="8">
    <w:abstractNumId w:val="29"/>
  </w:num>
  <w:num w:numId="9">
    <w:abstractNumId w:val="17"/>
  </w:num>
  <w:num w:numId="10">
    <w:abstractNumId w:val="15"/>
  </w:num>
  <w:num w:numId="11">
    <w:abstractNumId w:val="3"/>
  </w:num>
  <w:num w:numId="12">
    <w:abstractNumId w:val="8"/>
  </w:num>
  <w:num w:numId="13">
    <w:abstractNumId w:val="12"/>
  </w:num>
  <w:num w:numId="14">
    <w:abstractNumId w:val="11"/>
  </w:num>
  <w:num w:numId="15">
    <w:abstractNumId w:val="38"/>
  </w:num>
  <w:num w:numId="16">
    <w:abstractNumId w:val="31"/>
  </w:num>
  <w:num w:numId="17">
    <w:abstractNumId w:val="2"/>
  </w:num>
  <w:num w:numId="18">
    <w:abstractNumId w:val="7"/>
  </w:num>
  <w:num w:numId="19">
    <w:abstractNumId w:val="33"/>
  </w:num>
  <w:num w:numId="20">
    <w:abstractNumId w:val="14"/>
  </w:num>
  <w:num w:numId="21">
    <w:abstractNumId w:val="24"/>
  </w:num>
  <w:num w:numId="22">
    <w:abstractNumId w:val="20"/>
  </w:num>
  <w:num w:numId="23">
    <w:abstractNumId w:val="41"/>
  </w:num>
  <w:num w:numId="24">
    <w:abstractNumId w:val="4"/>
  </w:num>
  <w:num w:numId="25">
    <w:abstractNumId w:val="21"/>
  </w:num>
  <w:num w:numId="26">
    <w:abstractNumId w:val="18"/>
  </w:num>
  <w:num w:numId="27">
    <w:abstractNumId w:val="34"/>
  </w:num>
  <w:num w:numId="28">
    <w:abstractNumId w:val="28"/>
  </w:num>
  <w:num w:numId="29">
    <w:abstractNumId w:val="10"/>
  </w:num>
  <w:num w:numId="30">
    <w:abstractNumId w:val="1"/>
  </w:num>
  <w:num w:numId="31">
    <w:abstractNumId w:val="27"/>
  </w:num>
  <w:num w:numId="32">
    <w:abstractNumId w:val="13"/>
  </w:num>
  <w:num w:numId="33">
    <w:abstractNumId w:val="26"/>
  </w:num>
  <w:num w:numId="34">
    <w:abstractNumId w:val="39"/>
  </w:num>
  <w:num w:numId="35">
    <w:abstractNumId w:val="6"/>
  </w:num>
  <w:num w:numId="36">
    <w:abstractNumId w:val="5"/>
  </w:num>
  <w:num w:numId="37">
    <w:abstractNumId w:val="0"/>
  </w:num>
  <w:num w:numId="38">
    <w:abstractNumId w:val="42"/>
  </w:num>
  <w:num w:numId="39">
    <w:abstractNumId w:val="9"/>
  </w:num>
  <w:num w:numId="40">
    <w:abstractNumId w:val="32"/>
  </w:num>
  <w:num w:numId="41">
    <w:abstractNumId w:val="37"/>
  </w:num>
  <w:num w:numId="42">
    <w:abstractNumId w:val="2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90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4F3C"/>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97710"/>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8AA"/>
    <w:rsid w:val="00102FB7"/>
    <w:rsid w:val="00103B1B"/>
    <w:rsid w:val="00110626"/>
    <w:rsid w:val="001133C2"/>
    <w:rsid w:val="00115072"/>
    <w:rsid w:val="0011514D"/>
    <w:rsid w:val="0011616D"/>
    <w:rsid w:val="001217A7"/>
    <w:rsid w:val="00125111"/>
    <w:rsid w:val="00131B88"/>
    <w:rsid w:val="00136D60"/>
    <w:rsid w:val="0014329F"/>
    <w:rsid w:val="001460B1"/>
    <w:rsid w:val="00152EEA"/>
    <w:rsid w:val="00160878"/>
    <w:rsid w:val="00161C3A"/>
    <w:rsid w:val="00163090"/>
    <w:rsid w:val="00163314"/>
    <w:rsid w:val="0016581B"/>
    <w:rsid w:val="00176A29"/>
    <w:rsid w:val="00177222"/>
    <w:rsid w:val="0018083F"/>
    <w:rsid w:val="00180987"/>
    <w:rsid w:val="00180A81"/>
    <w:rsid w:val="001811A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3836"/>
    <w:rsid w:val="001E551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821A1"/>
    <w:rsid w:val="00283239"/>
    <w:rsid w:val="00292CCE"/>
    <w:rsid w:val="002948C3"/>
    <w:rsid w:val="002979FE"/>
    <w:rsid w:val="002A099C"/>
    <w:rsid w:val="002A3184"/>
    <w:rsid w:val="002A3A9C"/>
    <w:rsid w:val="002A3FC9"/>
    <w:rsid w:val="002A4384"/>
    <w:rsid w:val="002B08C1"/>
    <w:rsid w:val="002B0DC4"/>
    <w:rsid w:val="002B17E2"/>
    <w:rsid w:val="002B294F"/>
    <w:rsid w:val="002B30FD"/>
    <w:rsid w:val="002B4B5A"/>
    <w:rsid w:val="002B5BE2"/>
    <w:rsid w:val="002B5D3A"/>
    <w:rsid w:val="002C1ECA"/>
    <w:rsid w:val="002C63EB"/>
    <w:rsid w:val="002C69A3"/>
    <w:rsid w:val="002C78D8"/>
    <w:rsid w:val="002D1FFD"/>
    <w:rsid w:val="002D4B7F"/>
    <w:rsid w:val="002D6BC5"/>
    <w:rsid w:val="002E2679"/>
    <w:rsid w:val="002E5267"/>
    <w:rsid w:val="002F26D3"/>
    <w:rsid w:val="00306C54"/>
    <w:rsid w:val="00314703"/>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3C55"/>
    <w:rsid w:val="003841BA"/>
    <w:rsid w:val="0039273C"/>
    <w:rsid w:val="00393132"/>
    <w:rsid w:val="00395F5D"/>
    <w:rsid w:val="003976DA"/>
    <w:rsid w:val="003A545F"/>
    <w:rsid w:val="003A56B7"/>
    <w:rsid w:val="003A5E23"/>
    <w:rsid w:val="003A69AB"/>
    <w:rsid w:val="003A7C4D"/>
    <w:rsid w:val="003B26CD"/>
    <w:rsid w:val="003B2744"/>
    <w:rsid w:val="003B4296"/>
    <w:rsid w:val="003B7E2A"/>
    <w:rsid w:val="003C02CA"/>
    <w:rsid w:val="003C27B4"/>
    <w:rsid w:val="003C2811"/>
    <w:rsid w:val="003C4BBB"/>
    <w:rsid w:val="003C6E68"/>
    <w:rsid w:val="003D02A0"/>
    <w:rsid w:val="003D06D9"/>
    <w:rsid w:val="003D074A"/>
    <w:rsid w:val="003D14F8"/>
    <w:rsid w:val="003D1E49"/>
    <w:rsid w:val="003D4DB5"/>
    <w:rsid w:val="003E0589"/>
    <w:rsid w:val="003E274D"/>
    <w:rsid w:val="003E2E4B"/>
    <w:rsid w:val="003E5A0C"/>
    <w:rsid w:val="004100BB"/>
    <w:rsid w:val="00411A37"/>
    <w:rsid w:val="00413B51"/>
    <w:rsid w:val="0042026D"/>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39D2"/>
    <w:rsid w:val="004E17B4"/>
    <w:rsid w:val="004E3ACC"/>
    <w:rsid w:val="004E7A11"/>
    <w:rsid w:val="004F3B75"/>
    <w:rsid w:val="004F3C77"/>
    <w:rsid w:val="004F6BEF"/>
    <w:rsid w:val="00501A93"/>
    <w:rsid w:val="00501C83"/>
    <w:rsid w:val="005077F3"/>
    <w:rsid w:val="005102CC"/>
    <w:rsid w:val="005129C5"/>
    <w:rsid w:val="005156EF"/>
    <w:rsid w:val="00515E54"/>
    <w:rsid w:val="00521B3D"/>
    <w:rsid w:val="00525215"/>
    <w:rsid w:val="0052639C"/>
    <w:rsid w:val="00537297"/>
    <w:rsid w:val="005402FE"/>
    <w:rsid w:val="00543A97"/>
    <w:rsid w:val="0056602B"/>
    <w:rsid w:val="00567072"/>
    <w:rsid w:val="00567CA9"/>
    <w:rsid w:val="00570604"/>
    <w:rsid w:val="00573A93"/>
    <w:rsid w:val="00575F75"/>
    <w:rsid w:val="0058726C"/>
    <w:rsid w:val="00587F10"/>
    <w:rsid w:val="00596A58"/>
    <w:rsid w:val="00596D42"/>
    <w:rsid w:val="005A14AC"/>
    <w:rsid w:val="005A4085"/>
    <w:rsid w:val="005A7CB1"/>
    <w:rsid w:val="005B09B9"/>
    <w:rsid w:val="005B2FEA"/>
    <w:rsid w:val="005B504A"/>
    <w:rsid w:val="005C01D2"/>
    <w:rsid w:val="005D5F43"/>
    <w:rsid w:val="005E4353"/>
    <w:rsid w:val="005E54E5"/>
    <w:rsid w:val="005E63FE"/>
    <w:rsid w:val="005E6E72"/>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1E28"/>
    <w:rsid w:val="006B6022"/>
    <w:rsid w:val="006B7DBF"/>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47375"/>
    <w:rsid w:val="00757A2D"/>
    <w:rsid w:val="00760B0C"/>
    <w:rsid w:val="00761D7C"/>
    <w:rsid w:val="00762BB5"/>
    <w:rsid w:val="00774FA1"/>
    <w:rsid w:val="007754AA"/>
    <w:rsid w:val="00775B56"/>
    <w:rsid w:val="00780302"/>
    <w:rsid w:val="0078060A"/>
    <w:rsid w:val="007815E2"/>
    <w:rsid w:val="007819E8"/>
    <w:rsid w:val="007832FF"/>
    <w:rsid w:val="00783A8E"/>
    <w:rsid w:val="00785F4C"/>
    <w:rsid w:val="00790A97"/>
    <w:rsid w:val="0079394C"/>
    <w:rsid w:val="00796639"/>
    <w:rsid w:val="007A27F7"/>
    <w:rsid w:val="007A69E4"/>
    <w:rsid w:val="007B0796"/>
    <w:rsid w:val="007B3E77"/>
    <w:rsid w:val="007B6720"/>
    <w:rsid w:val="007C41F6"/>
    <w:rsid w:val="007D00DC"/>
    <w:rsid w:val="007D3E62"/>
    <w:rsid w:val="007D46E8"/>
    <w:rsid w:val="007D4C96"/>
    <w:rsid w:val="007D7F49"/>
    <w:rsid w:val="007E034D"/>
    <w:rsid w:val="007E1DB5"/>
    <w:rsid w:val="007E2D57"/>
    <w:rsid w:val="007F0A9C"/>
    <w:rsid w:val="007F1AC9"/>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81689"/>
    <w:rsid w:val="008823AA"/>
    <w:rsid w:val="00883127"/>
    <w:rsid w:val="0088456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4DDF"/>
    <w:rsid w:val="00905AC7"/>
    <w:rsid w:val="009119D4"/>
    <w:rsid w:val="00913370"/>
    <w:rsid w:val="00913791"/>
    <w:rsid w:val="00916534"/>
    <w:rsid w:val="0091660E"/>
    <w:rsid w:val="00917D52"/>
    <w:rsid w:val="00921408"/>
    <w:rsid w:val="00923DC2"/>
    <w:rsid w:val="0092434A"/>
    <w:rsid w:val="009246BE"/>
    <w:rsid w:val="00930C72"/>
    <w:rsid w:val="00931055"/>
    <w:rsid w:val="00944557"/>
    <w:rsid w:val="009458D9"/>
    <w:rsid w:val="0094668B"/>
    <w:rsid w:val="00953A2D"/>
    <w:rsid w:val="00957E5D"/>
    <w:rsid w:val="0096569F"/>
    <w:rsid w:val="0096700F"/>
    <w:rsid w:val="00970072"/>
    <w:rsid w:val="00974060"/>
    <w:rsid w:val="00975F71"/>
    <w:rsid w:val="00986C2B"/>
    <w:rsid w:val="0098771A"/>
    <w:rsid w:val="00991562"/>
    <w:rsid w:val="00992F45"/>
    <w:rsid w:val="00993E65"/>
    <w:rsid w:val="0099519F"/>
    <w:rsid w:val="00997070"/>
    <w:rsid w:val="009A0CEB"/>
    <w:rsid w:val="009A1C80"/>
    <w:rsid w:val="009A1F33"/>
    <w:rsid w:val="009B1AF2"/>
    <w:rsid w:val="009B1C1D"/>
    <w:rsid w:val="009B3E76"/>
    <w:rsid w:val="009B5198"/>
    <w:rsid w:val="009B6505"/>
    <w:rsid w:val="009C4F1B"/>
    <w:rsid w:val="009C6492"/>
    <w:rsid w:val="009D29FB"/>
    <w:rsid w:val="009D4EE9"/>
    <w:rsid w:val="009D760C"/>
    <w:rsid w:val="009E068A"/>
    <w:rsid w:val="009E1752"/>
    <w:rsid w:val="009E3594"/>
    <w:rsid w:val="009E3C4A"/>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7E09"/>
    <w:rsid w:val="00A406FE"/>
    <w:rsid w:val="00A40B94"/>
    <w:rsid w:val="00A4517A"/>
    <w:rsid w:val="00A52061"/>
    <w:rsid w:val="00A55E0F"/>
    <w:rsid w:val="00A56DCC"/>
    <w:rsid w:val="00A64913"/>
    <w:rsid w:val="00A74993"/>
    <w:rsid w:val="00A74CC1"/>
    <w:rsid w:val="00A7590E"/>
    <w:rsid w:val="00A75D3B"/>
    <w:rsid w:val="00A76BDD"/>
    <w:rsid w:val="00A81A9E"/>
    <w:rsid w:val="00A83DBA"/>
    <w:rsid w:val="00A85AB9"/>
    <w:rsid w:val="00A86243"/>
    <w:rsid w:val="00A91CD6"/>
    <w:rsid w:val="00A93672"/>
    <w:rsid w:val="00A967AC"/>
    <w:rsid w:val="00A96B60"/>
    <w:rsid w:val="00A97284"/>
    <w:rsid w:val="00A9780F"/>
    <w:rsid w:val="00AA43DC"/>
    <w:rsid w:val="00AB176A"/>
    <w:rsid w:val="00AB6726"/>
    <w:rsid w:val="00AC12E7"/>
    <w:rsid w:val="00AC22E3"/>
    <w:rsid w:val="00AC4C19"/>
    <w:rsid w:val="00AD244B"/>
    <w:rsid w:val="00AD497B"/>
    <w:rsid w:val="00AD69B8"/>
    <w:rsid w:val="00AD6A25"/>
    <w:rsid w:val="00AD7C6B"/>
    <w:rsid w:val="00AE1F0B"/>
    <w:rsid w:val="00AF2D17"/>
    <w:rsid w:val="00AF42AA"/>
    <w:rsid w:val="00AF7E93"/>
    <w:rsid w:val="00B118EC"/>
    <w:rsid w:val="00B12AE2"/>
    <w:rsid w:val="00B25DDC"/>
    <w:rsid w:val="00B26A50"/>
    <w:rsid w:val="00B26E9F"/>
    <w:rsid w:val="00B33396"/>
    <w:rsid w:val="00B4195E"/>
    <w:rsid w:val="00B43839"/>
    <w:rsid w:val="00B4493F"/>
    <w:rsid w:val="00B503CF"/>
    <w:rsid w:val="00B53551"/>
    <w:rsid w:val="00B60267"/>
    <w:rsid w:val="00B64A26"/>
    <w:rsid w:val="00B6688C"/>
    <w:rsid w:val="00B6775E"/>
    <w:rsid w:val="00B71412"/>
    <w:rsid w:val="00B73E4B"/>
    <w:rsid w:val="00B7446F"/>
    <w:rsid w:val="00B74748"/>
    <w:rsid w:val="00B91714"/>
    <w:rsid w:val="00B921A1"/>
    <w:rsid w:val="00B937E1"/>
    <w:rsid w:val="00B974D2"/>
    <w:rsid w:val="00B97C67"/>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3BC9"/>
    <w:rsid w:val="00C762FB"/>
    <w:rsid w:val="00C76AD4"/>
    <w:rsid w:val="00C83B73"/>
    <w:rsid w:val="00C845B1"/>
    <w:rsid w:val="00C93A1D"/>
    <w:rsid w:val="00C9500E"/>
    <w:rsid w:val="00C953C5"/>
    <w:rsid w:val="00C95762"/>
    <w:rsid w:val="00C965FE"/>
    <w:rsid w:val="00CA1A8B"/>
    <w:rsid w:val="00CA4446"/>
    <w:rsid w:val="00CA4BAD"/>
    <w:rsid w:val="00CB2ACB"/>
    <w:rsid w:val="00CB2D0B"/>
    <w:rsid w:val="00CB7564"/>
    <w:rsid w:val="00CC7854"/>
    <w:rsid w:val="00CD1A35"/>
    <w:rsid w:val="00CD70FA"/>
    <w:rsid w:val="00CE040A"/>
    <w:rsid w:val="00CF0350"/>
    <w:rsid w:val="00CF0720"/>
    <w:rsid w:val="00CF1602"/>
    <w:rsid w:val="00CF558C"/>
    <w:rsid w:val="00CF7C96"/>
    <w:rsid w:val="00D01141"/>
    <w:rsid w:val="00D028C2"/>
    <w:rsid w:val="00D02A7D"/>
    <w:rsid w:val="00D02C92"/>
    <w:rsid w:val="00D03DF0"/>
    <w:rsid w:val="00D07438"/>
    <w:rsid w:val="00D11990"/>
    <w:rsid w:val="00D12DE8"/>
    <w:rsid w:val="00D43689"/>
    <w:rsid w:val="00D509E2"/>
    <w:rsid w:val="00D5721C"/>
    <w:rsid w:val="00D67B61"/>
    <w:rsid w:val="00D708B3"/>
    <w:rsid w:val="00D73DC2"/>
    <w:rsid w:val="00D80AAE"/>
    <w:rsid w:val="00D822A7"/>
    <w:rsid w:val="00D8458B"/>
    <w:rsid w:val="00D862AA"/>
    <w:rsid w:val="00D957C4"/>
    <w:rsid w:val="00D95C70"/>
    <w:rsid w:val="00DA1AA6"/>
    <w:rsid w:val="00DA3986"/>
    <w:rsid w:val="00DA4D8E"/>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7E0B"/>
    <w:rsid w:val="00E640C6"/>
    <w:rsid w:val="00E64D78"/>
    <w:rsid w:val="00E65FED"/>
    <w:rsid w:val="00E71757"/>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65847"/>
    <w:rsid w:val="00F74401"/>
    <w:rsid w:val="00F74BA2"/>
    <w:rsid w:val="00F75B93"/>
    <w:rsid w:val="00F85A76"/>
    <w:rsid w:val="00F904AB"/>
    <w:rsid w:val="00F91A40"/>
    <w:rsid w:val="00F95885"/>
    <w:rsid w:val="00FA05CA"/>
    <w:rsid w:val="00FA1FFA"/>
    <w:rsid w:val="00FA2FFB"/>
    <w:rsid w:val="00FA6B10"/>
    <w:rsid w:val="00FB101C"/>
    <w:rsid w:val="00FB2D95"/>
    <w:rsid w:val="00FC01D2"/>
    <w:rsid w:val="00FC4736"/>
    <w:rsid w:val="00FC4B31"/>
    <w:rsid w:val="00FC4C51"/>
    <w:rsid w:val="00FC63DC"/>
    <w:rsid w:val="00FD0483"/>
    <w:rsid w:val="00FD1A2C"/>
    <w:rsid w:val="00FD3BF5"/>
    <w:rsid w:val="00FD464C"/>
    <w:rsid w:val="00FD69C6"/>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C77B-378A-4613-8891-68CD00A6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2945</Words>
  <Characters>17671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Agata Łanica</cp:lastModifiedBy>
  <cp:revision>2</cp:revision>
  <cp:lastPrinted>2023-06-21T07:49:00Z</cp:lastPrinted>
  <dcterms:created xsi:type="dcterms:W3CDTF">2023-06-21T07:50:00Z</dcterms:created>
  <dcterms:modified xsi:type="dcterms:W3CDTF">2023-06-21T07:50:00Z</dcterms:modified>
</cp:coreProperties>
</file>