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09697755" w:rsidR="00A06439" w:rsidRPr="00AD1CCA" w:rsidRDefault="00DF472E" w:rsidP="00D04749">
      <w:pPr>
        <w:jc w:val="center"/>
        <w:rPr>
          <w:rFonts w:ascii="Calibri" w:hAnsi="Calibri"/>
        </w:rPr>
      </w:pPr>
      <w:bookmarkStart w:id="0" w:name="_GoBack"/>
      <w:bookmarkEnd w:id="0"/>
      <w:r w:rsidRPr="001C3958">
        <w:rPr>
          <w:noProof/>
        </w:rPr>
        <w:drawing>
          <wp:inline distT="0" distB="0" distL="0" distR="0" wp14:anchorId="39CD1D4D" wp14:editId="0E1E3DBC">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Default="007C439D" w:rsidP="00A06439">
      <w:pPr>
        <w:jc w:val="center"/>
        <w:rPr>
          <w:rFonts w:ascii="Calibri" w:hAnsi="Calibri"/>
          <w:b/>
          <w:sz w:val="44"/>
          <w:szCs w:val="44"/>
        </w:rPr>
      </w:pPr>
    </w:p>
    <w:p w14:paraId="28F3BEB5" w14:textId="77777777" w:rsidR="00C573BD" w:rsidRDefault="00C573BD" w:rsidP="00A06439">
      <w:pPr>
        <w:jc w:val="center"/>
        <w:rPr>
          <w:rFonts w:ascii="Calibri" w:hAnsi="Calibri"/>
          <w:b/>
          <w:sz w:val="44"/>
          <w:szCs w:val="44"/>
        </w:rPr>
      </w:pPr>
    </w:p>
    <w:p w14:paraId="29E7E512" w14:textId="77777777" w:rsidR="00C573BD" w:rsidRPr="00AD1CCA" w:rsidRDefault="00C573B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7353A363" w:rsidR="00405C00" w:rsidRPr="00AD1CCA" w:rsidRDefault="00BB4691" w:rsidP="00257C1B">
      <w:pPr>
        <w:rPr>
          <w:rFonts w:ascii="Calibri" w:hAnsi="Calibri"/>
          <w:b/>
        </w:rPr>
      </w:pPr>
      <w:r w:rsidRPr="00AD1CCA">
        <w:rPr>
          <w:rFonts w:ascii="Calibri" w:hAnsi="Calibri"/>
          <w:b/>
        </w:rPr>
        <w:t xml:space="preserve">Opole, </w:t>
      </w:r>
      <w:r w:rsidR="00AF16E6">
        <w:rPr>
          <w:rFonts w:ascii="Calibri" w:hAnsi="Calibri"/>
          <w:b/>
        </w:rPr>
        <w:t>czerwiec</w:t>
      </w:r>
      <w:r w:rsidR="00F77322">
        <w:rPr>
          <w:rFonts w:ascii="Calibri" w:hAnsi="Calibri"/>
          <w:b/>
        </w:rPr>
        <w:t xml:space="preserve"> </w:t>
      </w:r>
      <w:r w:rsidR="00EE68F9">
        <w:rPr>
          <w:rFonts w:ascii="Calibri" w:hAnsi="Calibri"/>
          <w:b/>
        </w:rPr>
        <w:t>202</w:t>
      </w:r>
      <w:r w:rsidR="00AF16E6">
        <w:rPr>
          <w:rFonts w:ascii="Calibri" w:hAnsi="Calibri"/>
          <w:b/>
        </w:rPr>
        <w:t>2</w:t>
      </w:r>
      <w:r w:rsidR="00405C00" w:rsidRPr="00AD1CCA">
        <w:rPr>
          <w:rFonts w:ascii="Calibri" w:hAnsi="Calibri"/>
          <w:b/>
        </w:rPr>
        <w:t xml:space="preserve"> r.</w:t>
      </w:r>
    </w:p>
    <w:p w14:paraId="7982B959" w14:textId="404BA9AC" w:rsidR="00BC0C85" w:rsidRPr="00B72A55" w:rsidRDefault="00405C00" w:rsidP="00B72A55">
      <w:pPr>
        <w:tabs>
          <w:tab w:val="left" w:pos="2070"/>
        </w:tabs>
        <w:spacing w:line="276" w:lineRule="auto"/>
        <w:ind w:firstLine="709"/>
        <w:rPr>
          <w:rFonts w:asciiTheme="minorHAnsi" w:hAnsiTheme="minorHAnsi" w:cstheme="minorHAnsi"/>
          <w:szCs w:val="24"/>
        </w:rPr>
      </w:pPr>
      <w:r w:rsidRPr="00AD1CCA">
        <w:rPr>
          <w:rFonts w:ascii="Calibri" w:hAnsi="Calibri"/>
          <w:b/>
        </w:rPr>
        <w:br w:type="page"/>
      </w:r>
      <w:r w:rsidR="00A06439" w:rsidRPr="00B72A55">
        <w:rPr>
          <w:rFonts w:asciiTheme="minorHAnsi" w:hAnsiTheme="minorHAnsi" w:cstheme="minorHAnsi"/>
          <w:szCs w:val="24"/>
        </w:rPr>
        <w:lastRenderedPageBreak/>
        <w:t xml:space="preserve">Integralną częścią wniosku o dofinansowanie realizacji projektu ze środków EFRR </w:t>
      </w:r>
      <w:r w:rsidR="00A21DB8" w:rsidRPr="00B72A55">
        <w:rPr>
          <w:rFonts w:asciiTheme="minorHAnsi" w:hAnsiTheme="minorHAnsi" w:cstheme="minorHAnsi"/>
          <w:szCs w:val="24"/>
        </w:rPr>
        <w:br/>
      </w:r>
      <w:r w:rsidR="00A06439" w:rsidRPr="00B72A55">
        <w:rPr>
          <w:rFonts w:asciiTheme="minorHAnsi" w:hAnsiTheme="minorHAnsi" w:cstheme="minorHAnsi"/>
          <w:szCs w:val="24"/>
        </w:rPr>
        <w:t>w ramach RPO WO 20</w:t>
      </w:r>
      <w:r w:rsidR="00FC6AEA" w:rsidRPr="00B72A55">
        <w:rPr>
          <w:rFonts w:asciiTheme="minorHAnsi" w:hAnsiTheme="minorHAnsi" w:cstheme="minorHAnsi"/>
          <w:szCs w:val="24"/>
        </w:rPr>
        <w:t>14</w:t>
      </w:r>
      <w:r w:rsidR="00A06439" w:rsidRPr="00B72A55">
        <w:rPr>
          <w:rFonts w:asciiTheme="minorHAnsi" w:hAnsiTheme="minorHAnsi" w:cstheme="minorHAnsi"/>
          <w:szCs w:val="24"/>
        </w:rPr>
        <w:t>-20</w:t>
      </w:r>
      <w:r w:rsidR="00FC6AEA" w:rsidRPr="00B72A55">
        <w:rPr>
          <w:rFonts w:asciiTheme="minorHAnsi" w:hAnsiTheme="minorHAnsi" w:cstheme="minorHAnsi"/>
          <w:szCs w:val="24"/>
        </w:rPr>
        <w:t>20</w:t>
      </w:r>
      <w:r w:rsidR="00A06439" w:rsidRPr="00B72A55">
        <w:rPr>
          <w:rFonts w:asciiTheme="minorHAnsi" w:hAnsiTheme="minorHAnsi" w:cstheme="minorHAnsi"/>
          <w:szCs w:val="24"/>
        </w:rPr>
        <w:t xml:space="preserve"> są załączniki, które służą do uzupełniania, uwiarygodniania bądź weryfikacji danych opisywanych we wniosku</w:t>
      </w:r>
      <w:r w:rsidR="007F2699" w:rsidRPr="00B72A55">
        <w:rPr>
          <w:rFonts w:asciiTheme="minorHAnsi" w:hAnsiTheme="minorHAnsi" w:cstheme="minorHAnsi"/>
          <w:szCs w:val="24"/>
        </w:rPr>
        <w:t xml:space="preserve"> o dofinansowanie</w:t>
      </w:r>
      <w:r w:rsidR="00A06439" w:rsidRPr="00B72A55">
        <w:rPr>
          <w:rFonts w:asciiTheme="minorHAnsi" w:hAnsiTheme="minorHAnsi" w:cstheme="minorHAnsi"/>
          <w:szCs w:val="24"/>
        </w:rPr>
        <w:t xml:space="preserve">. </w:t>
      </w:r>
    </w:p>
    <w:p w14:paraId="270D78BB" w14:textId="77777777" w:rsidR="00D84AF0" w:rsidRPr="00AD1CCA" w:rsidRDefault="00D84AF0" w:rsidP="00540AEA">
      <w:pPr>
        <w:spacing w:line="276" w:lineRule="auto"/>
        <w:ind w:firstLine="709"/>
        <w:rPr>
          <w:rFonts w:ascii="Calibri" w:hAnsi="Calibri"/>
          <w:szCs w:val="24"/>
        </w:rPr>
      </w:pPr>
    </w:p>
    <w:p w14:paraId="608075FF" w14:textId="77777777" w:rsidR="009B63DE" w:rsidRPr="008810EF" w:rsidRDefault="00A06439" w:rsidP="00916D3C">
      <w:pPr>
        <w:spacing w:before="120" w:after="120" w:line="360" w:lineRule="auto"/>
        <w:rPr>
          <w:noProof/>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r w:rsidR="006F46DB" w:rsidRPr="006F46DB">
        <w:rPr>
          <w:rFonts w:asciiTheme="minorHAnsi" w:hAnsiTheme="minorHAnsi" w:cstheme="minorHAnsi"/>
          <w:szCs w:val="24"/>
        </w:rPr>
        <w:tab/>
      </w:r>
      <w:r w:rsidR="00920653" w:rsidRPr="006F46DB">
        <w:rPr>
          <w:rFonts w:asciiTheme="minorHAnsi" w:hAnsiTheme="minorHAnsi" w:cstheme="minorHAnsi"/>
          <w:szCs w:val="24"/>
        </w:rPr>
        <w:fldChar w:fldCharType="begin"/>
      </w:r>
      <w:r w:rsidRPr="006F46DB">
        <w:rPr>
          <w:rFonts w:asciiTheme="minorHAnsi" w:hAnsiTheme="minorHAnsi" w:cstheme="minorHAnsi"/>
          <w:szCs w:val="24"/>
        </w:rPr>
        <w:instrText xml:space="preserve"> TOC \o "1-3" \h \z \u </w:instrText>
      </w:r>
      <w:r w:rsidR="00920653" w:rsidRPr="006F46DB">
        <w:rPr>
          <w:rFonts w:asciiTheme="minorHAnsi" w:hAnsiTheme="minorHAnsi" w:cstheme="minorHAnsi"/>
          <w:szCs w:val="24"/>
        </w:rPr>
        <w:fldChar w:fldCharType="separate"/>
      </w:r>
    </w:p>
    <w:p w14:paraId="3B3B9081" w14:textId="3B6A643B" w:rsidR="009B63DE" w:rsidRPr="008810EF" w:rsidRDefault="00784297">
      <w:pPr>
        <w:pStyle w:val="Spistreci3"/>
        <w:rPr>
          <w:rFonts w:asciiTheme="minorHAnsi" w:eastAsiaTheme="minorEastAsia" w:hAnsiTheme="minorHAnsi" w:cstheme="minorBidi"/>
          <w:sz w:val="22"/>
          <w:szCs w:val="22"/>
        </w:rPr>
      </w:pPr>
      <w:hyperlink w:anchor="_Toc54688927" w:history="1">
        <w:r w:rsidR="009B63DE" w:rsidRPr="008810EF">
          <w:rPr>
            <w:rStyle w:val="Hipercze"/>
          </w:rPr>
          <w:t>1.</w:t>
        </w:r>
        <w:r w:rsidR="009B63DE" w:rsidRPr="008810EF">
          <w:rPr>
            <w:rFonts w:asciiTheme="minorHAnsi" w:eastAsiaTheme="minorEastAsia" w:hAnsiTheme="minorHAnsi" w:cstheme="minorBidi"/>
            <w:sz w:val="22"/>
            <w:szCs w:val="22"/>
          </w:rPr>
          <w:tab/>
        </w:r>
        <w:r w:rsidR="009B63DE" w:rsidRPr="008810EF">
          <w:rPr>
            <w:rStyle w:val="Hipercze"/>
          </w:rPr>
          <w:t>STUDIUM WYKONALNOŚCI INWESTYCJI</w:t>
        </w:r>
        <w:r w:rsidR="000E6B68">
          <w:rPr>
            <w:webHidden/>
          </w:rPr>
          <w:t xml:space="preserve"> </w:t>
        </w:r>
        <w:r w:rsidR="000E6B68" w:rsidRPr="000E6B68">
          <w:rPr>
            <w:webHidden/>
          </w:rPr>
          <w:t>…………………………………………………………………</w:t>
        </w:r>
        <w:r w:rsidR="000E6B68">
          <w:rPr>
            <w:webHidden/>
          </w:rPr>
          <w:t xml:space="preserve"> </w:t>
        </w:r>
        <w:r w:rsidR="009B63DE" w:rsidRPr="008810EF">
          <w:rPr>
            <w:webHidden/>
          </w:rPr>
          <w:fldChar w:fldCharType="begin"/>
        </w:r>
        <w:r w:rsidR="009B63DE" w:rsidRPr="008810EF">
          <w:rPr>
            <w:webHidden/>
          </w:rPr>
          <w:instrText xml:space="preserve"> PAGEREF _Toc54688927 \h </w:instrText>
        </w:r>
        <w:r w:rsidR="009B63DE" w:rsidRPr="008810EF">
          <w:rPr>
            <w:webHidden/>
          </w:rPr>
        </w:r>
        <w:r w:rsidR="009B63DE" w:rsidRPr="008810EF">
          <w:rPr>
            <w:webHidden/>
          </w:rPr>
          <w:fldChar w:fldCharType="separate"/>
        </w:r>
        <w:r w:rsidR="000E6B68">
          <w:rPr>
            <w:webHidden/>
          </w:rPr>
          <w:t>4</w:t>
        </w:r>
        <w:r w:rsidR="009B63DE" w:rsidRPr="008810EF">
          <w:rPr>
            <w:webHidden/>
          </w:rPr>
          <w:fldChar w:fldCharType="end"/>
        </w:r>
      </w:hyperlink>
    </w:p>
    <w:p w14:paraId="772368AC" w14:textId="77777777" w:rsidR="009B63DE" w:rsidRPr="008810EF" w:rsidRDefault="00784297">
      <w:pPr>
        <w:pStyle w:val="Spistreci1"/>
        <w:rPr>
          <w:rFonts w:asciiTheme="minorHAnsi" w:eastAsiaTheme="minorEastAsia" w:hAnsiTheme="minorHAnsi" w:cstheme="minorBidi"/>
          <w:noProof/>
          <w:sz w:val="22"/>
          <w:szCs w:val="22"/>
        </w:rPr>
      </w:pPr>
      <w:hyperlink w:anchor="_Toc54688928" w:history="1">
        <w:r w:rsidR="009B63DE" w:rsidRPr="008810EF">
          <w:rPr>
            <w:rStyle w:val="Hipercze"/>
            <w:rFonts w:ascii="Calibri" w:hAnsi="Calibri"/>
            <w:noProof/>
          </w:rPr>
          <w:t>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SŁOWNIK POJĘĆ</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_Toc54688928 \h </w:instrText>
        </w:r>
        <w:r w:rsidR="009B63DE" w:rsidRPr="008810EF">
          <w:rPr>
            <w:noProof/>
            <w:webHidden/>
          </w:rPr>
        </w:r>
        <w:r w:rsidR="009B63DE" w:rsidRPr="008810EF">
          <w:rPr>
            <w:noProof/>
            <w:webHidden/>
          </w:rPr>
          <w:fldChar w:fldCharType="separate"/>
        </w:r>
        <w:r w:rsidR="000E6B68">
          <w:rPr>
            <w:noProof/>
            <w:webHidden/>
          </w:rPr>
          <w:t>5</w:t>
        </w:r>
        <w:r w:rsidR="009B63DE" w:rsidRPr="008810EF">
          <w:rPr>
            <w:noProof/>
            <w:webHidden/>
          </w:rPr>
          <w:fldChar w:fldCharType="end"/>
        </w:r>
      </w:hyperlink>
    </w:p>
    <w:p w14:paraId="24737716" w14:textId="77777777" w:rsidR="009B63DE" w:rsidRPr="008810EF" w:rsidRDefault="00784297">
      <w:pPr>
        <w:pStyle w:val="Spistreci1"/>
        <w:rPr>
          <w:rFonts w:asciiTheme="minorHAnsi" w:eastAsiaTheme="minorEastAsia" w:hAnsiTheme="minorHAnsi" w:cstheme="minorBidi"/>
          <w:noProof/>
          <w:sz w:val="22"/>
          <w:szCs w:val="22"/>
        </w:rPr>
      </w:pPr>
      <w:hyperlink w:anchor="_Toc54688929" w:history="1">
        <w:r w:rsidR="009B63DE" w:rsidRPr="008810EF">
          <w:rPr>
            <w:rStyle w:val="Hipercze"/>
            <w:rFonts w:ascii="Calibri" w:hAnsi="Calibri"/>
            <w:noProof/>
          </w:rPr>
          <w:t>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WSTĘP</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_Toc54688929 \h </w:instrText>
        </w:r>
        <w:r w:rsidR="009B63DE" w:rsidRPr="008810EF">
          <w:rPr>
            <w:noProof/>
            <w:webHidden/>
          </w:rPr>
        </w:r>
        <w:r w:rsidR="009B63DE" w:rsidRPr="008810EF">
          <w:rPr>
            <w:noProof/>
            <w:webHidden/>
          </w:rPr>
          <w:fldChar w:fldCharType="separate"/>
        </w:r>
        <w:r w:rsidR="000E6B68">
          <w:rPr>
            <w:noProof/>
            <w:webHidden/>
          </w:rPr>
          <w:t>23</w:t>
        </w:r>
        <w:r w:rsidR="009B63DE" w:rsidRPr="008810EF">
          <w:rPr>
            <w:noProof/>
            <w:webHidden/>
          </w:rPr>
          <w:fldChar w:fldCharType="end"/>
        </w:r>
      </w:hyperlink>
    </w:p>
    <w:p w14:paraId="7CAC5058" w14:textId="77777777" w:rsidR="009B63DE" w:rsidRPr="008810EF" w:rsidRDefault="00784297">
      <w:pPr>
        <w:pStyle w:val="Spistreci1"/>
        <w:rPr>
          <w:rFonts w:asciiTheme="minorHAnsi" w:eastAsiaTheme="minorEastAsia" w:hAnsiTheme="minorHAnsi" w:cstheme="minorBidi"/>
          <w:noProof/>
          <w:sz w:val="22"/>
          <w:szCs w:val="22"/>
        </w:rPr>
      </w:pPr>
      <w:hyperlink w:anchor="_Toc54688930" w:history="1">
        <w:r w:rsidR="009B63DE" w:rsidRPr="008810EF">
          <w:rPr>
            <w:rStyle w:val="Hipercze"/>
            <w:rFonts w:ascii="Calibri" w:hAnsi="Calibri"/>
            <w:noProof/>
          </w:rPr>
          <w:t>1.1.3.</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IDENTYFIKACJA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_Toc54688930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79933980" w14:textId="77777777" w:rsidR="009B63DE" w:rsidRPr="008810EF" w:rsidRDefault="00784297">
      <w:pPr>
        <w:pStyle w:val="Spistreci1"/>
        <w:rPr>
          <w:rFonts w:asciiTheme="minorHAnsi" w:eastAsiaTheme="minorEastAsia" w:hAnsiTheme="minorHAnsi" w:cstheme="minorBidi"/>
          <w:noProof/>
          <w:sz w:val="22"/>
          <w:szCs w:val="22"/>
        </w:rPr>
      </w:pPr>
      <w:hyperlink w:anchor="_Toc54688931" w:history="1">
        <w:r w:rsidR="009B63DE" w:rsidRPr="008810EF">
          <w:rPr>
            <w:rStyle w:val="Hipercze"/>
            <w:rFonts w:ascii="Calibri" w:hAnsi="Calibri"/>
            <w:noProof/>
          </w:rPr>
          <w:t>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DEFINICJA CELÓW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_Toc54688931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2011D551" w14:textId="77777777" w:rsidR="009B63DE" w:rsidRPr="008810EF" w:rsidRDefault="00784297">
      <w:pPr>
        <w:pStyle w:val="Spistreci1"/>
        <w:rPr>
          <w:rFonts w:asciiTheme="minorHAnsi" w:eastAsiaTheme="minorEastAsia" w:hAnsiTheme="minorHAnsi" w:cstheme="minorBidi"/>
          <w:noProof/>
          <w:sz w:val="22"/>
          <w:szCs w:val="22"/>
        </w:rPr>
      </w:pPr>
      <w:hyperlink w:anchor="_Toc54688932" w:history="1">
        <w:r w:rsidR="009B63DE" w:rsidRPr="008810EF">
          <w:rPr>
            <w:rStyle w:val="Hipercze"/>
            <w:rFonts w:ascii="Calibri" w:hAnsi="Calibri"/>
            <w:noProof/>
          </w:rPr>
          <w:t>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INSTYTUCJONALNA I WYKONALNOŚCI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_Toc54688932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67315AF7" w14:textId="77777777" w:rsidR="009B63DE" w:rsidRPr="008810EF" w:rsidRDefault="00784297">
      <w:pPr>
        <w:pStyle w:val="Spistreci1"/>
        <w:rPr>
          <w:rFonts w:asciiTheme="minorHAnsi" w:eastAsiaTheme="minorEastAsia" w:hAnsiTheme="minorHAnsi" w:cstheme="minorBidi"/>
          <w:noProof/>
          <w:sz w:val="22"/>
          <w:szCs w:val="22"/>
        </w:rPr>
      </w:pPr>
      <w:hyperlink w:anchor="_Toc54688933" w:history="1">
        <w:r w:rsidR="009B63DE" w:rsidRPr="008810EF">
          <w:rPr>
            <w:rStyle w:val="Hipercze"/>
            <w:rFonts w:ascii="Calibri" w:hAnsi="Calibri"/>
            <w:noProof/>
          </w:rPr>
          <w:t>1.1.6.</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POPYTU ORAZ OPCJI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_Toc54688933 \h </w:instrText>
        </w:r>
        <w:r w:rsidR="009B63DE" w:rsidRPr="008810EF">
          <w:rPr>
            <w:noProof/>
            <w:webHidden/>
          </w:rPr>
        </w:r>
        <w:r w:rsidR="009B63DE" w:rsidRPr="008810EF">
          <w:rPr>
            <w:noProof/>
            <w:webHidden/>
          </w:rPr>
          <w:fldChar w:fldCharType="separate"/>
        </w:r>
        <w:r w:rsidR="000E6B68">
          <w:rPr>
            <w:noProof/>
            <w:webHidden/>
          </w:rPr>
          <w:t>27</w:t>
        </w:r>
        <w:r w:rsidR="009B63DE" w:rsidRPr="008810EF">
          <w:rPr>
            <w:noProof/>
            <w:webHidden/>
          </w:rPr>
          <w:fldChar w:fldCharType="end"/>
        </w:r>
      </w:hyperlink>
    </w:p>
    <w:p w14:paraId="6B7BAE10" w14:textId="77777777" w:rsidR="009B63DE" w:rsidRPr="008810EF" w:rsidRDefault="00784297">
      <w:pPr>
        <w:pStyle w:val="Spistreci1"/>
        <w:rPr>
          <w:rFonts w:asciiTheme="minorHAnsi" w:eastAsiaTheme="minorEastAsia" w:hAnsiTheme="minorHAnsi" w:cstheme="minorBidi"/>
          <w:noProof/>
          <w:sz w:val="22"/>
          <w:szCs w:val="22"/>
        </w:rPr>
      </w:pPr>
      <w:hyperlink w:anchor="_Toc54688934" w:history="1">
        <w:r w:rsidR="009B63DE" w:rsidRPr="008810EF">
          <w:rPr>
            <w:rStyle w:val="Hipercze"/>
            <w:rFonts w:ascii="Calibri" w:hAnsi="Calibri"/>
            <w:noProof/>
          </w:rPr>
          <w:t>1.1.7.</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ZASTOSOWANE UPROSZCZONE METODY ROZLICZANIA WYDATKÓW</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_Toc54688934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02D19114" w14:textId="77777777" w:rsidR="009B63DE" w:rsidRPr="008810EF" w:rsidRDefault="00784297">
      <w:pPr>
        <w:pStyle w:val="Spistreci1"/>
        <w:rPr>
          <w:rFonts w:asciiTheme="minorHAnsi" w:eastAsiaTheme="minorEastAsia" w:hAnsiTheme="minorHAnsi" w:cstheme="minorBidi"/>
          <w:noProof/>
          <w:sz w:val="22"/>
          <w:szCs w:val="22"/>
        </w:rPr>
      </w:pPr>
      <w:hyperlink w:anchor="_Toc54688935" w:history="1">
        <w:r w:rsidR="009B63DE" w:rsidRPr="008810EF">
          <w:rPr>
            <w:rStyle w:val="Hipercze"/>
            <w:rFonts w:ascii="Calibri" w:hAnsi="Calibri"/>
            <w:noProof/>
          </w:rPr>
          <w:t>1.1.8.</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FINANSOWA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_Toc54688935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3CB76A15" w14:textId="77777777" w:rsidR="009B63DE" w:rsidRPr="008810EF" w:rsidRDefault="00784297">
      <w:pPr>
        <w:pStyle w:val="Spistreci1"/>
        <w:rPr>
          <w:rFonts w:asciiTheme="minorHAnsi" w:eastAsiaTheme="minorEastAsia" w:hAnsiTheme="minorHAnsi" w:cstheme="minorBidi"/>
          <w:noProof/>
          <w:sz w:val="22"/>
          <w:szCs w:val="22"/>
        </w:rPr>
      </w:pPr>
      <w:hyperlink w:anchor="_Toc54688936" w:history="1">
        <w:r w:rsidR="009B63DE" w:rsidRPr="008810EF">
          <w:rPr>
            <w:rStyle w:val="Hipercze"/>
            <w:rFonts w:ascii="Calibri" w:hAnsi="Calibri"/>
            <w:noProof/>
          </w:rPr>
          <w:t>1.1.9.</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EKONOMICZNA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_Toc54688936 \h </w:instrText>
        </w:r>
        <w:r w:rsidR="009B63DE" w:rsidRPr="008810EF">
          <w:rPr>
            <w:noProof/>
            <w:webHidden/>
          </w:rPr>
        </w:r>
        <w:r w:rsidR="009B63DE" w:rsidRPr="008810EF">
          <w:rPr>
            <w:noProof/>
            <w:webHidden/>
          </w:rPr>
          <w:fldChar w:fldCharType="separate"/>
        </w:r>
        <w:r w:rsidR="000E6B68">
          <w:rPr>
            <w:noProof/>
            <w:webHidden/>
          </w:rPr>
          <w:t>53</w:t>
        </w:r>
        <w:r w:rsidR="009B63DE" w:rsidRPr="008810EF">
          <w:rPr>
            <w:noProof/>
            <w:webHidden/>
          </w:rPr>
          <w:fldChar w:fldCharType="end"/>
        </w:r>
      </w:hyperlink>
    </w:p>
    <w:p w14:paraId="636D7BD9" w14:textId="77777777" w:rsidR="009B63DE" w:rsidRPr="008810EF" w:rsidRDefault="00784297">
      <w:pPr>
        <w:pStyle w:val="Spistreci1"/>
        <w:rPr>
          <w:rFonts w:asciiTheme="minorHAnsi" w:eastAsiaTheme="minorEastAsia" w:hAnsiTheme="minorHAnsi" w:cstheme="minorBidi"/>
          <w:noProof/>
          <w:sz w:val="22"/>
          <w:szCs w:val="22"/>
        </w:rPr>
      </w:pPr>
      <w:hyperlink w:anchor="_Toc54688937" w:history="1">
        <w:r w:rsidR="009B63DE" w:rsidRPr="008810EF">
          <w:rPr>
            <w:rStyle w:val="Hipercze"/>
            <w:rFonts w:ascii="Calibri" w:hAnsi="Calibri"/>
            <w:noProof/>
          </w:rPr>
          <w:t>1.1.10.</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RYZYKA I WRAŻLIWOŚCI: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_Toc54688937 \h </w:instrText>
        </w:r>
        <w:r w:rsidR="009B63DE" w:rsidRPr="008810EF">
          <w:rPr>
            <w:noProof/>
            <w:webHidden/>
          </w:rPr>
        </w:r>
        <w:r w:rsidR="009B63DE" w:rsidRPr="008810EF">
          <w:rPr>
            <w:noProof/>
            <w:webHidden/>
          </w:rPr>
          <w:fldChar w:fldCharType="separate"/>
        </w:r>
        <w:r w:rsidR="000E6B68">
          <w:rPr>
            <w:noProof/>
            <w:webHidden/>
          </w:rPr>
          <w:t>58</w:t>
        </w:r>
        <w:r w:rsidR="009B63DE" w:rsidRPr="008810EF">
          <w:rPr>
            <w:noProof/>
            <w:webHidden/>
          </w:rPr>
          <w:fldChar w:fldCharType="end"/>
        </w:r>
      </w:hyperlink>
    </w:p>
    <w:p w14:paraId="7A352AF7" w14:textId="77777777" w:rsidR="009B63DE" w:rsidRPr="008810EF" w:rsidRDefault="00784297">
      <w:pPr>
        <w:pStyle w:val="Spistreci1"/>
        <w:rPr>
          <w:rFonts w:asciiTheme="minorHAnsi" w:eastAsiaTheme="minorEastAsia" w:hAnsiTheme="minorHAnsi" w:cstheme="minorBidi"/>
          <w:noProof/>
          <w:sz w:val="22"/>
          <w:szCs w:val="22"/>
        </w:rPr>
      </w:pPr>
      <w:hyperlink w:anchor="_Toc54688938" w:history="1">
        <w:r w:rsidR="009B63DE" w:rsidRPr="008810EF">
          <w:rPr>
            <w:rStyle w:val="Hipercze"/>
            <w:rFonts w:ascii="Calibri" w:hAnsi="Calibri"/>
            <w:noProof/>
          </w:rPr>
          <w:t>1.1.11.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STOSOWANIE PODEJŚCIA SZCZEGÓŁOWEGO</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_Toc54688938 \h </w:instrText>
        </w:r>
        <w:r w:rsidR="009B63DE" w:rsidRPr="008810EF">
          <w:rPr>
            <w:noProof/>
            <w:webHidden/>
          </w:rPr>
        </w:r>
        <w:r w:rsidR="009B63DE" w:rsidRPr="008810EF">
          <w:rPr>
            <w:noProof/>
            <w:webHidden/>
          </w:rPr>
          <w:fldChar w:fldCharType="separate"/>
        </w:r>
        <w:r w:rsidR="000E6B68">
          <w:rPr>
            <w:noProof/>
            <w:webHidden/>
          </w:rPr>
          <w:t>60</w:t>
        </w:r>
        <w:r w:rsidR="009B63DE" w:rsidRPr="008810EF">
          <w:rPr>
            <w:noProof/>
            <w:webHidden/>
          </w:rPr>
          <w:fldChar w:fldCharType="end"/>
        </w:r>
      </w:hyperlink>
    </w:p>
    <w:p w14:paraId="64BE3E97" w14:textId="77777777" w:rsidR="009B63DE" w:rsidRPr="008810EF" w:rsidRDefault="00784297">
      <w:pPr>
        <w:pStyle w:val="Spistreci1"/>
        <w:rPr>
          <w:rFonts w:asciiTheme="minorHAnsi" w:eastAsiaTheme="minorEastAsia" w:hAnsiTheme="minorHAnsi" w:cstheme="minorBidi"/>
          <w:noProof/>
          <w:sz w:val="22"/>
          <w:szCs w:val="22"/>
        </w:rPr>
      </w:pPr>
      <w:hyperlink w:anchor="_Toc54688939" w:history="1">
        <w:r w:rsidR="009B63DE" w:rsidRPr="008810EF">
          <w:rPr>
            <w:rStyle w:val="Hipercze"/>
            <w:rFonts w:ascii="Calibri" w:hAnsi="Calibri"/>
            <w:noProof/>
          </w:rPr>
          <w:t>1.1.12.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SPECYFICZNE ANALIZY DLA DANEGO RODZAJU PROJEKTU/SEKTORA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_Toc54688939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174003E" w14:textId="77777777" w:rsidR="009B63DE" w:rsidRPr="008810EF" w:rsidRDefault="00784297">
      <w:pPr>
        <w:pStyle w:val="Spistreci1"/>
        <w:rPr>
          <w:rFonts w:asciiTheme="minorHAnsi" w:eastAsiaTheme="minorEastAsia" w:hAnsiTheme="minorHAnsi" w:cstheme="minorBidi"/>
          <w:noProof/>
          <w:sz w:val="22"/>
          <w:szCs w:val="22"/>
        </w:rPr>
      </w:pPr>
      <w:hyperlink w:anchor="_Toc54688940" w:history="1">
        <w:r w:rsidR="009B63DE" w:rsidRPr="008810EF">
          <w:rPr>
            <w:rStyle w:val="Hipercze"/>
            <w:rFonts w:ascii="Calibri" w:hAnsi="Calibri"/>
            <w:noProof/>
          </w:rPr>
          <w:t>1.1.14.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PROMOCJA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_Toc54688940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0A3A3F1E" w14:textId="77777777" w:rsidR="009B63DE" w:rsidRPr="008810EF" w:rsidRDefault="00784297">
      <w:pPr>
        <w:pStyle w:val="Spistreci1"/>
        <w:rPr>
          <w:rFonts w:asciiTheme="minorHAnsi" w:eastAsiaTheme="minorEastAsia" w:hAnsiTheme="minorHAnsi" w:cstheme="minorBidi"/>
          <w:noProof/>
          <w:sz w:val="22"/>
          <w:szCs w:val="22"/>
        </w:rPr>
      </w:pPr>
      <w:hyperlink w:anchor="_Toc54688941" w:history="1">
        <w:r w:rsidR="009B63DE" w:rsidRPr="008810EF">
          <w:rPr>
            <w:rStyle w:val="Hipercze"/>
            <w:rFonts w:ascii="Calibri" w:hAnsi="Calibri"/>
            <w:noProof/>
          </w:rPr>
          <w:t>1.1.15.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PROJEKTY HYBRYDOWE</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_Toc54688941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7940749" w14:textId="77777777" w:rsidR="009B63DE" w:rsidRPr="008810EF" w:rsidRDefault="00784297">
      <w:pPr>
        <w:pStyle w:val="Spistreci3"/>
        <w:rPr>
          <w:rFonts w:asciiTheme="minorHAnsi" w:eastAsiaTheme="minorEastAsia" w:hAnsiTheme="minorHAnsi" w:cstheme="minorBidi"/>
          <w:sz w:val="22"/>
          <w:szCs w:val="22"/>
        </w:rPr>
      </w:pPr>
      <w:hyperlink w:anchor="_Toc54688942" w:history="1">
        <w:r w:rsidR="009B63DE" w:rsidRPr="008810EF">
          <w:rPr>
            <w:rStyle w:val="Hipercze"/>
            <w:bCs/>
          </w:rPr>
          <w:t>2.</w:t>
        </w:r>
        <w:r w:rsidR="009B63DE" w:rsidRPr="008810EF">
          <w:rPr>
            <w:rFonts w:asciiTheme="minorHAnsi" w:eastAsiaTheme="minorEastAsia" w:hAnsiTheme="minorHAnsi" w:cstheme="minorBidi"/>
            <w:sz w:val="22"/>
            <w:szCs w:val="22"/>
          </w:rPr>
          <w:tab/>
        </w:r>
        <w:r w:rsidR="009B63DE" w:rsidRPr="008810EF">
          <w:rPr>
            <w:rStyle w:val="Hipercze"/>
            <w:bCs/>
          </w:rPr>
          <w:t>FORMULARZ W ZAKRESIE OCENY ODDZIAŁYWANIA NA ŚRODOWISKO</w:t>
        </w:r>
        <w:r w:rsidR="009B63DE" w:rsidRPr="008810EF">
          <w:rPr>
            <w:webHidden/>
          </w:rPr>
          <w:tab/>
        </w:r>
        <w:r w:rsidR="009B63DE" w:rsidRPr="008810EF">
          <w:rPr>
            <w:webHidden/>
          </w:rPr>
          <w:fldChar w:fldCharType="begin"/>
        </w:r>
        <w:r w:rsidR="009B63DE" w:rsidRPr="008810EF">
          <w:rPr>
            <w:webHidden/>
          </w:rPr>
          <w:instrText xml:space="preserve"> PAGEREF _Toc54688942 \h </w:instrText>
        </w:r>
        <w:r w:rsidR="009B63DE" w:rsidRPr="008810EF">
          <w:rPr>
            <w:webHidden/>
          </w:rPr>
        </w:r>
        <w:r w:rsidR="009B63DE" w:rsidRPr="008810EF">
          <w:rPr>
            <w:webHidden/>
          </w:rPr>
          <w:fldChar w:fldCharType="separate"/>
        </w:r>
        <w:r w:rsidR="000E6B68">
          <w:rPr>
            <w:webHidden/>
          </w:rPr>
          <w:t>67</w:t>
        </w:r>
        <w:r w:rsidR="009B63DE" w:rsidRPr="008810EF">
          <w:rPr>
            <w:webHidden/>
          </w:rPr>
          <w:fldChar w:fldCharType="end"/>
        </w:r>
      </w:hyperlink>
    </w:p>
    <w:p w14:paraId="04E86DDD" w14:textId="77777777" w:rsidR="009B63DE" w:rsidRPr="008810EF" w:rsidRDefault="00784297">
      <w:pPr>
        <w:pStyle w:val="Spistreci3"/>
        <w:rPr>
          <w:rFonts w:asciiTheme="minorHAnsi" w:eastAsiaTheme="minorEastAsia" w:hAnsiTheme="minorHAnsi" w:cstheme="minorBidi"/>
          <w:sz w:val="22"/>
          <w:szCs w:val="22"/>
        </w:rPr>
      </w:pPr>
      <w:hyperlink w:anchor="_Toc54688943" w:history="1">
        <w:r w:rsidR="009B63DE" w:rsidRPr="008810EF">
          <w:rPr>
            <w:rStyle w:val="Hipercze"/>
            <w:bCs/>
          </w:rPr>
          <w:t>2.1.</w:t>
        </w:r>
        <w:r w:rsidR="009B63DE" w:rsidRPr="008810EF">
          <w:rPr>
            <w:rFonts w:asciiTheme="minorHAnsi" w:eastAsiaTheme="minorEastAsia" w:hAnsiTheme="minorHAnsi" w:cstheme="minorBidi"/>
            <w:sz w:val="22"/>
            <w:szCs w:val="22"/>
          </w:rPr>
          <w:tab/>
        </w:r>
        <w:r w:rsidR="009B63DE" w:rsidRPr="008810EF">
          <w:rPr>
            <w:rStyle w:val="Hipercze"/>
            <w:bCs/>
          </w:rPr>
          <w:t>INSTRUKCJA WYPEŁNIANIA FORMULARZA</w:t>
        </w:r>
        <w:r w:rsidR="009B63DE" w:rsidRPr="008810EF">
          <w:rPr>
            <w:webHidden/>
          </w:rPr>
          <w:tab/>
        </w:r>
        <w:r w:rsidR="009B63DE" w:rsidRPr="008810EF">
          <w:rPr>
            <w:webHidden/>
          </w:rPr>
          <w:fldChar w:fldCharType="begin"/>
        </w:r>
        <w:r w:rsidR="009B63DE" w:rsidRPr="008810EF">
          <w:rPr>
            <w:webHidden/>
          </w:rPr>
          <w:instrText xml:space="preserve"> PAGEREF _Toc54688943 \h </w:instrText>
        </w:r>
        <w:r w:rsidR="009B63DE" w:rsidRPr="008810EF">
          <w:rPr>
            <w:webHidden/>
          </w:rPr>
        </w:r>
        <w:r w:rsidR="009B63DE" w:rsidRPr="008810EF">
          <w:rPr>
            <w:webHidden/>
          </w:rPr>
          <w:fldChar w:fldCharType="separate"/>
        </w:r>
        <w:r w:rsidR="000E6B68">
          <w:rPr>
            <w:webHidden/>
          </w:rPr>
          <w:t>70</w:t>
        </w:r>
        <w:r w:rsidR="009B63DE" w:rsidRPr="008810EF">
          <w:rPr>
            <w:webHidden/>
          </w:rPr>
          <w:fldChar w:fldCharType="end"/>
        </w:r>
      </w:hyperlink>
    </w:p>
    <w:p w14:paraId="63CB71F4" w14:textId="77777777" w:rsidR="009B63DE" w:rsidRPr="008810EF" w:rsidRDefault="00784297">
      <w:pPr>
        <w:pStyle w:val="Spistreci3"/>
        <w:rPr>
          <w:rFonts w:asciiTheme="minorHAnsi" w:eastAsiaTheme="minorEastAsia" w:hAnsiTheme="minorHAnsi" w:cstheme="minorBidi"/>
          <w:sz w:val="22"/>
          <w:szCs w:val="22"/>
        </w:rPr>
      </w:pPr>
      <w:hyperlink w:anchor="_Toc54688944" w:history="1">
        <w:r w:rsidR="009B63DE" w:rsidRPr="008810EF">
          <w:rPr>
            <w:rStyle w:val="Hipercze"/>
          </w:rPr>
          <w:t>3.</w:t>
        </w:r>
        <w:r w:rsidR="009B63DE" w:rsidRPr="008810EF">
          <w:rPr>
            <w:rFonts w:asciiTheme="minorHAnsi" w:eastAsiaTheme="minorEastAsia" w:hAnsiTheme="minorHAnsi" w:cstheme="minorBidi"/>
            <w:sz w:val="22"/>
            <w:szCs w:val="22"/>
          </w:rPr>
          <w:tab/>
        </w:r>
        <w:r w:rsidR="009B63DE" w:rsidRPr="008810EF">
          <w:rPr>
            <w:rStyle w:val="Hipercze"/>
          </w:rPr>
          <w:t>KOPIA POZWOLENIA NA BUDOWĘ, ZEZWOLENIA NA REALIZACJĘ INWESTYCJI DROGOWEJ BĄDŹ ZGŁOSZENIA BUDOWY LUB DOKUMENTY DOTYCZĄCE ZAGOSPODAROWANIA PRZESTRZENNEGO.</w:t>
        </w:r>
        <w:r w:rsidR="009B63DE" w:rsidRPr="008810EF">
          <w:rPr>
            <w:webHidden/>
          </w:rPr>
          <w:tab/>
        </w:r>
        <w:r w:rsidR="009B63DE" w:rsidRPr="008810EF">
          <w:rPr>
            <w:webHidden/>
          </w:rPr>
          <w:fldChar w:fldCharType="begin"/>
        </w:r>
        <w:r w:rsidR="009B63DE" w:rsidRPr="008810EF">
          <w:rPr>
            <w:webHidden/>
          </w:rPr>
          <w:instrText xml:space="preserve"> PAGEREF _Toc54688944 \h </w:instrText>
        </w:r>
        <w:r w:rsidR="009B63DE" w:rsidRPr="008810EF">
          <w:rPr>
            <w:webHidden/>
          </w:rPr>
        </w:r>
        <w:r w:rsidR="009B63DE" w:rsidRPr="008810EF">
          <w:rPr>
            <w:webHidden/>
          </w:rPr>
          <w:fldChar w:fldCharType="separate"/>
        </w:r>
        <w:r w:rsidR="000E6B68">
          <w:rPr>
            <w:webHidden/>
          </w:rPr>
          <w:t>88</w:t>
        </w:r>
        <w:r w:rsidR="009B63DE" w:rsidRPr="008810EF">
          <w:rPr>
            <w:webHidden/>
          </w:rPr>
          <w:fldChar w:fldCharType="end"/>
        </w:r>
      </w:hyperlink>
    </w:p>
    <w:p w14:paraId="0EDF801A" w14:textId="1F9A8ECF" w:rsidR="009B63DE" w:rsidRPr="008810EF" w:rsidRDefault="00784297">
      <w:pPr>
        <w:pStyle w:val="Spistreci3"/>
        <w:rPr>
          <w:rFonts w:asciiTheme="minorHAnsi" w:eastAsiaTheme="minorEastAsia" w:hAnsiTheme="minorHAnsi" w:cstheme="minorBidi"/>
          <w:sz w:val="22"/>
          <w:szCs w:val="22"/>
        </w:rPr>
      </w:pPr>
      <w:hyperlink w:anchor="_Toc54688945" w:history="1">
        <w:r w:rsidR="009B63DE" w:rsidRPr="008810EF">
          <w:rPr>
            <w:rStyle w:val="Hipercze"/>
          </w:rPr>
          <w:t>4.</w:t>
        </w:r>
        <w:r w:rsidR="009B63DE" w:rsidRPr="008810EF">
          <w:rPr>
            <w:rFonts w:asciiTheme="minorHAnsi" w:eastAsiaTheme="minorEastAsia" w:hAnsiTheme="minorHAnsi" w:cstheme="minorBidi"/>
            <w:sz w:val="22"/>
            <w:szCs w:val="22"/>
          </w:rPr>
          <w:tab/>
        </w:r>
        <w:r w:rsidR="009B63DE" w:rsidRPr="008810EF">
          <w:rPr>
            <w:rStyle w:val="Hipercze"/>
          </w:rPr>
          <w:t>WYCIĄG Z DOKUMENTACJI TECHNICZNEJ LUB PROGRAM FUNKCJONALNO-UŻYTKOWY</w:t>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_Toc54688945 \h </w:instrText>
        </w:r>
        <w:r w:rsidR="009B63DE" w:rsidRPr="008810EF">
          <w:rPr>
            <w:webHidden/>
          </w:rPr>
        </w:r>
        <w:r w:rsidR="009B63DE" w:rsidRPr="008810EF">
          <w:rPr>
            <w:webHidden/>
          </w:rPr>
          <w:fldChar w:fldCharType="separate"/>
        </w:r>
        <w:r w:rsidR="000E6B68">
          <w:rPr>
            <w:webHidden/>
          </w:rPr>
          <w:t>90</w:t>
        </w:r>
        <w:r w:rsidR="009B63DE" w:rsidRPr="008810EF">
          <w:rPr>
            <w:webHidden/>
          </w:rPr>
          <w:fldChar w:fldCharType="end"/>
        </w:r>
      </w:hyperlink>
    </w:p>
    <w:p w14:paraId="2F420C7C" w14:textId="77777777" w:rsidR="009B63DE" w:rsidRPr="008810EF" w:rsidRDefault="00784297">
      <w:pPr>
        <w:pStyle w:val="Spistreci3"/>
        <w:rPr>
          <w:rFonts w:asciiTheme="minorHAnsi" w:eastAsiaTheme="minorEastAsia" w:hAnsiTheme="minorHAnsi" w:cstheme="minorBidi"/>
          <w:sz w:val="22"/>
          <w:szCs w:val="22"/>
        </w:rPr>
      </w:pPr>
      <w:hyperlink w:anchor="_Toc54688946" w:history="1">
        <w:r w:rsidR="009B63DE" w:rsidRPr="008810EF">
          <w:rPr>
            <w:rStyle w:val="Hipercze"/>
          </w:rPr>
          <w:t>5.</w:t>
        </w:r>
        <w:r w:rsidR="009B63DE" w:rsidRPr="008810EF">
          <w:rPr>
            <w:rFonts w:asciiTheme="minorHAnsi" w:eastAsiaTheme="minorEastAsia" w:hAnsiTheme="minorHAnsi" w:cstheme="minorBidi"/>
            <w:sz w:val="22"/>
            <w:szCs w:val="22"/>
          </w:rPr>
          <w:tab/>
        </w:r>
        <w:r w:rsidR="009B63DE" w:rsidRPr="008810EF">
          <w:rPr>
            <w:rStyle w:val="Hipercze"/>
          </w:rPr>
          <w:t>ZESTAWIENIE ZAKUPYWANEGO SPRZĘTU, WARTOŚCI NIEMATERIALNYCH I PRAWNYCH</w:t>
        </w:r>
        <w:r w:rsidR="009B63DE" w:rsidRPr="008810EF">
          <w:rPr>
            <w:webHidden/>
          </w:rPr>
          <w:tab/>
        </w:r>
        <w:r w:rsidR="009B63DE" w:rsidRPr="008810EF">
          <w:rPr>
            <w:webHidden/>
          </w:rPr>
          <w:fldChar w:fldCharType="begin"/>
        </w:r>
        <w:r w:rsidR="009B63DE" w:rsidRPr="008810EF">
          <w:rPr>
            <w:webHidden/>
          </w:rPr>
          <w:instrText xml:space="preserve"> PAGEREF _Toc54688946 \h </w:instrText>
        </w:r>
        <w:r w:rsidR="009B63DE" w:rsidRPr="008810EF">
          <w:rPr>
            <w:webHidden/>
          </w:rPr>
        </w:r>
        <w:r w:rsidR="009B63DE" w:rsidRPr="008810EF">
          <w:rPr>
            <w:webHidden/>
          </w:rPr>
          <w:fldChar w:fldCharType="separate"/>
        </w:r>
        <w:r w:rsidR="000E6B68">
          <w:rPr>
            <w:webHidden/>
          </w:rPr>
          <w:t>92</w:t>
        </w:r>
        <w:r w:rsidR="009B63DE" w:rsidRPr="008810EF">
          <w:rPr>
            <w:webHidden/>
          </w:rPr>
          <w:fldChar w:fldCharType="end"/>
        </w:r>
      </w:hyperlink>
    </w:p>
    <w:p w14:paraId="13E5BCE1" w14:textId="77777777" w:rsidR="009B63DE" w:rsidRPr="008810EF" w:rsidRDefault="00784297">
      <w:pPr>
        <w:pStyle w:val="Spistreci3"/>
        <w:rPr>
          <w:rFonts w:asciiTheme="minorHAnsi" w:eastAsiaTheme="minorEastAsia" w:hAnsiTheme="minorHAnsi" w:cstheme="minorBidi"/>
          <w:sz w:val="22"/>
          <w:szCs w:val="22"/>
        </w:rPr>
      </w:pPr>
      <w:hyperlink w:anchor="_Toc54688947" w:history="1">
        <w:r w:rsidR="009B63DE" w:rsidRPr="008810EF">
          <w:rPr>
            <w:rStyle w:val="Hipercze"/>
          </w:rPr>
          <w:t>6. MAPA SYTUUJĄCA PROJEKT</w:t>
        </w:r>
        <w:r w:rsidR="009B63DE" w:rsidRPr="008810EF">
          <w:rPr>
            <w:webHidden/>
          </w:rPr>
          <w:tab/>
        </w:r>
        <w:r w:rsidR="009B63DE" w:rsidRPr="008810EF">
          <w:rPr>
            <w:webHidden/>
          </w:rPr>
          <w:fldChar w:fldCharType="begin"/>
        </w:r>
        <w:r w:rsidR="009B63DE" w:rsidRPr="008810EF">
          <w:rPr>
            <w:webHidden/>
          </w:rPr>
          <w:instrText xml:space="preserve"> PAGEREF _Toc54688947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6F8BB051" w14:textId="77777777" w:rsidR="009B63DE" w:rsidRPr="008810EF" w:rsidRDefault="00784297">
      <w:pPr>
        <w:pStyle w:val="Spistreci3"/>
        <w:rPr>
          <w:rFonts w:asciiTheme="minorHAnsi" w:eastAsiaTheme="minorEastAsia" w:hAnsiTheme="minorHAnsi" w:cstheme="minorBidi"/>
          <w:sz w:val="22"/>
          <w:szCs w:val="22"/>
        </w:rPr>
      </w:pPr>
      <w:hyperlink w:anchor="_Toc54688948" w:history="1">
        <w:r w:rsidR="009B63DE" w:rsidRPr="008810EF">
          <w:rPr>
            <w:rStyle w:val="Hipercze"/>
          </w:rPr>
          <w:t>7.</w:t>
        </w:r>
        <w:r w:rsidR="009B63DE" w:rsidRPr="008810EF">
          <w:rPr>
            <w:rFonts w:asciiTheme="minorHAnsi" w:eastAsiaTheme="minorEastAsia" w:hAnsiTheme="minorHAnsi" w:cstheme="minorBidi"/>
            <w:sz w:val="22"/>
            <w:szCs w:val="22"/>
          </w:rPr>
          <w:tab/>
        </w:r>
        <w:r w:rsidR="009B63DE" w:rsidRPr="008810EF">
          <w:rPr>
            <w:rStyle w:val="Hipercze"/>
          </w:rPr>
          <w:t>OŚWIADCZENIE O PRAWIE DYSPONOWANIA NIERUCHOMOŚCIĄ</w:t>
        </w:r>
        <w:r w:rsidR="009B63DE" w:rsidRPr="008810EF">
          <w:rPr>
            <w:webHidden/>
          </w:rPr>
          <w:tab/>
        </w:r>
        <w:r w:rsidR="009B63DE" w:rsidRPr="008810EF">
          <w:rPr>
            <w:webHidden/>
          </w:rPr>
          <w:fldChar w:fldCharType="begin"/>
        </w:r>
        <w:r w:rsidR="009B63DE" w:rsidRPr="008810EF">
          <w:rPr>
            <w:webHidden/>
          </w:rPr>
          <w:instrText xml:space="preserve"> PAGEREF _Toc54688948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5CF8168D" w14:textId="77777777" w:rsidR="009B63DE" w:rsidRPr="008810EF" w:rsidRDefault="00784297">
      <w:pPr>
        <w:pStyle w:val="Spistreci3"/>
        <w:rPr>
          <w:rFonts w:asciiTheme="minorHAnsi" w:eastAsiaTheme="minorEastAsia" w:hAnsiTheme="minorHAnsi" w:cstheme="minorBidi"/>
          <w:sz w:val="22"/>
          <w:szCs w:val="22"/>
        </w:rPr>
      </w:pPr>
      <w:hyperlink w:anchor="_Toc54688949" w:history="1">
        <w:r w:rsidR="009B63DE" w:rsidRPr="008810EF">
          <w:rPr>
            <w:rStyle w:val="Hipercze"/>
          </w:rPr>
          <w:t>8.</w:t>
        </w:r>
        <w:r w:rsidR="009B63DE" w:rsidRPr="008810EF">
          <w:rPr>
            <w:rFonts w:asciiTheme="minorHAnsi" w:eastAsiaTheme="minorEastAsia" w:hAnsiTheme="minorHAnsi" w:cstheme="minorBidi"/>
            <w:sz w:val="22"/>
            <w:szCs w:val="22"/>
          </w:rPr>
          <w:tab/>
        </w:r>
        <w:r w:rsidR="009B63DE" w:rsidRPr="008810EF">
          <w:rPr>
            <w:rStyle w:val="Hipercze"/>
          </w:rPr>
          <w:t>DOKUMENT POTWIERDZAJĄCY ZABEZPIECZENIE ŚRODKÓW KONIECZNYCH DO ZREALIZOWANIA INWESTYCJI</w:t>
        </w:r>
        <w:r w:rsidR="009B63DE" w:rsidRPr="008810EF">
          <w:rPr>
            <w:webHidden/>
          </w:rPr>
          <w:tab/>
        </w:r>
        <w:r w:rsidR="009B63DE" w:rsidRPr="008810EF">
          <w:rPr>
            <w:webHidden/>
          </w:rPr>
          <w:fldChar w:fldCharType="begin"/>
        </w:r>
        <w:r w:rsidR="009B63DE" w:rsidRPr="008810EF">
          <w:rPr>
            <w:webHidden/>
          </w:rPr>
          <w:instrText xml:space="preserve"> PAGEREF _Toc54688949 \h </w:instrText>
        </w:r>
        <w:r w:rsidR="009B63DE" w:rsidRPr="008810EF">
          <w:rPr>
            <w:webHidden/>
          </w:rPr>
        </w:r>
        <w:r w:rsidR="009B63DE" w:rsidRPr="008810EF">
          <w:rPr>
            <w:webHidden/>
          </w:rPr>
          <w:fldChar w:fldCharType="separate"/>
        </w:r>
        <w:r w:rsidR="000E6B68">
          <w:rPr>
            <w:webHidden/>
          </w:rPr>
          <w:t>94</w:t>
        </w:r>
        <w:r w:rsidR="009B63DE" w:rsidRPr="008810EF">
          <w:rPr>
            <w:webHidden/>
          </w:rPr>
          <w:fldChar w:fldCharType="end"/>
        </w:r>
      </w:hyperlink>
    </w:p>
    <w:p w14:paraId="3485F444" w14:textId="77777777" w:rsidR="009B63DE" w:rsidRPr="008810EF" w:rsidRDefault="00784297">
      <w:pPr>
        <w:pStyle w:val="Spistreci3"/>
        <w:rPr>
          <w:rFonts w:asciiTheme="minorHAnsi" w:eastAsiaTheme="minorEastAsia" w:hAnsiTheme="minorHAnsi" w:cstheme="minorBidi"/>
          <w:sz w:val="22"/>
          <w:szCs w:val="22"/>
        </w:rPr>
      </w:pPr>
      <w:hyperlink w:anchor="_Toc54688950" w:history="1">
        <w:r w:rsidR="009B63DE" w:rsidRPr="008810EF">
          <w:rPr>
            <w:rStyle w:val="Hipercze"/>
          </w:rPr>
          <w:t>9.</w:t>
        </w:r>
        <w:r w:rsidR="009B63DE" w:rsidRPr="008810EF">
          <w:rPr>
            <w:rFonts w:asciiTheme="minorHAnsi" w:eastAsiaTheme="minorEastAsia" w:hAnsiTheme="minorHAnsi" w:cstheme="minorBidi"/>
            <w:sz w:val="22"/>
            <w:szCs w:val="22"/>
          </w:rPr>
          <w:tab/>
        </w:r>
        <w:r w:rsidR="009B63DE" w:rsidRPr="008810EF">
          <w:rPr>
            <w:rStyle w:val="Hipercze"/>
          </w:rPr>
          <w:t>KOPIA ZAWARTEJ UMOWY/POROZUMIENIA NA REALIZACJĘ WSPÓLNEGO PRZEDSIĘWZIĘCIA</w:t>
        </w:r>
        <w:r w:rsidR="009B63DE" w:rsidRPr="008810EF">
          <w:rPr>
            <w:webHidden/>
          </w:rPr>
          <w:tab/>
        </w:r>
        <w:r w:rsidR="009B63DE" w:rsidRPr="008810EF">
          <w:rPr>
            <w:webHidden/>
          </w:rPr>
          <w:fldChar w:fldCharType="begin"/>
        </w:r>
        <w:r w:rsidR="009B63DE" w:rsidRPr="008810EF">
          <w:rPr>
            <w:webHidden/>
          </w:rPr>
          <w:instrText xml:space="preserve"> PAGEREF _Toc54688950 \h </w:instrText>
        </w:r>
        <w:r w:rsidR="009B63DE" w:rsidRPr="008810EF">
          <w:rPr>
            <w:webHidden/>
          </w:rPr>
        </w:r>
        <w:r w:rsidR="009B63DE" w:rsidRPr="008810EF">
          <w:rPr>
            <w:webHidden/>
          </w:rPr>
          <w:fldChar w:fldCharType="separate"/>
        </w:r>
        <w:r w:rsidR="000E6B68">
          <w:rPr>
            <w:webHidden/>
          </w:rPr>
          <w:t>98</w:t>
        </w:r>
        <w:r w:rsidR="009B63DE" w:rsidRPr="008810EF">
          <w:rPr>
            <w:webHidden/>
          </w:rPr>
          <w:fldChar w:fldCharType="end"/>
        </w:r>
      </w:hyperlink>
    </w:p>
    <w:p w14:paraId="11F8B4C4" w14:textId="7B940C2A" w:rsidR="009B63DE" w:rsidRPr="008810EF" w:rsidRDefault="00784297">
      <w:pPr>
        <w:pStyle w:val="Spistreci3"/>
        <w:rPr>
          <w:rFonts w:asciiTheme="minorHAnsi" w:eastAsiaTheme="minorEastAsia" w:hAnsiTheme="minorHAnsi" w:cstheme="minorBidi"/>
          <w:sz w:val="22"/>
          <w:szCs w:val="22"/>
        </w:rPr>
      </w:pPr>
      <w:hyperlink w:anchor="_Toc54688951" w:history="1">
        <w:r w:rsidR="009B63DE" w:rsidRPr="008810EF">
          <w:rPr>
            <w:rStyle w:val="Hipercze"/>
          </w:rPr>
          <w:t>10.</w:t>
        </w:r>
        <w:r w:rsidR="009B63DE" w:rsidRPr="008810EF">
          <w:rPr>
            <w:rFonts w:asciiTheme="minorHAnsi" w:eastAsiaTheme="minorEastAsia" w:hAnsiTheme="minorHAnsi" w:cstheme="minorBidi"/>
            <w:sz w:val="22"/>
            <w:szCs w:val="22"/>
          </w:rPr>
          <w:tab/>
        </w:r>
        <w:r w:rsidR="009B63DE" w:rsidRPr="008810EF">
          <w:rPr>
            <w:rStyle w:val="Hipercze"/>
          </w:rPr>
          <w:t xml:space="preserve">BILANS ZA OSTATNI ROK ZGODNIE Z PRZEPISAMI O RACHUNKOWOŚCI,  W PRZYPADKU JEDNOSTEK SAMORZĄDU TERYTORIALNEGO OPINIA SKŁADU ORZEKAJĄCEGO RIO </w:t>
        </w:r>
        <w:r w:rsidR="000E6B68">
          <w:rPr>
            <w:rStyle w:val="Hipercze"/>
          </w:rPr>
          <w:br/>
        </w:r>
        <w:r w:rsidR="009B63DE" w:rsidRPr="008810EF">
          <w:rPr>
            <w:rStyle w:val="Hipercze"/>
          </w:rPr>
          <w:t>O SPRAWOZDANIU Z WYKONANIA BUDŻETU ZA ROK POPRZEDNI.</w:t>
        </w:r>
        <w:r w:rsidR="009B63DE" w:rsidRPr="008810EF">
          <w:rPr>
            <w:webHidden/>
          </w:rPr>
          <w:tab/>
        </w:r>
        <w:r w:rsidR="009B63DE" w:rsidRPr="008810EF">
          <w:rPr>
            <w:webHidden/>
          </w:rPr>
          <w:fldChar w:fldCharType="begin"/>
        </w:r>
        <w:r w:rsidR="009B63DE" w:rsidRPr="008810EF">
          <w:rPr>
            <w:webHidden/>
          </w:rPr>
          <w:instrText xml:space="preserve"> PAGEREF _Toc54688951 \h </w:instrText>
        </w:r>
        <w:r w:rsidR="009B63DE" w:rsidRPr="008810EF">
          <w:rPr>
            <w:webHidden/>
          </w:rPr>
        </w:r>
        <w:r w:rsidR="009B63DE" w:rsidRPr="008810EF">
          <w:rPr>
            <w:webHidden/>
          </w:rPr>
          <w:fldChar w:fldCharType="separate"/>
        </w:r>
        <w:r w:rsidR="000E6B68">
          <w:rPr>
            <w:webHidden/>
          </w:rPr>
          <w:t>101</w:t>
        </w:r>
        <w:r w:rsidR="009B63DE" w:rsidRPr="008810EF">
          <w:rPr>
            <w:webHidden/>
          </w:rPr>
          <w:fldChar w:fldCharType="end"/>
        </w:r>
      </w:hyperlink>
    </w:p>
    <w:p w14:paraId="0D3B7170" w14:textId="77777777" w:rsidR="009B63DE" w:rsidRPr="008810EF" w:rsidRDefault="00784297">
      <w:pPr>
        <w:pStyle w:val="Spistreci3"/>
        <w:rPr>
          <w:rFonts w:asciiTheme="minorHAnsi" w:eastAsiaTheme="minorEastAsia" w:hAnsiTheme="minorHAnsi" w:cstheme="minorBidi"/>
          <w:sz w:val="22"/>
          <w:szCs w:val="22"/>
        </w:rPr>
      </w:pPr>
      <w:hyperlink w:anchor="_Toc54688952" w:history="1">
        <w:r w:rsidR="009B63DE" w:rsidRPr="008810EF">
          <w:rPr>
            <w:rStyle w:val="Hipercze"/>
          </w:rPr>
          <w:t>11.</w:t>
        </w:r>
        <w:r w:rsidR="009B63DE" w:rsidRPr="008810EF">
          <w:rPr>
            <w:rFonts w:asciiTheme="minorHAnsi" w:eastAsiaTheme="minorEastAsia" w:hAnsiTheme="minorHAnsi" w:cstheme="minorBidi"/>
            <w:sz w:val="22"/>
            <w:szCs w:val="22"/>
          </w:rPr>
          <w:tab/>
        </w:r>
        <w:r w:rsidR="009B63DE" w:rsidRPr="008810EF">
          <w:rPr>
            <w:rStyle w:val="Hipercze"/>
          </w:rPr>
          <w:t>STATUT/AKT POWOŁUJĄCY JEDNOSTKĘ</w:t>
        </w:r>
        <w:r w:rsidR="009B63DE" w:rsidRPr="008810EF">
          <w:rPr>
            <w:webHidden/>
          </w:rPr>
          <w:tab/>
        </w:r>
        <w:r w:rsidR="009B63DE" w:rsidRPr="008810EF">
          <w:rPr>
            <w:webHidden/>
          </w:rPr>
          <w:fldChar w:fldCharType="begin"/>
        </w:r>
        <w:r w:rsidR="009B63DE" w:rsidRPr="008810EF">
          <w:rPr>
            <w:webHidden/>
          </w:rPr>
          <w:instrText xml:space="preserve"> PAGEREF _Toc54688952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3C7B8BF0" w14:textId="77777777" w:rsidR="009B63DE" w:rsidRPr="008810EF" w:rsidRDefault="00784297">
      <w:pPr>
        <w:pStyle w:val="Spistreci3"/>
        <w:rPr>
          <w:rFonts w:asciiTheme="minorHAnsi" w:eastAsiaTheme="minorEastAsia" w:hAnsiTheme="minorHAnsi" w:cstheme="minorBidi"/>
          <w:sz w:val="22"/>
          <w:szCs w:val="22"/>
        </w:rPr>
      </w:pPr>
      <w:hyperlink w:anchor="_Toc54688953" w:history="1">
        <w:r w:rsidR="009B63DE" w:rsidRPr="008810EF">
          <w:rPr>
            <w:rStyle w:val="Hipercze"/>
          </w:rPr>
          <w:t>12.</w:t>
        </w:r>
        <w:r w:rsidR="009B63DE" w:rsidRPr="008810EF">
          <w:rPr>
            <w:rFonts w:asciiTheme="minorHAnsi" w:eastAsiaTheme="minorEastAsia" w:hAnsiTheme="minorHAnsi" w:cstheme="minorBidi"/>
            <w:sz w:val="22"/>
            <w:szCs w:val="22"/>
          </w:rPr>
          <w:tab/>
        </w:r>
        <w:r w:rsidR="009B63DE" w:rsidRPr="008810EF">
          <w:rPr>
            <w:rStyle w:val="Hipercze"/>
          </w:rPr>
          <w:t>OŚWIADCZENIE WNIOSKODAWCY O ZGODNOŚCI PROJEKTU  Z ZASADAMI UDZIELANIA POMOCY PUBLICZNEJ</w:t>
        </w:r>
        <w:r w:rsidR="009B63DE" w:rsidRPr="008810EF">
          <w:rPr>
            <w:webHidden/>
          </w:rPr>
          <w:tab/>
        </w:r>
        <w:r w:rsidR="009B63DE" w:rsidRPr="008810EF">
          <w:rPr>
            <w:webHidden/>
          </w:rPr>
          <w:fldChar w:fldCharType="begin"/>
        </w:r>
        <w:r w:rsidR="009B63DE" w:rsidRPr="008810EF">
          <w:rPr>
            <w:webHidden/>
          </w:rPr>
          <w:instrText xml:space="preserve"> PAGEREF _Toc54688953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6AB43D24" w14:textId="54DE50A4" w:rsidR="009B63DE" w:rsidRDefault="00784297">
      <w:pPr>
        <w:pStyle w:val="Spistreci3"/>
        <w:rPr>
          <w:rFonts w:asciiTheme="minorHAnsi" w:eastAsiaTheme="minorEastAsia" w:hAnsiTheme="minorHAnsi" w:cstheme="minorBidi"/>
          <w:sz w:val="22"/>
          <w:szCs w:val="22"/>
        </w:rPr>
      </w:pPr>
      <w:hyperlink w:anchor="_Toc54688954" w:history="1">
        <w:r w:rsidR="009B63DE" w:rsidRPr="008810EF">
          <w:rPr>
            <w:rStyle w:val="Hipercze"/>
          </w:rPr>
          <w:t>13.</w:t>
        </w:r>
        <w:r w:rsidR="009B63DE" w:rsidRPr="008810EF">
          <w:rPr>
            <w:rFonts w:asciiTheme="minorHAnsi" w:eastAsiaTheme="minorEastAsia" w:hAnsiTheme="minorHAnsi" w:cstheme="minorBidi"/>
            <w:sz w:val="22"/>
            <w:szCs w:val="22"/>
          </w:rPr>
          <w:tab/>
        </w:r>
        <w:r w:rsidR="009B63DE" w:rsidRPr="008810EF">
          <w:rPr>
            <w:rStyle w:val="Hipercze"/>
          </w:rPr>
          <w:t>INNE NIEZBĘDNE DOKUMENTY WYMAGANE PRAWEM LUB KATEGORIĄ PROJEKTU</w:t>
        </w:r>
        <w:r w:rsidR="009B63DE" w:rsidRPr="008810EF">
          <w:rPr>
            <w:webHidden/>
          </w:rPr>
          <w:tab/>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_Toc54688954 \h </w:instrText>
        </w:r>
        <w:r w:rsidR="009B63DE" w:rsidRPr="008810EF">
          <w:rPr>
            <w:webHidden/>
          </w:rPr>
        </w:r>
        <w:r w:rsidR="009B63DE" w:rsidRPr="008810EF">
          <w:rPr>
            <w:webHidden/>
          </w:rPr>
          <w:fldChar w:fldCharType="separate"/>
        </w:r>
        <w:r w:rsidR="000E6B68">
          <w:rPr>
            <w:webHidden/>
          </w:rPr>
          <w:t>103</w:t>
        </w:r>
        <w:r w:rsidR="009B63DE" w:rsidRPr="008810EF">
          <w:rPr>
            <w:webHidden/>
          </w:rPr>
          <w:fldChar w:fldCharType="end"/>
        </w:r>
      </w:hyperlink>
    </w:p>
    <w:p w14:paraId="52C985DD" w14:textId="77777777" w:rsidR="00916D3C" w:rsidRDefault="00920653" w:rsidP="00540AEA">
      <w:pPr>
        <w:tabs>
          <w:tab w:val="left" w:pos="5940"/>
        </w:tabs>
        <w:spacing w:before="120" w:line="360" w:lineRule="auto"/>
        <w:ind w:right="-108"/>
        <w:jc w:val="both"/>
        <w:rPr>
          <w:rFonts w:asciiTheme="minorHAnsi" w:hAnsiTheme="minorHAnsi" w:cstheme="minorHAnsi"/>
          <w:szCs w:val="24"/>
        </w:rPr>
      </w:pPr>
      <w:r w:rsidRPr="006F46DB">
        <w:rPr>
          <w:rFonts w:asciiTheme="minorHAnsi" w:hAnsiTheme="minorHAnsi" w:cstheme="minorHAnsi"/>
          <w:szCs w:val="24"/>
        </w:rPr>
        <w:fldChar w:fldCharType="end"/>
      </w:r>
    </w:p>
    <w:p w14:paraId="5329BDD3"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3643C2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765026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91A1F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A45DB3F"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F8D7E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980895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21E48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649477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4469490"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2BE4256"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4803B7E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1B310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D9B5A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BDEA93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0F7AE7"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EABF6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CBE3AF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8EA1B4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25806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1BBFB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9F2484"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B9401FA" w14:textId="18215E42" w:rsidR="00A06439" w:rsidRPr="00AD1CCA" w:rsidRDefault="00A06439" w:rsidP="00540AEA">
      <w:pPr>
        <w:tabs>
          <w:tab w:val="left" w:pos="5940"/>
        </w:tabs>
        <w:spacing w:before="120" w:line="360" w:lineRule="auto"/>
        <w:ind w:right="-108"/>
        <w:jc w:val="both"/>
        <w:rPr>
          <w:rFonts w:ascii="Calibri" w:hAnsi="Calibri"/>
          <w:b/>
          <w:sz w:val="28"/>
          <w:szCs w:val="28"/>
        </w:rPr>
      </w:pPr>
      <w:r w:rsidRPr="00AD1CCA">
        <w:rPr>
          <w:rFonts w:ascii="Calibri" w:hAnsi="Calibri"/>
          <w:b/>
          <w:sz w:val="28"/>
          <w:szCs w:val="28"/>
        </w:rPr>
        <w:t>ZAŁĄCZNIKI DO WNIOSKU O DOFINANSOWANIE REALIZACJI PROJEKTU</w:t>
      </w:r>
    </w:p>
    <w:bookmarkStart w:id="1" w:name="_Toc477857424"/>
    <w:bookmarkStart w:id="2" w:name="_Toc54688927"/>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2A4C8B1">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Pozakonkursowej procedury wyboru projektów,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8F7997" w:rsidRPr="00A5756A" w:rsidRDefault="008F7997" w:rsidP="005F310B">
                            <w:pPr>
                              <w:rPr>
                                <w:rFonts w:ascii="Calibri" w:hAnsi="Calibri"/>
                                <w:b/>
                                <w:szCs w:val="24"/>
                              </w:rPr>
                            </w:pPr>
                            <w:r w:rsidRPr="00A5756A">
                              <w:rPr>
                                <w:rFonts w:ascii="Calibri" w:hAnsi="Calibri"/>
                                <w:b/>
                                <w:szCs w:val="24"/>
                              </w:rPr>
                              <w:t>PAMIĘTAJ!</w:t>
                            </w:r>
                          </w:p>
                          <w:p w14:paraId="627E7B2B" w14:textId="34DD1030" w:rsidR="008F7997" w:rsidRPr="00A5756A" w:rsidRDefault="008F7997"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Pozakonkursowej procedury wyboru projektów,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" fillcolor="#ffbe86" strokecolor="#f68c36">
                <v:fill color2="#ffebdb" rotate="t" angle="180" colors="0 #ffbe86;22938f #ffd0aa;1 #ffebdb" focus="100%" type="gradient"/>
                <v:shadow on="t" color="black" opacity="24903f" origin=",.5" offset="0,.55556mm"/>
                <v:textbox>
                  <w:txbxContent>
                    <w:p w14:paraId="68280616" w14:textId="77777777" w:rsidR="008F7997" w:rsidRPr="00A5756A" w:rsidRDefault="008F7997" w:rsidP="005F310B">
                      <w:pPr>
                        <w:rPr>
                          <w:rFonts w:ascii="Calibri" w:hAnsi="Calibri"/>
                          <w:b/>
                          <w:szCs w:val="24"/>
                        </w:rPr>
                      </w:pPr>
                      <w:r w:rsidRPr="00A5756A">
                        <w:rPr>
                          <w:rFonts w:ascii="Calibri" w:hAnsi="Calibri"/>
                          <w:b/>
                          <w:szCs w:val="24"/>
                        </w:rPr>
                        <w:t>PAMIĘTAJ!</w:t>
                      </w:r>
                    </w:p>
                    <w:p w14:paraId="627E7B2B" w14:textId="34DD1030" w:rsidR="008F7997" w:rsidRPr="00A5756A" w:rsidRDefault="008F7997"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1796747E"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00ED166A">
        <w:rPr>
          <w:rFonts w:ascii="Calibri" w:hAnsi="Calibri"/>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2D7C3734">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8F7997" w:rsidRPr="00A5756A" w:rsidRDefault="008F7997" w:rsidP="00744896">
                            <w:pPr>
                              <w:spacing w:before="40" w:after="40"/>
                              <w:rPr>
                                <w:rFonts w:ascii="Calibri" w:hAnsi="Calibri"/>
                                <w:b/>
                                <w:i/>
                              </w:rPr>
                            </w:pPr>
                            <w:r w:rsidRPr="00A5756A">
                              <w:rPr>
                                <w:rFonts w:ascii="Calibri" w:hAnsi="Calibri"/>
                                <w:b/>
                                <w:i/>
                              </w:rPr>
                              <w:t>UWAGA!</w:t>
                            </w:r>
                          </w:p>
                          <w:p w14:paraId="4C32C136" w14:textId="77777777" w:rsidR="008F7997" w:rsidRPr="00A5756A" w:rsidRDefault="008F7997"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8F7997" w:rsidRPr="00A5756A" w:rsidRDefault="008F7997" w:rsidP="00744896">
                            <w:pPr>
                              <w:spacing w:before="120" w:after="40"/>
                              <w:rPr>
                                <w:rFonts w:ascii="Calibri" w:hAnsi="Calibri"/>
                                <w:b/>
                                <w:i/>
                              </w:rPr>
                            </w:pPr>
                            <w:r w:rsidRPr="00A5756A">
                              <w:rPr>
                                <w:rFonts w:ascii="Calibri" w:hAnsi="Calibri"/>
                                <w:b/>
                                <w:i/>
                              </w:rPr>
                              <w:t>UWAGA!</w:t>
                            </w:r>
                          </w:p>
                          <w:p w14:paraId="5B5D3313" w14:textId="77777777" w:rsidR="008F7997" w:rsidRPr="00A5756A" w:rsidRDefault="008F7997"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rn8gMAAIg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" fillcolor="#a3c4ff" strokecolor="#4579b8">
                <v:fill color2="#e5eeff" rotate="t" angle="180" colors="0 #a3c4ff;22938f #bfd5ff;1 #e5eeff" focus="100%" type="gradient"/>
                <v:shadow on="t" color="black" opacity="24903f" origin=",.5" offset="0,.55556mm"/>
                <v:textbox>
                  <w:txbxContent>
                    <w:p w14:paraId="4A3AC8B6" w14:textId="77777777" w:rsidR="008F7997" w:rsidRPr="00A5756A" w:rsidRDefault="008F7997" w:rsidP="00744896">
                      <w:pPr>
                        <w:spacing w:before="40" w:after="40"/>
                        <w:rPr>
                          <w:rFonts w:ascii="Calibri" w:hAnsi="Calibri"/>
                          <w:b/>
                          <w:i/>
                        </w:rPr>
                      </w:pPr>
                      <w:r w:rsidRPr="00A5756A">
                        <w:rPr>
                          <w:rFonts w:ascii="Calibri" w:hAnsi="Calibri"/>
                          <w:b/>
                          <w:i/>
                        </w:rPr>
                        <w:t>UWAGA!</w:t>
                      </w:r>
                    </w:p>
                    <w:p w14:paraId="4C32C136" w14:textId="77777777" w:rsidR="008F7997" w:rsidRPr="00A5756A" w:rsidRDefault="008F7997"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8F7997" w:rsidRPr="00A5756A" w:rsidRDefault="008F7997" w:rsidP="00744896">
                      <w:pPr>
                        <w:spacing w:before="120" w:after="40"/>
                        <w:rPr>
                          <w:rFonts w:ascii="Calibri" w:hAnsi="Calibri"/>
                          <w:b/>
                          <w:i/>
                        </w:rPr>
                      </w:pPr>
                      <w:r w:rsidRPr="00A5756A">
                        <w:rPr>
                          <w:rFonts w:ascii="Calibri" w:hAnsi="Calibri"/>
                          <w:b/>
                          <w:i/>
                        </w:rPr>
                        <w:t>UWAGA!</w:t>
                      </w:r>
                    </w:p>
                    <w:p w14:paraId="5B5D3313" w14:textId="77777777" w:rsidR="008F7997" w:rsidRPr="00A5756A" w:rsidRDefault="008F7997"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54688928"/>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lastRenderedPageBreak/>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w:t>
      </w:r>
      <w:r w:rsidRPr="00897716">
        <w:rPr>
          <w:rFonts w:ascii="Calibri" w:hAnsi="Calibri" w:cs="Arial"/>
          <w:szCs w:val="24"/>
        </w:rPr>
        <w:lastRenderedPageBreak/>
        <w:t>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229381AB" w:rsidR="005F310B" w:rsidRPr="00AD1CCA" w:rsidRDefault="005F310B" w:rsidP="00540AEA">
      <w:pPr>
        <w:keepNext/>
        <w:suppressAutoHyphens w:val="0"/>
        <w:autoSpaceDE w:val="0"/>
        <w:autoSpaceDN w:val="0"/>
        <w:adjustRightInd w:val="0"/>
        <w:spacing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w:t>
      </w:r>
      <w:r w:rsidRPr="00AD1CCA">
        <w:rPr>
          <w:rFonts w:ascii="Calibri" w:hAnsi="Calibri" w:cs="Arial"/>
          <w:szCs w:val="24"/>
        </w:rPr>
        <w:lastRenderedPageBreak/>
        <w:t xml:space="preserve">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3A796274" w:rsidR="005F310B" w:rsidRPr="00AD1CCA" w:rsidRDefault="005F310B" w:rsidP="00065FA3">
      <w:pPr>
        <w:keepNext/>
        <w:numPr>
          <w:ilvl w:val="0"/>
          <w:numId w:val="68"/>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w:t>
      </w:r>
      <w:r w:rsidR="00065FA3">
        <w:rPr>
          <w:rFonts w:ascii="Calibri" w:hAnsi="Calibri" w:cs="Arial"/>
          <w:szCs w:val="24"/>
        </w:rPr>
        <w:t xml:space="preserve"> </w:t>
      </w:r>
      <w:r w:rsidRPr="00AD1CCA">
        <w:rPr>
          <w:rFonts w:ascii="Calibri" w:hAnsi="Calibri" w:cs="Arial"/>
          <w:szCs w:val="24"/>
        </w:rPr>
        <w:t xml:space="preserve">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8AF184E" w14:textId="5D850091" w:rsidR="00065FA3" w:rsidRPr="00065FA3" w:rsidRDefault="005F310B" w:rsidP="00065FA3">
      <w:pPr>
        <w:numPr>
          <w:ilvl w:val="0"/>
          <w:numId w:val="68"/>
        </w:numPr>
        <w:suppressAutoHyphens w:val="0"/>
        <w:autoSpaceDE w:val="0"/>
        <w:autoSpaceDN w:val="0"/>
        <w:adjustRightInd w:val="0"/>
        <w:spacing w:line="276" w:lineRule="auto"/>
        <w:ind w:left="0" w:firstLine="0"/>
        <w:rPr>
          <w:rFonts w:ascii="Calibri" w:hAnsi="Calibri" w:cs="Arial"/>
          <w:szCs w:val="24"/>
        </w:rPr>
      </w:pPr>
      <w:r w:rsidRPr="00065FA3">
        <w:rPr>
          <w:rFonts w:ascii="Calibri" w:hAnsi="Calibri" w:cs="Arial"/>
          <w:b/>
          <w:bCs/>
          <w:szCs w:val="24"/>
        </w:rPr>
        <w:t xml:space="preserve">Ceny stałe (realne): </w:t>
      </w:r>
      <w:r w:rsidRPr="00065FA3">
        <w:rPr>
          <w:rFonts w:ascii="Calibri" w:hAnsi="Calibri" w:cs="Arial"/>
          <w:szCs w:val="24"/>
        </w:rPr>
        <w:t>ceny według roku bazowego (tj. pierwszego roku przyjętego okresu odniesienia), których stosowanie pozwala wyeliminować wpływ inflacji na dane finansowe i ekonomiczne. Należy odróżniać je od cen bieżących.</w:t>
      </w:r>
      <w:r w:rsidR="00065FA3" w:rsidRPr="00065FA3">
        <w:rPr>
          <w:rFonts w:ascii="Calibri" w:hAnsi="Calibri" w:cs="Arial"/>
          <w:szCs w:val="24"/>
        </w:rPr>
        <w:br/>
      </w:r>
    </w:p>
    <w:p w14:paraId="5996E52D" w14:textId="4D59CA34" w:rsidR="005F310B" w:rsidRPr="00065FA3" w:rsidRDefault="005F310B" w:rsidP="00065FA3">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065FA3">
        <w:rPr>
          <w:rFonts w:ascii="Calibri" w:hAnsi="Calibri" w:cs="Arial"/>
          <w:b/>
          <w:szCs w:val="24"/>
        </w:rPr>
        <w:lastRenderedPageBreak/>
        <w:t>Dochód</w:t>
      </w:r>
      <w:r w:rsidRPr="00065FA3">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065FA3">
        <w:rPr>
          <w:rFonts w:ascii="Calibri" w:hAnsi="Calibri" w:cs="Arial"/>
          <w:b/>
          <w:szCs w:val="24"/>
        </w:rPr>
        <w:t xml:space="preserve">: </w:t>
      </w:r>
      <w:r w:rsidRPr="00065FA3">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sidRPr="00065FA3">
        <w:rPr>
          <w:rFonts w:ascii="Arial" w:hAnsi="Arial" w:cs="Arial"/>
          <w:szCs w:val="22"/>
        </w:rPr>
        <w:t xml:space="preserve"> </w:t>
      </w:r>
      <w:r w:rsidRPr="00065FA3">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 zależności od tego, który z </w:t>
      </w:r>
      <w:r w:rsidRPr="00537A33">
        <w:rPr>
          <w:rFonts w:ascii="Calibri" w:hAnsi="Calibri" w:cs="Arial"/>
          <w:szCs w:val="24"/>
        </w:rPr>
        <w:lastRenderedPageBreak/>
        <w:t>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9445B8E"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 xml:space="preserve">w czasie. Dyskontowanie odbywa się poprzez przemnożenie przyszłej wartości kosztu lub korzyści przez współczynnik dyskontowy, który maleje wraz z upływem czasu. Wzór na </w:t>
      </w:r>
      <w:r w:rsidRPr="00AD1CCA">
        <w:rPr>
          <w:rFonts w:ascii="Calibri" w:hAnsi="Calibri" w:cs="Arial"/>
          <w:szCs w:val="24"/>
        </w:rPr>
        <w:lastRenderedPageBreak/>
        <w:t>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sidRPr="00AD1CCA">
        <w:rPr>
          <w:rFonts w:ascii="Calibri" w:hAnsi="Calibri" w:cs="Arial"/>
          <w:szCs w:val="24"/>
        </w:rPr>
        <w:lastRenderedPageBreak/>
        <w:t>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7"/>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8"/>
      </w:r>
      <w:r w:rsidRPr="00AD1CCA">
        <w:rPr>
          <w:rFonts w:ascii="Calibri" w:hAnsi="Calibri" w:cs="Arial"/>
          <w:szCs w:val="24"/>
        </w:rPr>
        <w:t xml:space="preserve">. </w:t>
      </w:r>
      <w:r w:rsidRPr="00AD1CCA">
        <w:rPr>
          <w:rFonts w:ascii="Calibri" w:hAnsi="Calibri" w:cs="Arial"/>
          <w:szCs w:val="24"/>
        </w:rPr>
        <w:lastRenderedPageBreak/>
        <w:t xml:space="preserve">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6E82D65D" w14:textId="77777777" w:rsidR="00065FA3" w:rsidRDefault="005F310B" w:rsidP="00065FA3">
      <w:pPr>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0E33286C" w:rsidR="005F310B" w:rsidRPr="00065FA3" w:rsidRDefault="005F310B" w:rsidP="00065FA3">
      <w:pPr>
        <w:pStyle w:val="Akapitzlist"/>
        <w:numPr>
          <w:ilvl w:val="0"/>
          <w:numId w:val="69"/>
        </w:numPr>
        <w:autoSpaceDE w:val="0"/>
        <w:autoSpaceDN w:val="0"/>
        <w:adjustRightInd w:val="0"/>
        <w:spacing w:after="120"/>
        <w:ind w:hanging="720"/>
        <w:rPr>
          <w:rFonts w:cs="Arial"/>
          <w:bCs/>
          <w:szCs w:val="24"/>
        </w:rPr>
      </w:pPr>
      <w:r w:rsidRPr="00065FA3">
        <w:rPr>
          <w:rFonts w:cs="Arial"/>
          <w:b/>
          <w:bCs/>
          <w:szCs w:val="24"/>
        </w:rPr>
        <w:t xml:space="preserve">Opłata za dostępność: </w:t>
      </w:r>
      <w:r w:rsidRPr="00065FA3">
        <w:rPr>
          <w:rFonts w:cs="Arial"/>
          <w:bCs/>
          <w:szCs w:val="24"/>
        </w:rPr>
        <w:t>Zryczałtowane wynagrodzenie pieniężne wypłacane cyklicznie przez podmiot publiczny na rzecz partnera prywatnego w fazie eksploatacji infrastruktury</w:t>
      </w:r>
      <w:r w:rsidRPr="00065FA3">
        <w:rPr>
          <w:rFonts w:cs="Arial"/>
          <w:bCs/>
          <w:szCs w:val="24"/>
          <w:vertAlign w:val="superscript"/>
        </w:rPr>
        <w:t>9</w:t>
      </w:r>
      <w:r w:rsidRPr="00AD1CCA">
        <w:rPr>
          <w:color w:val="FFFFFF"/>
          <w:vertAlign w:val="superscript"/>
        </w:rPr>
        <w:footnoteReference w:id="9"/>
      </w:r>
      <w:r w:rsidRPr="00065FA3">
        <w:rPr>
          <w:rFonts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lastRenderedPageBreak/>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0"/>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 xml:space="preserve">Wytycznych w zakresie </w:t>
      </w:r>
      <w:r w:rsidRPr="00A13A8B">
        <w:rPr>
          <w:rFonts w:ascii="Calibri" w:hAnsi="Calibri"/>
          <w:bCs/>
          <w:i/>
          <w:szCs w:val="24"/>
        </w:rPr>
        <w:lastRenderedPageBreak/>
        <w:t>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1"/>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2"/>
      </w:r>
      <w:r>
        <w:rPr>
          <w:rFonts w:ascii="Calibri" w:hAnsi="Calibri" w:cs="Arial"/>
          <w:bCs/>
          <w:szCs w:val="24"/>
        </w:rPr>
        <w:t xml:space="preserve"> lub w rozporządzeniu w sprawie EFMR</w:t>
      </w:r>
      <w:r>
        <w:rPr>
          <w:rStyle w:val="Odwoanieprzypisudolnego"/>
          <w:rFonts w:ascii="Calibri" w:hAnsi="Calibri" w:cs="Arial"/>
          <w:bCs/>
          <w:szCs w:val="24"/>
        </w:rPr>
        <w:footnoteReference w:id="13"/>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lastRenderedPageBreak/>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4"/>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5"/>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6"/>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w:t>
      </w:r>
      <w:r w:rsidRPr="00AD1CCA">
        <w:rPr>
          <w:rFonts w:ascii="Calibri" w:hAnsi="Calibri"/>
          <w:i/>
          <w:szCs w:val="24"/>
        </w:rPr>
        <w:lastRenderedPageBreak/>
        <w:t>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7"/>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8"/>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lastRenderedPageBreak/>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Model ten polega na oszacowaniu przyszłych przepływów pieniężnych w dwóch scenariuszach – inwestycyjnym i bez inwestycji (projektu UE). Analiza finansowa powinna </w:t>
      </w:r>
      <w:r w:rsidRPr="00AD1CCA">
        <w:rPr>
          <w:rFonts w:ascii="Calibri" w:hAnsi="Calibri" w:cs="Arial"/>
          <w:bCs/>
          <w:szCs w:val="24"/>
        </w:rPr>
        <w:lastRenderedPageBreak/>
        <w:t>przedstawiać koszty i przychody wynikające z pierwszego scenariusza, pomniejszone o koszty i przychody wynikające ze scenariusza drugiego</w:t>
      </w:r>
      <w:r>
        <w:rPr>
          <w:rStyle w:val="Odwoanieprzypisudolnego"/>
          <w:rFonts w:ascii="Calibri" w:hAnsi="Calibri" w:cs="Arial"/>
          <w:bCs/>
          <w:szCs w:val="24"/>
        </w:rPr>
        <w:footnoteReference w:id="19"/>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0"/>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w:t>
      </w:r>
      <w:r w:rsidRPr="00AD1CCA">
        <w:rPr>
          <w:rFonts w:ascii="Calibri" w:hAnsi="Calibri"/>
          <w:szCs w:val="24"/>
        </w:rPr>
        <w:lastRenderedPageBreak/>
        <w:t>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sidRPr="00D00DE2">
        <w:rPr>
          <w:rStyle w:val="Odwoanieprzypisudolnego"/>
          <w:rFonts w:asciiTheme="minorHAnsi" w:hAnsiTheme="minorHAnsi" w:cs="Arial"/>
          <w:szCs w:val="24"/>
        </w:rPr>
        <w:footnoteReference w:id="21"/>
      </w:r>
      <w:r w:rsidRPr="00D00DE2">
        <w:rPr>
          <w:rFonts w:asciiTheme="minorHAnsi" w:hAnsiTheme="minorHAnsi" w:cs="Arial"/>
          <w:szCs w:val="24"/>
        </w:rPr>
        <w:t>.</w:t>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Dopuszczalne jest, aby w ramach jednego projektu zastosowana została zarówno metoda oparta na bieżącej wartości netto przepływów pieniężnych, jak i inna metoda, np. metoda </w:t>
      </w:r>
      <w:r w:rsidRPr="00AD1CCA">
        <w:rPr>
          <w:rFonts w:ascii="Calibri" w:hAnsi="Calibri" w:cs="Arial"/>
          <w:szCs w:val="24"/>
        </w:rPr>
        <w:lastRenderedPageBreak/>
        <w:t>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41F194E8"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r w:rsidR="008F7997">
        <w:rPr>
          <w:rFonts w:ascii="Calibri" w:hAnsi="Calibri" w:cs="Arial"/>
          <w:szCs w:val="24"/>
        </w:rPr>
        <w:t xml:space="preserve">t. j. </w:t>
      </w:r>
      <w:r w:rsidR="008F7997" w:rsidRPr="00AD1CCA">
        <w:rPr>
          <w:rFonts w:ascii="Calibri" w:hAnsi="Calibri" w:cs="Arial"/>
          <w:szCs w:val="24"/>
        </w:rPr>
        <w:t>Dz. U. z 20</w:t>
      </w:r>
      <w:r w:rsidR="008F7997">
        <w:rPr>
          <w:rFonts w:ascii="Calibri" w:hAnsi="Calibri" w:cs="Arial"/>
          <w:szCs w:val="24"/>
        </w:rPr>
        <w:t>19</w:t>
      </w:r>
      <w:r w:rsidR="008F7997" w:rsidRPr="00AD1CCA">
        <w:rPr>
          <w:rFonts w:ascii="Calibri" w:hAnsi="Calibri" w:cs="Arial"/>
          <w:szCs w:val="24"/>
        </w:rPr>
        <w:t xml:space="preserve"> r.</w:t>
      </w:r>
      <w:r w:rsidR="008F7997">
        <w:rPr>
          <w:rFonts w:ascii="Calibri" w:hAnsi="Calibri" w:cs="Arial"/>
          <w:szCs w:val="24"/>
        </w:rPr>
        <w:t>,</w:t>
      </w:r>
      <w:r w:rsidR="008F7997" w:rsidRPr="00AD1CCA">
        <w:rPr>
          <w:rFonts w:ascii="Calibri" w:hAnsi="Calibri" w:cs="Arial"/>
          <w:szCs w:val="24"/>
        </w:rPr>
        <w:t xml:space="preserve"> poz. </w:t>
      </w:r>
      <w:r w:rsidR="008F7997">
        <w:rPr>
          <w:rFonts w:ascii="Calibri" w:hAnsi="Calibri" w:cs="Arial"/>
          <w:szCs w:val="24"/>
        </w:rPr>
        <w:t>1065 ze zm</w:t>
      </w:r>
      <w:r w:rsidRPr="00AD1CCA">
        <w:rPr>
          <w:rFonts w:ascii="Calibri" w:hAnsi="Calibri" w:cs="Arial"/>
          <w:szCs w:val="24"/>
        </w:rPr>
        <w:t>)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2"/>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lastRenderedPageBreak/>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54688929"/>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lastRenderedPageBreak/>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54688930"/>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54688931"/>
      <w:r w:rsidRPr="00AD1CCA">
        <w:rPr>
          <w:rFonts w:ascii="Calibri" w:hAnsi="Calibri"/>
          <w:sz w:val="24"/>
          <w:szCs w:val="24"/>
        </w:rPr>
        <w:lastRenderedPageBreak/>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54688932"/>
      <w:r w:rsidRPr="00AD1CCA">
        <w:rPr>
          <w:rFonts w:ascii="Calibri" w:hAnsi="Calibri"/>
          <w:sz w:val="24"/>
          <w:szCs w:val="24"/>
        </w:rPr>
        <w:t>ANALIZA INSTYTUCJONALNA I WYKONALNOŚCI PROJEKTU</w:t>
      </w:r>
      <w:bookmarkEnd w:id="11"/>
      <w:bookmarkEnd w:id="12"/>
    </w:p>
    <w:p w14:paraId="3D71F02C" w14:textId="4C02F21E"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r w:rsidR="00065FA3">
        <w:rPr>
          <w:rFonts w:ascii="Calibri" w:hAnsi="Calibri"/>
          <w:szCs w:val="24"/>
        </w:rPr>
        <w:br/>
      </w:r>
      <w:r w:rsidR="00065FA3">
        <w:rPr>
          <w:rFonts w:ascii="Calibri" w:hAnsi="Calibri"/>
          <w:szCs w:val="24"/>
        </w:rPr>
        <w:br/>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lastRenderedPageBreak/>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 xml:space="preserve">o charakterze bezzwrotnym, udzielane są pożyczki/kredyty z oprocentowaniem </w:t>
      </w:r>
      <w:r w:rsidRPr="00AD1CCA">
        <w:rPr>
          <w:rFonts w:ascii="Calibri" w:hAnsi="Calibri"/>
          <w:i/>
          <w:szCs w:val="24"/>
        </w:rPr>
        <w:lastRenderedPageBreak/>
        <w:t>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54688933"/>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54688934"/>
      <w:r w:rsidRPr="00AD1CCA">
        <w:rPr>
          <w:rFonts w:ascii="Calibri" w:hAnsi="Calibri"/>
          <w:sz w:val="24"/>
          <w:szCs w:val="24"/>
        </w:rPr>
        <w:t>ZASTOSOWANE UPROSZCZONE METODY ROZLICZANIA WYDATKÓW</w:t>
      </w:r>
      <w:bookmarkEnd w:id="15"/>
      <w:bookmarkEnd w:id="16"/>
    </w:p>
    <w:p w14:paraId="5E6E1E68" w14:textId="5C266F73"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00E67388">
        <w:rPr>
          <w:rFonts w:ascii="Calibri" w:hAnsi="Calibri"/>
          <w:szCs w:val="24"/>
        </w:rPr>
        <w:t xml:space="preserve"> </w:t>
      </w:r>
      <w:r w:rsidR="00ED166A">
        <w:rPr>
          <w:rFonts w:ascii="Calibri" w:hAnsi="Calibri"/>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54688935"/>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 xml:space="preserve">w finansowaniu lub poprzez zastosowanie zryczałtowanych procentowych stawek </w:t>
      </w:r>
      <w:r w:rsidRPr="00AD1CCA">
        <w:rPr>
          <w:rFonts w:ascii="Calibri" w:hAnsi="Calibri"/>
          <w:bCs/>
          <w:szCs w:val="24"/>
        </w:rPr>
        <w:lastRenderedPageBreak/>
        <w:t>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1C447150"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lastRenderedPageBreak/>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3"/>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lastRenderedPageBreak/>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5"/>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6BEA706E" w:rsidR="005F310B" w:rsidRPr="00540AEA" w:rsidRDefault="00006273" w:rsidP="005F310B">
      <w:pPr>
        <w:spacing w:before="120" w:after="120" w:line="276" w:lineRule="auto"/>
        <w:ind w:firstLine="709"/>
        <w:rPr>
          <w:rFonts w:ascii="Calibri" w:hAnsi="Calibri"/>
          <w:b/>
        </w:rPr>
      </w:pPr>
      <w:r w:rsidRPr="00540AEA">
        <w:rPr>
          <w:rFonts w:ascii="Calibri" w:hAnsi="Calibri"/>
          <w:b/>
        </w:rPr>
        <w:t xml:space="preserve">Do analizy projektów składanych w ramach działania </w:t>
      </w:r>
      <w:r w:rsidR="00923290">
        <w:rPr>
          <w:rFonts w:ascii="Calibri" w:hAnsi="Calibri"/>
          <w:b/>
        </w:rPr>
        <w:t xml:space="preserve">5.2 </w:t>
      </w:r>
      <w:r w:rsidR="00923290" w:rsidRPr="00923290">
        <w:rPr>
          <w:rFonts w:ascii="Calibri" w:hAnsi="Calibri"/>
          <w:b/>
          <w:i/>
        </w:rPr>
        <w:t>Poprawa gospodarowania odpadami komunalnymi</w:t>
      </w:r>
      <w:r w:rsidRPr="00923290">
        <w:rPr>
          <w:rFonts w:ascii="Calibri" w:hAnsi="Calibri"/>
          <w:b/>
          <w:i/>
        </w:rPr>
        <w:t xml:space="preserve"> </w:t>
      </w:r>
      <w:r w:rsidRPr="00540AEA">
        <w:rPr>
          <w:rFonts w:ascii="Calibri" w:hAnsi="Calibri"/>
          <w:b/>
        </w:rPr>
        <w:t xml:space="preserve">RPO WO 2014-2020 należy przyjąć </w:t>
      </w:r>
      <w:r w:rsidR="00336C36">
        <w:rPr>
          <w:rFonts w:ascii="Calibri" w:hAnsi="Calibri"/>
          <w:b/>
        </w:rPr>
        <w:t>30</w:t>
      </w:r>
      <w:r w:rsidR="00375C50" w:rsidRPr="00540AEA">
        <w:rPr>
          <w:rFonts w:ascii="Calibri" w:hAnsi="Calibri"/>
          <w:b/>
        </w:rPr>
        <w:t xml:space="preserve">-letni </w:t>
      </w:r>
      <w:r w:rsidRPr="00540AEA">
        <w:rPr>
          <w:rFonts w:ascii="Calibri" w:hAnsi="Calibri"/>
          <w:b/>
        </w:rPr>
        <w:t xml:space="preserve">okres referencyjny </w:t>
      </w:r>
      <w:r w:rsidR="00375C50" w:rsidRPr="00540AEA">
        <w:rPr>
          <w:rFonts w:ascii="Calibri" w:hAnsi="Calibri"/>
          <w:b/>
        </w:rPr>
        <w:t>.</w:t>
      </w:r>
    </w:p>
    <w:p w14:paraId="60FAB4EE"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okres amortyzacji – powinien odzwierciedlać faktyczny okres użytkowania aktywa, a nie minimalny okres amortyzacji wynikający z właściwych przepisów prawnych. </w:t>
      </w:r>
      <w:r w:rsidRPr="00540AEA">
        <w:rPr>
          <w:rFonts w:ascii="Calibri" w:hAnsi="Calibri"/>
          <w:szCs w:val="24"/>
        </w:rPr>
        <w:br/>
        <w:t xml:space="preserve">Wiąże się to z faktem, iż okres amortyzacji (i wynikająca z niego wartość amortyzacji) </w:t>
      </w:r>
      <w:r w:rsidRPr="00540AEA">
        <w:rPr>
          <w:rFonts w:ascii="Calibri" w:hAnsi="Calibri"/>
          <w:szCs w:val="24"/>
        </w:rPr>
        <w:lastRenderedPageBreak/>
        <w:t xml:space="preserve">brany jest pod uwagę przy ustalaniu poziomu opłat, w oparciu o zasadę dostępności cenowej, jak również przy ustalaniu wartości rezydualnej. Amortyzacja nie stanowi faktycznego przepływu pieniężnego i nie jest uwzględniania w kosztach operacyjnych </w:t>
      </w:r>
      <w:r w:rsidRPr="00540AEA">
        <w:rPr>
          <w:rFonts w:ascii="Calibri" w:hAnsi="Calibri"/>
          <w:szCs w:val="24"/>
        </w:rPr>
        <w:br/>
        <w:t>w ramach analizy finansowej.</w:t>
      </w:r>
    </w:p>
    <w:p w14:paraId="0CFBF4D1"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lastRenderedPageBreak/>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lastRenderedPageBreak/>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6"/>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Wynikiem sporządzenia powyższej prognozy jest ustalenie wartości przepływów pieniężnych obejmujących nakłady inwestycyjne, nakłady odtworzeniowe, koszty operacyjne, zmiany w kapitale obrotowym netto w całym okresie odniesienia – fazie </w:t>
      </w:r>
      <w:r w:rsidRPr="00AD1CCA">
        <w:rPr>
          <w:rFonts w:ascii="Calibri" w:hAnsi="Calibri" w:cs="Arial"/>
          <w:bCs/>
          <w:szCs w:val="24"/>
        </w:rPr>
        <w:lastRenderedPageBreak/>
        <w:t>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7"/>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lastRenderedPageBreak/>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8F7997" w:rsidRPr="005A3B8B" w:rsidRDefault="008F7997"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8F7997" w:rsidRPr="005A3B8B" w:rsidRDefault="008F7997"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468F0D5E">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B58E" id="Group 30" o:spid="_x0000_s1026" alt="grafika wskazująca, że wskaźniki (FNPV/C) i (FRR/C) to finansowy zwrot z inwestycji a wskaźniki (FNPV/K) i (FRR/K) to finansowy zwrot z kapitału krajowego" style="position:absolute;margin-left:364.4pt;margin-top:16.35pt;width:10.45pt;height:66.1pt;z-index:251665920"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8F7997" w:rsidRPr="005A3B8B" w:rsidRDefault="008F7997"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8F7997" w:rsidRPr="005A3B8B" w:rsidRDefault="008F7997"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lastRenderedPageBreak/>
        <w:t>finansowa wewnętrzna stopa zwrotu z kapitału krajowego (FRR/K).</w:t>
      </w:r>
    </w:p>
    <w:p w14:paraId="5E0A5AA9" w14:textId="5FC501FB"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8"/>
      </w:r>
      <w:r w:rsidRPr="00AD1CCA">
        <w:rPr>
          <w:rFonts w:ascii="Calibri" w:hAnsi="Calibri" w:cs="Arial"/>
          <w:sz w:val="24"/>
        </w:rPr>
        <w:t xml:space="preserve">, </w:t>
      </w:r>
      <w:r w:rsidRPr="00AD1CCA">
        <w:rPr>
          <w:rFonts w:ascii="Calibri" w:hAnsi="Calibri" w:cs="Arial"/>
          <w:sz w:val="24"/>
        </w:rPr>
        <w:br/>
      </w:r>
      <w:r w:rsidRPr="00AD1CCA">
        <w:rPr>
          <w:rFonts w:ascii="Calibri" w:hAnsi="Calibri" w:cs="Arial"/>
          <w:sz w:val="24"/>
        </w:rPr>
        <w:lastRenderedPageBreak/>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065FA3">
        <w:rPr>
          <w:rFonts w:ascii="Calibri" w:hAnsi="Calibri" w:cs="Arial"/>
          <w:b/>
          <w:sz w:val="24"/>
        </w:rPr>
        <w:t>9)</w:t>
      </w:r>
      <w:r w:rsidRPr="00AD1CCA">
        <w:rPr>
          <w:rFonts w:ascii="Calibri" w:hAnsi="Calibri" w:cs="Arial"/>
          <w:sz w:val="24"/>
        </w:rPr>
        <w:t xml:space="preserve">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w:t>
      </w:r>
      <w:r w:rsidRPr="00AD1CCA">
        <w:rPr>
          <w:rFonts w:ascii="Calibri" w:hAnsi="Calibri" w:cs="Arial"/>
          <w:color w:val="000000"/>
          <w:szCs w:val="24"/>
        </w:rPr>
        <w:lastRenderedPageBreak/>
        <w:t xml:space="preserve">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18478709" w14:textId="77777777" w:rsidR="00183C43"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lastRenderedPageBreak/>
        <w:t xml:space="preserve"> zdyskontowane przychody</w:t>
      </w:r>
      <w:r>
        <w:rPr>
          <w:rStyle w:val="Odwoanieprzypisudolnego"/>
          <w:rFonts w:ascii="Calibri" w:hAnsi="Calibri"/>
          <w:bCs/>
          <w:szCs w:val="24"/>
        </w:rPr>
        <w:footnoteReference w:id="29"/>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bez </w:t>
      </w:r>
      <w:r w:rsidR="00183C43">
        <w:rPr>
          <w:rFonts w:ascii="Calibri" w:hAnsi="Calibri"/>
          <w:bCs/>
          <w:szCs w:val="24"/>
        </w:rPr>
        <w:br/>
      </w:r>
    </w:p>
    <w:p w14:paraId="3FD9531C" w14:textId="0B14356C" w:rsidR="005F310B" w:rsidRPr="00AD1CCA" w:rsidRDefault="005F310B" w:rsidP="00EE5462">
      <w:pPr>
        <w:suppressAutoHyphens w:val="0"/>
        <w:spacing w:after="120" w:line="276" w:lineRule="auto"/>
        <w:ind w:left="709"/>
        <w:rPr>
          <w:rFonts w:ascii="Calibri" w:hAnsi="Calibri"/>
          <w:bCs/>
          <w:szCs w:val="24"/>
        </w:rPr>
      </w:pPr>
      <w:r w:rsidRPr="00AD1CCA">
        <w:rPr>
          <w:rFonts w:ascii="Calibri" w:hAnsi="Calibri"/>
          <w:bCs/>
          <w:szCs w:val="24"/>
        </w:rPr>
        <w:t>uwzględnienia wartości rezydualnej</w:t>
      </w:r>
      <w:r>
        <w:rPr>
          <w:rStyle w:val="Odwoanieprzypisudolnego"/>
          <w:rFonts w:ascii="Calibri" w:hAnsi="Calibri"/>
          <w:bCs/>
          <w:szCs w:val="24"/>
        </w:rPr>
        <w:footnoteReference w:id="30"/>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1"/>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183C43">
      <w:pPr>
        <w:pStyle w:val="Tekstpodstawowy22"/>
        <w:numPr>
          <w:ilvl w:val="3"/>
          <w:numId w:val="11"/>
        </w:numPr>
        <w:tabs>
          <w:tab w:val="clear" w:pos="1534"/>
          <w:tab w:val="num" w:pos="1560"/>
        </w:tabs>
        <w:spacing w:before="240" w:after="120" w:line="276" w:lineRule="auto"/>
        <w:ind w:left="1418" w:hanging="709"/>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lastRenderedPageBreak/>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1D6D1FAA"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lastRenderedPageBreak/>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21801B02"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 xml:space="preserve">lub </w:t>
      </w:r>
      <w:r w:rsidR="00E67388">
        <w:rPr>
          <w:rFonts w:ascii="Calibri" w:hAnsi="Calibri" w:cs="Arial"/>
          <w:bCs/>
          <w:szCs w:val="24"/>
        </w:rPr>
        <w:t>poza</w:t>
      </w:r>
      <w:r w:rsidRPr="00AD1CCA">
        <w:rPr>
          <w:rFonts w:ascii="Calibri" w:hAnsi="Calibri" w:cs="Arial"/>
          <w:bCs/>
          <w:szCs w:val="24"/>
        </w:rPr>
        <w:t xml:space="preserve">konkursach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w:t>
      </w:r>
      <w:r w:rsidR="00B2113C">
        <w:rPr>
          <w:rFonts w:ascii="Calibri" w:hAnsi="Calibri" w:cs="Arial"/>
        </w:rPr>
        <w:t>poza</w:t>
      </w:r>
      <w:r w:rsidRPr="00E3536E">
        <w:rPr>
          <w:rFonts w:ascii="Calibri" w:hAnsi="Calibri" w:cs="Arial"/>
        </w:rPr>
        <w:t>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lastRenderedPageBreak/>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 sytuacji, gdy Komisja Europejska, korzystając z uprawnienia nadanego jej przez art. 61 ust. 3 rozporządzenia nr 1303/2013, wyda akty delegowane określające stawki ryczałtowe dla projektów z zakresu technologii informacyjnych i komunikacyjnych, </w:t>
      </w:r>
      <w:r w:rsidRPr="00AD1CCA">
        <w:rPr>
          <w:rFonts w:ascii="Calibri" w:hAnsi="Calibri" w:cs="Arial"/>
          <w:bCs/>
          <w:szCs w:val="24"/>
        </w:rPr>
        <w:lastRenderedPageBreak/>
        <w:t>badań, rozwoju i innowacyjności</w:t>
      </w:r>
      <w:r>
        <w:rPr>
          <w:rStyle w:val="Odwoanieprzypisudolnego"/>
          <w:rFonts w:ascii="Calibri" w:hAnsi="Calibri" w:cs="Arial"/>
          <w:bCs/>
          <w:szCs w:val="24"/>
        </w:rPr>
        <w:footnoteReference w:id="32"/>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4A98E575"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w:t>
      </w:r>
      <w:r w:rsidR="00B2113C">
        <w:rPr>
          <w:rFonts w:ascii="Calibri" w:hAnsi="Calibri" w:cs="Arial"/>
          <w:bCs/>
          <w:szCs w:val="24"/>
        </w:rPr>
        <w:t>poza</w:t>
      </w:r>
      <w:r w:rsidRPr="00AD1CCA">
        <w:rPr>
          <w:rFonts w:ascii="Calibri" w:hAnsi="Calibri" w:cs="Arial"/>
          <w:bCs/>
          <w:szCs w:val="24"/>
        </w:rPr>
        <w:t>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 xml:space="preserve">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w:t>
      </w:r>
      <w:r w:rsidRPr="00AD1CCA">
        <w:rPr>
          <w:rFonts w:ascii="Calibri" w:hAnsi="Calibri" w:cs="Arial"/>
          <w:bCs/>
          <w:szCs w:val="24"/>
        </w:rPr>
        <w:lastRenderedPageBreak/>
        <w:t>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44457A3B"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w:t>
      </w:r>
      <w:r w:rsidR="00B2113C">
        <w:rPr>
          <w:rFonts w:ascii="Calibri" w:hAnsi="Calibri" w:cs="Arial"/>
          <w:bCs/>
          <w:szCs w:val="24"/>
        </w:rPr>
        <w:t>poza</w:t>
      </w:r>
      <w:r w:rsidRPr="00AD1CCA">
        <w:rPr>
          <w:rFonts w:ascii="Calibri" w:hAnsi="Calibri" w:cs="Arial"/>
          <w:bCs/>
          <w:szCs w:val="24"/>
        </w:rPr>
        <w:t xml:space="preserve">konkursach ze względu na rodzaj projektu/beneficjenta, można zastosować stopę dofinansowania właściwą dla danego rodzaju projektu/beneficjenta w ramach określonego działania lub </w:t>
      </w:r>
      <w:r w:rsidR="00B2113C">
        <w:rPr>
          <w:rFonts w:ascii="Calibri" w:hAnsi="Calibri" w:cs="Arial"/>
          <w:bCs/>
          <w:szCs w:val="24"/>
        </w:rPr>
        <w:t>poza</w:t>
      </w:r>
      <w:r w:rsidRPr="00AD1CCA">
        <w:rPr>
          <w:rFonts w:ascii="Calibri" w:hAnsi="Calibri" w:cs="Arial"/>
          <w:bCs/>
          <w:szCs w:val="24"/>
        </w:rPr>
        <w:t xml:space="preserve">konkursu. Podział środków pomiędzy działania oraz </w:t>
      </w:r>
      <w:r w:rsidRPr="00AD1CCA">
        <w:rPr>
          <w:rFonts w:ascii="Calibri" w:hAnsi="Calibri" w:cs="Arial"/>
          <w:bCs/>
          <w:szCs w:val="24"/>
        </w:rPr>
        <w:lastRenderedPageBreak/>
        <w:t>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05387B74"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4A14EA5C"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z wyprzedzeniem, które jednocześnie spełniają warunki określone w</w:t>
      </w:r>
      <w:r w:rsidRPr="000E7B97">
        <w:rPr>
          <w:rFonts w:ascii="Calibri" w:hAnsi="Calibri" w:cs="Arial"/>
          <w:bCs/>
          <w:szCs w:val="24"/>
        </w:rPr>
        <w:t xml:space="preserve"> podrozdziale 8.1 pkt 2) ppkt b)</w:t>
      </w:r>
      <w:r>
        <w:rPr>
          <w:rFonts w:ascii="Calibri" w:hAnsi="Calibri" w:cs="Arial"/>
          <w:bCs/>
          <w:szCs w:val="24"/>
        </w:rPr>
        <w:t xml:space="preserve"> </w:t>
      </w:r>
      <w:r w:rsidRPr="000E7B97">
        <w:rPr>
          <w:rFonts w:ascii="Calibri" w:hAnsi="Calibri" w:cs="Arial"/>
          <w:bCs/>
          <w:szCs w:val="24"/>
        </w:rPr>
        <w:t xml:space="preserve">Wytycznych w zakresie zagadnień związanych z przygotowaniem projektów inwestycyjnych, w tym projektów generujących dochód i projektów </w:t>
      </w:r>
      <w:r w:rsidRPr="000E7B97">
        <w:rPr>
          <w:rFonts w:ascii="Calibri" w:hAnsi="Calibri" w:cs="Arial"/>
          <w:bCs/>
          <w:szCs w:val="24"/>
        </w:rPr>
        <w:lastRenderedPageBreak/>
        <w:t>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3"/>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lastRenderedPageBreak/>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4"/>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 xml:space="preserve">w ramach Europejskiego Funduszu Rozwoju Regionalnego, a zatem występuje finansowanie krzyżowe, ma znaczenie w kontekście przesłanek wyłączających </w:t>
      </w:r>
      <w:r w:rsidRPr="00AD1CCA">
        <w:rPr>
          <w:rFonts w:ascii="Calibri" w:hAnsi="Calibri"/>
          <w:bCs/>
          <w:szCs w:val="24"/>
        </w:rPr>
        <w:lastRenderedPageBreak/>
        <w:t>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1F6FBA05"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lastRenderedPageBreak/>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lastRenderedPageBreak/>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5468893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r>
      <w:r w:rsidRPr="00AD1CCA">
        <w:rPr>
          <w:rFonts w:ascii="Calibri" w:hAnsi="Calibri"/>
          <w:bCs/>
          <w:szCs w:val="24"/>
        </w:rPr>
        <w:lastRenderedPageBreak/>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5"/>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lastRenderedPageBreak/>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lastRenderedPageBreak/>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r>
      <w:r w:rsidRPr="00AD1CCA">
        <w:rPr>
          <w:rFonts w:ascii="Calibri" w:hAnsi="Calibri"/>
          <w:bCs/>
          <w:szCs w:val="24"/>
        </w:rPr>
        <w:lastRenderedPageBreak/>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lastRenderedPageBreak/>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54688937"/>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lastRenderedPageBreak/>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6"/>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7"/>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lastRenderedPageBreak/>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8"/>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71D70B54" w14:textId="587310E6" w:rsidR="006A3D5F" w:rsidRPr="006A3D5F" w:rsidRDefault="005F310B" w:rsidP="006A3D5F">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54688938"/>
      <w:r w:rsidRPr="00AD1CCA">
        <w:rPr>
          <w:rFonts w:ascii="Calibri" w:hAnsi="Calibri"/>
          <w:sz w:val="24"/>
          <w:szCs w:val="24"/>
        </w:rPr>
        <w:t>STOSOWANIE PODEJŚCIA SZCZEGÓŁOWEGO</w:t>
      </w:r>
      <w:bookmarkEnd w:id="78"/>
    </w:p>
    <w:p w14:paraId="61DA7AAB" w14:textId="7952C7EF" w:rsidR="006A3D5F" w:rsidRDefault="005F310B" w:rsidP="00BD7983">
      <w:pPr>
        <w:pStyle w:val="Tekstpodstawowy22"/>
        <w:spacing w:before="120" w:after="120" w:line="276" w:lineRule="auto"/>
        <w:ind w:firstLine="567"/>
        <w:jc w:val="left"/>
        <w:rPr>
          <w:rFonts w:ascii="Calibri" w:hAnsi="Calibri"/>
          <w:bCs/>
          <w:szCs w:val="24"/>
        </w:rPr>
      </w:pPr>
      <w:r w:rsidRPr="00AD1CCA">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w:t>
      </w:r>
      <w:r w:rsidR="00FE0E2C">
        <w:rPr>
          <w:rFonts w:ascii="Calibri" w:hAnsi="Calibri"/>
          <w:bCs/>
          <w:szCs w:val="24"/>
        </w:rPr>
        <w:t xml:space="preserve"> hybrydowych na lata 2014-2020 </w:t>
      </w:r>
      <w:r w:rsidRPr="00AD1CCA">
        <w:rPr>
          <w:rFonts w:ascii="Calibri" w:hAnsi="Calibri"/>
          <w:bCs/>
          <w:szCs w:val="24"/>
        </w:rPr>
        <w:t>w oparciu o odrębne dokumenty s</w:t>
      </w:r>
      <w:r w:rsidR="00FE0E2C">
        <w:rPr>
          <w:rFonts w:ascii="Calibri" w:hAnsi="Calibri"/>
          <w:bCs/>
          <w:szCs w:val="24"/>
        </w:rPr>
        <w:t>tanowiące zalecenia sektorowe.</w:t>
      </w:r>
    </w:p>
    <w:p w14:paraId="4430A9FD" w14:textId="77777777" w:rsidR="00737B56" w:rsidRDefault="00737B56" w:rsidP="00BD7983">
      <w:pPr>
        <w:pStyle w:val="Tekstpodstawowy22"/>
        <w:spacing w:before="120" w:after="120" w:line="276" w:lineRule="auto"/>
        <w:ind w:firstLine="567"/>
        <w:jc w:val="left"/>
        <w:rPr>
          <w:rFonts w:ascii="Calibri" w:hAnsi="Calibri"/>
          <w:bCs/>
          <w:szCs w:val="24"/>
        </w:rPr>
      </w:pP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5468893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34BEA0B0" w14:textId="0BA4968F" w:rsidR="00737B56" w:rsidRDefault="00FE0E2C" w:rsidP="00737B56">
      <w:pPr>
        <w:pStyle w:val="Akapitzlist"/>
        <w:ind w:left="0" w:firstLine="567"/>
      </w:pPr>
      <w:bookmarkStart w:id="121" w:name="_Toc477857436"/>
      <w:r w:rsidRPr="00540AEA">
        <w:rPr>
          <w:sz w:val="24"/>
          <w:szCs w:val="24"/>
        </w:rPr>
        <w:t xml:space="preserve">W rozdziale tym należy </w:t>
      </w:r>
      <w:r w:rsidR="00692C99" w:rsidRPr="00540AEA">
        <w:rPr>
          <w:sz w:val="24"/>
          <w:szCs w:val="24"/>
        </w:rPr>
        <w:t xml:space="preserve">opisać </w:t>
      </w:r>
      <w:r w:rsidR="00A241E8">
        <w:rPr>
          <w:sz w:val="24"/>
          <w:szCs w:val="24"/>
        </w:rPr>
        <w:t xml:space="preserve">relację zgłaszanego projektu względem najważniejszych cech charakterystycznych dla przedsięwzięć przewidzianych do realizacji w ramach działania 5.2 </w:t>
      </w:r>
      <w:r w:rsidR="00A241E8" w:rsidRPr="00A241E8">
        <w:rPr>
          <w:i/>
          <w:sz w:val="24"/>
          <w:szCs w:val="24"/>
        </w:rPr>
        <w:t>Poprawa gospodarowania odpadami komunalnymi.</w:t>
      </w:r>
      <w:r w:rsidR="00DA730E">
        <w:t xml:space="preserve"> </w:t>
      </w:r>
      <w:r w:rsidR="00692C99">
        <w:t xml:space="preserve"> </w:t>
      </w:r>
    </w:p>
    <w:p w14:paraId="19F6380A" w14:textId="5029FFAB" w:rsidR="00737B56" w:rsidRPr="00737B56" w:rsidRDefault="00737B56" w:rsidP="00737B56">
      <w:pPr>
        <w:pStyle w:val="Akapitzlist"/>
        <w:ind w:left="0" w:firstLine="567"/>
        <w:rPr>
          <w:b/>
          <w:sz w:val="24"/>
          <w:szCs w:val="24"/>
        </w:rPr>
      </w:pPr>
      <w:r w:rsidRPr="00737B56">
        <w:rPr>
          <w:b/>
          <w:sz w:val="24"/>
          <w:szCs w:val="24"/>
        </w:rPr>
        <w:t>1.1.13 ODNIESIENIE DO KRYTERIÓW OCENY PROJEKTU</w:t>
      </w:r>
    </w:p>
    <w:p w14:paraId="3509B364" w14:textId="3DDBA9CE" w:rsidR="00A241E8" w:rsidRPr="00737B56" w:rsidRDefault="00A241E8" w:rsidP="00737B56">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A241E8">
        <w:rPr>
          <w:rFonts w:asciiTheme="minorHAnsi" w:hAnsiTheme="minorHAnsi" w:cs="Arial"/>
          <w:szCs w:val="24"/>
        </w:rPr>
        <w:t xml:space="preserve">działania 5.2 </w:t>
      </w:r>
      <w:r w:rsidRPr="00A241E8">
        <w:rPr>
          <w:rFonts w:asciiTheme="minorHAnsi" w:hAnsiTheme="minorHAnsi" w:cs="Arial"/>
          <w:i/>
          <w:szCs w:val="24"/>
        </w:rPr>
        <w:t>Poprawa gospodarowania odpadami komunalnymi</w:t>
      </w:r>
      <w:r>
        <w:rPr>
          <w:rFonts w:asciiTheme="minorHAnsi" w:hAnsiTheme="minorHAnsi" w:cs="Arial"/>
          <w:b/>
          <w:szCs w:val="24"/>
        </w:rPr>
        <w:t xml:space="preserve"> </w:t>
      </w:r>
      <w:r w:rsidRPr="00A241E8">
        <w:rPr>
          <w:rFonts w:asciiTheme="minorHAnsi" w:hAnsiTheme="minorHAnsi" w:cs="Arial"/>
          <w:szCs w:val="24"/>
        </w:rPr>
        <w:t xml:space="preserve">RPO WO </w:t>
      </w:r>
      <w:r w:rsidRPr="00A241E8">
        <w:rPr>
          <w:rFonts w:asciiTheme="minorHAnsi" w:hAnsiTheme="minorHAnsi" w:cs="Arial"/>
          <w:szCs w:val="24"/>
        </w:rPr>
        <w:lastRenderedPageBreak/>
        <w:t>2014-2020</w:t>
      </w:r>
      <w:r w:rsidRPr="00A241E8">
        <w:rPr>
          <w:rFonts w:asciiTheme="minorHAnsi" w:hAnsiTheme="minorHAnsi" w:cs="Arial"/>
          <w:i/>
          <w:szCs w:val="24"/>
        </w:rPr>
        <w:t xml:space="preserve">, </w:t>
      </w:r>
      <w:r w:rsidRPr="00A241E8">
        <w:rPr>
          <w:rFonts w:asciiTheme="minorHAnsi" w:hAnsiTheme="minorHAnsi" w:cs="Arial"/>
          <w:szCs w:val="24"/>
        </w:rPr>
        <w:t>s</w:t>
      </w:r>
      <w:r w:rsidRPr="002076AD">
        <w:rPr>
          <w:rFonts w:asciiTheme="minorHAnsi" w:hAnsiTheme="minorHAnsi" w:cs="Arial"/>
          <w:szCs w:val="24"/>
        </w:rPr>
        <w:t>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A241E8">
        <w:rPr>
          <w:rFonts w:asciiTheme="minorHAnsi" w:hAnsiTheme="minorHAnsi" w:cs="Arial"/>
          <w:szCs w:val="24"/>
        </w:rPr>
        <w:t>W przypadku gdy wartości kr</w:t>
      </w:r>
      <w:r w:rsidR="00737B56">
        <w:rPr>
          <w:rFonts w:asciiTheme="minorHAnsi" w:hAnsiTheme="minorHAnsi" w:cs="Arial"/>
          <w:szCs w:val="24"/>
        </w:rPr>
        <w:t xml:space="preserve">yteriów wynikają </w:t>
      </w:r>
      <w:r w:rsidRPr="00A241E8">
        <w:rPr>
          <w:rFonts w:asciiTheme="minorHAnsi" w:hAnsiTheme="minorHAnsi" w:cs="Arial"/>
          <w:szCs w:val="24"/>
        </w:rPr>
        <w:t xml:space="preserve">z dokonanych obliczeń należy zaprezentować szczegółową </w:t>
      </w:r>
      <w:r w:rsidRPr="00737B56">
        <w:rPr>
          <w:rFonts w:asciiTheme="minorHAnsi" w:hAnsiTheme="minorHAnsi" w:cs="Arial"/>
          <w:szCs w:val="24"/>
          <w:u w:val="single"/>
        </w:rPr>
        <w:t>metodologię</w:t>
      </w:r>
      <w:r w:rsidRPr="00737B56">
        <w:rPr>
          <w:rFonts w:asciiTheme="minorHAnsi" w:hAnsiTheme="minorHAnsi" w:cs="Arial"/>
          <w:szCs w:val="24"/>
        </w:rPr>
        <w:t xml:space="preserve"> </w:t>
      </w:r>
      <w:r w:rsidRPr="00A241E8">
        <w:rPr>
          <w:rFonts w:asciiTheme="minorHAnsi" w:hAnsiTheme="minorHAnsi" w:cs="Arial"/>
          <w:szCs w:val="24"/>
        </w:rPr>
        <w:t>ich obliczenia.</w:t>
      </w:r>
    </w:p>
    <w:p w14:paraId="457D9319" w14:textId="014E3694" w:rsidR="002420AF" w:rsidRPr="00AD1CCA" w:rsidRDefault="002420AF" w:rsidP="00737B56">
      <w:pPr>
        <w:pStyle w:val="Nagwek1"/>
        <w:numPr>
          <w:ilvl w:val="2"/>
          <w:numId w:val="110"/>
        </w:numPr>
        <w:spacing w:after="120" w:line="276" w:lineRule="auto"/>
        <w:rPr>
          <w:rFonts w:ascii="Calibri" w:hAnsi="Calibri"/>
          <w:sz w:val="24"/>
          <w:szCs w:val="24"/>
        </w:rPr>
      </w:pPr>
      <w:bookmarkStart w:id="122" w:name="_Toc54688940"/>
      <w:r w:rsidRPr="00AD1CCA">
        <w:rPr>
          <w:rFonts w:ascii="Calibri" w:hAnsi="Calibri"/>
          <w:sz w:val="24"/>
          <w:szCs w:val="24"/>
        </w:rPr>
        <w:t>PRO</w:t>
      </w:r>
      <w:r>
        <w:rPr>
          <w:rFonts w:ascii="Calibri" w:hAnsi="Calibri"/>
          <w:sz w:val="24"/>
          <w:szCs w:val="24"/>
        </w:rPr>
        <w:t>MOCJA PROJEKTU</w:t>
      </w:r>
      <w:bookmarkEnd w:id="122"/>
    </w:p>
    <w:bookmarkEnd w:id="121"/>
    <w:p w14:paraId="5E72219C" w14:textId="5A8ECF33" w:rsidR="00552801"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D23990" w14:textId="1ECB4DCA" w:rsidR="006A3D5F" w:rsidRPr="00BD7983" w:rsidRDefault="005F310B" w:rsidP="00737B56">
      <w:pPr>
        <w:pStyle w:val="Nagwek1"/>
        <w:numPr>
          <w:ilvl w:val="2"/>
          <w:numId w:val="110"/>
        </w:numPr>
        <w:spacing w:after="120" w:line="276" w:lineRule="auto"/>
        <w:rPr>
          <w:rFonts w:ascii="Calibri" w:hAnsi="Calibri"/>
          <w:sz w:val="24"/>
          <w:szCs w:val="24"/>
        </w:rPr>
      </w:pPr>
      <w:bookmarkStart w:id="123" w:name="_Toc477857437"/>
      <w:bookmarkStart w:id="124" w:name="_Toc54688941"/>
      <w:r w:rsidRPr="00AD1CCA">
        <w:rPr>
          <w:rFonts w:ascii="Calibri" w:hAnsi="Calibri"/>
          <w:sz w:val="24"/>
          <w:szCs w:val="24"/>
        </w:rPr>
        <w:t>PROJEKTY HYBRYDOWE</w:t>
      </w:r>
      <w:bookmarkEnd w:id="123"/>
      <w:bookmarkEnd w:id="124"/>
    </w:p>
    <w:p w14:paraId="0D0570AD" w14:textId="1906163C" w:rsidR="005F310B" w:rsidRPr="00AD1CCA" w:rsidRDefault="005F310B" w:rsidP="00737B56">
      <w:pPr>
        <w:pStyle w:val="Tekstpodstawowy22"/>
        <w:numPr>
          <w:ilvl w:val="3"/>
          <w:numId w:val="110"/>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39"/>
      </w:r>
      <w:r w:rsidRPr="00AD1CCA">
        <w:rPr>
          <w:rFonts w:ascii="Calibri" w:hAnsi="Calibri"/>
          <w:szCs w:val="24"/>
        </w:rPr>
        <w:t>.</w:t>
      </w:r>
    </w:p>
    <w:p w14:paraId="00F5F068" w14:textId="5EDB6E46" w:rsidR="005F310B" w:rsidRPr="007D2901" w:rsidRDefault="005F310B" w:rsidP="006A3D5F">
      <w:pPr>
        <w:spacing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w:t>
      </w:r>
      <w:r w:rsidRPr="00EE5462">
        <w:rPr>
          <w:rFonts w:asciiTheme="majorHAnsi" w:hAnsiTheme="majorHAnsi" w:cstheme="majorHAnsi"/>
          <w:szCs w:val="24"/>
        </w:rPr>
        <w:t>prywatnym (</w:t>
      </w:r>
      <w:r w:rsidR="006C6FB6" w:rsidRPr="00EE5462">
        <w:rPr>
          <w:rFonts w:asciiTheme="majorHAnsi" w:hAnsiTheme="majorHAnsi" w:cstheme="majorHAnsi"/>
          <w:color w:val="333333"/>
          <w:szCs w:val="24"/>
          <w:shd w:val="clear" w:color="auto" w:fill="FFFFFF"/>
        </w:rPr>
        <w:t>t.j. Dz. U. z 2022 r. poz. 407 z późn. zm.</w:t>
      </w:r>
      <w:r w:rsidRPr="00EE5462">
        <w:rPr>
          <w:rFonts w:asciiTheme="majorHAnsi" w:hAnsiTheme="majorHAnsi" w:cstheme="majorHAnsi"/>
          <w:szCs w:val="24"/>
        </w:rPr>
        <w:t>), ale również projekty, w których podstawą realizacji są inne akty prawne, m.in. ustawa z dnia 21 października 2016 r. o umowie koncesji na roboty budowlane lub usługi (</w:t>
      </w:r>
      <w:r w:rsidR="006C6FB6" w:rsidRPr="00EE5462">
        <w:rPr>
          <w:rFonts w:asciiTheme="majorHAnsi" w:hAnsiTheme="majorHAnsi" w:cstheme="majorHAnsi"/>
          <w:color w:val="333333"/>
          <w:szCs w:val="24"/>
          <w:shd w:val="clear" w:color="auto" w:fill="FFFFFF"/>
        </w:rPr>
        <w:t>t.j. Dz. U. z 2021 r. poz. 541 z późn. zm.</w:t>
      </w:r>
      <w:r w:rsidRPr="00EE5462">
        <w:rPr>
          <w:rFonts w:asciiTheme="majorHAnsi" w:hAnsiTheme="majorHAnsi" w:cstheme="majorHAnsi"/>
          <w:szCs w:val="24"/>
        </w:rPr>
        <w:t>), o ile</w:t>
      </w:r>
      <w:r w:rsidRPr="007D2901">
        <w:rPr>
          <w:rFonts w:ascii="Calibri" w:hAnsi="Calibri"/>
          <w:szCs w:val="24"/>
        </w:rPr>
        <w:t xml:space="preserve"> wpisują się w definicję partnerstwa publiczno-prywatnego zawartą w art. 2 pkt 24) rozporządzenia nr 1303/2013.</w:t>
      </w:r>
    </w:p>
    <w:p w14:paraId="761471D6" w14:textId="77777777" w:rsidR="005F310B" w:rsidRPr="007D2901" w:rsidRDefault="005F310B" w:rsidP="006A3D5F">
      <w:pPr>
        <w:spacing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6A3D5F">
      <w:pPr>
        <w:spacing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Default="005F310B" w:rsidP="006A3D5F">
      <w:pPr>
        <w:spacing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przedmiotowych modeli jest możliwy do realizacji w ramach perspektywy finansowej 2014-</w:t>
      </w:r>
      <w:r w:rsidRPr="00AD1CCA">
        <w:rPr>
          <w:rFonts w:ascii="Calibri" w:hAnsi="Calibri"/>
          <w:szCs w:val="24"/>
        </w:rPr>
        <w:lastRenderedPageBreak/>
        <w:t xml:space="preserve">2020. Podstawą dla zdefiniowania tej systematyki był stopień, w jakim ryzyko związane z realizacją projektu jest przenoszone na partnera prywatnego. W rezultacie wyróżniono, m.in. następujące formy realizacji projektu hybrydowego: </w:t>
      </w:r>
    </w:p>
    <w:p w14:paraId="140F729A" w14:textId="77777777" w:rsidR="00DD1730" w:rsidRPr="00AD1CCA" w:rsidRDefault="00DD1730" w:rsidP="006A3D5F">
      <w:pPr>
        <w:spacing w:line="276" w:lineRule="auto"/>
        <w:ind w:firstLine="357"/>
        <w:rPr>
          <w:rFonts w:ascii="Calibri" w:hAnsi="Calibri"/>
          <w:szCs w:val="24"/>
        </w:rPr>
      </w:pPr>
    </w:p>
    <w:p w14:paraId="7183AF1A"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w:t>
      </w:r>
      <w:r w:rsidRPr="00AD1CCA">
        <w:rPr>
          <w:rFonts w:ascii="Calibri" w:hAnsi="Calibri"/>
          <w:szCs w:val="24"/>
        </w:rPr>
        <w:lastRenderedPageBreak/>
        <w:t xml:space="preserve">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0"/>
      </w:r>
      <w:r w:rsidRPr="007D2901">
        <w:rPr>
          <w:rFonts w:ascii="Calibri" w:hAnsi="Calibri"/>
          <w:szCs w:val="24"/>
        </w:rPr>
        <w:t xml:space="preserve"> (szerzej patrz: </w:t>
      </w:r>
      <w:r w:rsidRPr="007D2901">
        <w:rPr>
          <w:rFonts w:ascii="Calibri" w:hAnsi="Calibri"/>
          <w:szCs w:val="24"/>
        </w:rPr>
        <w:lastRenderedPageBreak/>
        <w:t>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737B56">
      <w:pPr>
        <w:pStyle w:val="Tekstpodstawowy22"/>
        <w:numPr>
          <w:ilvl w:val="3"/>
          <w:numId w:val="110"/>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 xml:space="preserve">Zgodnie z art. 3a ustawy z dnia 19 grudnia 2008 r. o partnerstwie publiczno-prywatnym, sporządzenie oceny efektywności jest obligatoryjne dla każdej inwestycji, którą podmiot </w:t>
      </w:r>
      <w:r w:rsidRPr="00E3536E">
        <w:rPr>
          <w:rFonts w:ascii="Calibri" w:hAnsi="Calibri"/>
          <w:szCs w:val="24"/>
        </w:rPr>
        <w:lastRenderedPageBreak/>
        <w:t>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1"/>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2"/>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3"/>
      </w:r>
      <w:r w:rsidRPr="00E3536E">
        <w:rPr>
          <w:rFonts w:ascii="Calibri" w:hAnsi="Calibri"/>
          <w:szCs w:val="24"/>
        </w:rPr>
        <w:t xml:space="preserve">. Oba dokumenty zawierają wskazania, które </w:t>
      </w:r>
      <w:r w:rsidRPr="00E3536E">
        <w:rPr>
          <w:rFonts w:ascii="Calibri" w:hAnsi="Calibri"/>
          <w:szCs w:val="24"/>
        </w:rPr>
        <w:lastRenderedPageBreak/>
        <w:t xml:space="preserve">można wykorzystać zarówno na etapie przygotowania, jak i realizacji projektów hybrydowych. </w:t>
      </w:r>
    </w:p>
    <w:p w14:paraId="245AADAF" w14:textId="77777777" w:rsidR="005F310B" w:rsidRPr="00AD1CCA" w:rsidRDefault="005F310B" w:rsidP="00737B56">
      <w:pPr>
        <w:pStyle w:val="Tekstpodstawowy22"/>
        <w:numPr>
          <w:ilvl w:val="3"/>
          <w:numId w:val="110"/>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5" w:name="_Toc477857438"/>
      <w:bookmarkStart w:id="126" w:name="_Toc485203001"/>
      <w:bookmarkStart w:id="127" w:name="_Toc54688942"/>
      <w:r w:rsidRPr="00AD1CCA">
        <w:rPr>
          <w:rFonts w:ascii="Calibri" w:hAnsi="Calibri"/>
          <w:b/>
          <w:bCs/>
          <w:sz w:val="28"/>
          <w:szCs w:val="28"/>
        </w:rPr>
        <w:t>FORMULARZ W ZAKRESIE OCENY ODDZIAŁYWANIA NA ŚRODOWISKO</w:t>
      </w:r>
      <w:bookmarkEnd w:id="125"/>
      <w:bookmarkEnd w:id="126"/>
      <w:bookmarkEnd w:id="127"/>
    </w:p>
    <w:p w14:paraId="06335311" w14:textId="7170C669" w:rsidR="000F3991" w:rsidRDefault="00233B5D" w:rsidP="00327B08">
      <w:pPr>
        <w:spacing w:before="120" w:after="120" w:line="276" w:lineRule="auto"/>
        <w:ind w:firstLine="709"/>
        <w:rPr>
          <w:rFonts w:ascii="Calibri" w:hAnsi="Calibri"/>
          <w:szCs w:val="24"/>
        </w:rPr>
      </w:pPr>
      <w:r w:rsidRPr="00304C79">
        <w:rPr>
          <w:rFonts w:ascii="Calibri" w:eastAsia="Calibri" w:hAnsi="Calibri"/>
          <w:b/>
          <w:noProof/>
          <w:color w:val="000000"/>
          <w:sz w:val="22"/>
          <w:szCs w:val="22"/>
        </w:rPr>
        <mc:AlternateContent>
          <mc:Choice Requires="wps">
            <w:drawing>
              <wp:anchor distT="0" distB="0" distL="114300" distR="114300" simplePos="0" relativeHeight="251668992" behindDoc="0" locked="0" layoutInCell="1" allowOverlap="1" wp14:anchorId="5C37C84D" wp14:editId="75E02E9D">
                <wp:simplePos x="0" y="0"/>
                <wp:positionH relativeFrom="margin">
                  <wp:posOffset>-47625</wp:posOffset>
                </wp:positionH>
                <wp:positionV relativeFrom="paragraph">
                  <wp:posOffset>1442085</wp:posOffset>
                </wp:positionV>
                <wp:extent cx="5391150" cy="1647825"/>
                <wp:effectExtent l="0" t="0" r="19050" b="66675"/>
                <wp:wrapNone/>
                <wp:docPr id="27" name="Zwój poziomy 150" descr="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47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64F6890" w14:textId="77777777" w:rsidR="008F7997" w:rsidRPr="004D1465" w:rsidRDefault="008F7997"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C84D" id="_x0000_s1030" type="#_x0000_t98" alt="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style="position:absolute;left:0;text-align:left;margin-left:-3.75pt;margin-top:113.55pt;width:424.5pt;height:12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" fillcolor="#a3c4ff" strokecolor="#4579b8">
                <v:fill color2="#e5eeff" rotate="t" angle="180" colors="0 #a3c4ff;22938f #bfd5ff;1 #e5eeff" focus="100%" type="gradient"/>
                <v:shadow on="t" color="black" opacity="24903f" origin=",.5" offset="0,.55556mm"/>
                <v:textbox>
                  <w:txbxContent>
                    <w:p w14:paraId="264F6890" w14:textId="77777777" w:rsidR="008F7997" w:rsidRPr="004D1465" w:rsidRDefault="008F7997"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4B9A1262" w:rsidR="007D151C" w:rsidRDefault="007D151C" w:rsidP="00327B08">
      <w:pPr>
        <w:spacing w:before="120" w:after="120" w:line="276" w:lineRule="auto"/>
        <w:ind w:firstLine="709"/>
        <w:rPr>
          <w:rFonts w:ascii="Calibri" w:hAnsi="Calibri"/>
          <w:szCs w:val="24"/>
        </w:rPr>
      </w:pPr>
    </w:p>
    <w:p w14:paraId="622FAB41" w14:textId="150A7265"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D0A79A6">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8F7997" w:rsidRPr="002C6EF9" w:rsidRDefault="008F7997" w:rsidP="00547EF7">
                            <w:pPr>
                              <w:spacing w:after="120"/>
                              <w:rPr>
                                <w:rFonts w:ascii="Calibri" w:hAnsi="Calibri"/>
                                <w:b/>
                                <w:szCs w:val="24"/>
                              </w:rPr>
                            </w:pPr>
                            <w:r w:rsidRPr="002C6EF9">
                              <w:rPr>
                                <w:rFonts w:ascii="Calibri" w:hAnsi="Calibri"/>
                                <w:b/>
                                <w:szCs w:val="24"/>
                              </w:rPr>
                              <w:t>PAMIĘTAJ !</w:t>
                            </w:r>
                          </w:p>
                          <w:p w14:paraId="1B9E8236" w14:textId="77777777" w:rsidR="008F7997" w:rsidRPr="002C6EF9" w:rsidRDefault="008F7997"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B5E8C63" w:rsidR="008F7997" w:rsidRPr="002C6EF9" w:rsidRDefault="008F7997"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EE5462">
                              <w:rPr>
                                <w:rFonts w:asciiTheme="majorHAnsi" w:hAnsiTheme="majorHAnsi" w:cstheme="majorHAnsi"/>
                                <w:color w:val="333333"/>
                                <w:szCs w:val="24"/>
                                <w:shd w:val="clear" w:color="auto" w:fill="FFFFFF"/>
                              </w:rPr>
                              <w:t>(t.j. Dz. U. z 2022 r. poz. 1029</w:t>
                            </w:r>
                            <w:r w:rsidRPr="002C6EF9">
                              <w:rPr>
                                <w:rFonts w:ascii="Calibri" w:hAnsi="Calibri"/>
                                <w:szCs w:val="24"/>
                              </w:rPr>
                              <w:t>),</w:t>
                            </w:r>
                          </w:p>
                          <w:p w14:paraId="3AAA0157" w14:textId="56A19CAE" w:rsidR="008F7997" w:rsidRPr="002C6EF9" w:rsidRDefault="008F7997"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sidRPr="00EE5462">
                              <w:rPr>
                                <w:rFonts w:asciiTheme="majorHAnsi" w:hAnsiTheme="majorHAnsi" w:cstheme="majorHAnsi"/>
                                <w:color w:val="333333"/>
                                <w:szCs w:val="24"/>
                                <w:shd w:val="clear" w:color="auto" w:fill="FFFFFF"/>
                              </w:rPr>
                              <w:t>Dz. U. poz. 1839 z późn. zm.</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72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alt="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" fillcolor="#ffbe86" strokecolor="#f68c36">
                <v:fill color2="#ffebdb" rotate="t" angle="180" colors="0 #ffbe86;22938f #ffd0aa;1 #ffebdb" focus="100%" type="gradient"/>
                <v:shadow on="t" color="black" opacity="24903f" origin=",.5" offset="0,.55556mm"/>
                <v:textbox>
                  <w:txbxContent>
                    <w:p w14:paraId="65AF92C5" w14:textId="77777777" w:rsidR="008F7997" w:rsidRPr="002C6EF9" w:rsidRDefault="008F7997" w:rsidP="00547EF7">
                      <w:pPr>
                        <w:spacing w:after="120"/>
                        <w:rPr>
                          <w:rFonts w:ascii="Calibri" w:hAnsi="Calibri"/>
                          <w:b/>
                          <w:szCs w:val="24"/>
                        </w:rPr>
                      </w:pPr>
                      <w:r w:rsidRPr="002C6EF9">
                        <w:rPr>
                          <w:rFonts w:ascii="Calibri" w:hAnsi="Calibri"/>
                          <w:b/>
                          <w:szCs w:val="24"/>
                        </w:rPr>
                        <w:t>PAMIĘTAJ !</w:t>
                      </w:r>
                    </w:p>
                    <w:p w14:paraId="1B9E8236" w14:textId="77777777" w:rsidR="008F7997" w:rsidRPr="002C6EF9" w:rsidRDefault="008F7997"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B5E8C63" w:rsidR="008F7997" w:rsidRPr="002C6EF9" w:rsidRDefault="008F7997"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EE5462">
                        <w:rPr>
                          <w:rFonts w:asciiTheme="majorHAnsi" w:hAnsiTheme="majorHAnsi" w:cstheme="majorHAnsi"/>
                          <w:color w:val="333333"/>
                          <w:szCs w:val="24"/>
                          <w:shd w:val="clear" w:color="auto" w:fill="FFFFFF"/>
                        </w:rPr>
                        <w:t>(t.j. Dz. U. z 2022 r. poz. 1029</w:t>
                      </w:r>
                      <w:r w:rsidRPr="002C6EF9">
                        <w:rPr>
                          <w:rFonts w:ascii="Calibri" w:hAnsi="Calibri"/>
                          <w:szCs w:val="24"/>
                        </w:rPr>
                        <w:t>),</w:t>
                      </w:r>
                    </w:p>
                    <w:p w14:paraId="3AAA0157" w14:textId="56A19CAE" w:rsidR="008F7997" w:rsidRPr="002C6EF9" w:rsidRDefault="008F7997"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sidRPr="00EE5462">
                        <w:rPr>
                          <w:rFonts w:asciiTheme="majorHAnsi" w:hAnsiTheme="majorHAnsi" w:cstheme="majorHAnsi"/>
                          <w:color w:val="333333"/>
                          <w:szCs w:val="24"/>
                          <w:shd w:val="clear" w:color="auto" w:fill="FFFFFF"/>
                        </w:rPr>
                        <w:t>Dz. U. poz. 1839 z późn. zm.</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4"/>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245B1FDB"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lastRenderedPageBreak/>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7C42C8" w:rsidRPr="00EE5462">
        <w:rPr>
          <w:rFonts w:asciiTheme="majorHAnsi" w:hAnsiTheme="majorHAnsi" w:cstheme="majorHAnsi"/>
          <w:color w:val="333333"/>
          <w:szCs w:val="24"/>
          <w:shd w:val="clear" w:color="auto" w:fill="FFFFFF"/>
        </w:rPr>
        <w:t>Dz. U. poz. 1839 z późn. zm.</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52D37B3"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EF6D46">
        <w:rPr>
          <w:rFonts w:ascii="Calibri" w:hAnsi="Calibri"/>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18F090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8F7997" w:rsidRPr="00A5756A" w:rsidRDefault="008F7997"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10;"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gQMAAMo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" fillcolor="#dafda7" strokecolor="#94b64e">
                <v:fill color2="#f5ffe6" rotate="t" angle="180" colors="0 #dafda7;22938f #e4fdc2;1 #f5ffe6" focus="100%" type="gradient"/>
                <v:shadow on="t" color="black" opacity="24903f" origin=",.5" offset="0,.55556mm"/>
                <v:textbox>
                  <w:txbxContent>
                    <w:p w14:paraId="1C07ABBF" w14:textId="37245E4D" w:rsidR="008F7997" w:rsidRPr="00A5756A" w:rsidRDefault="008F7997"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66944" behindDoc="1" locked="0" layoutInCell="1" allowOverlap="1" wp14:anchorId="4B69675C" wp14:editId="41B6C4A0">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8F7997" w:rsidRPr="00A5756A" w:rsidRDefault="008F7997" w:rsidP="00A5756A">
                            <w:pPr>
                              <w:rPr>
                                <w:rFonts w:ascii="Calibri" w:hAnsi="Calibri"/>
                                <w:b/>
                                <w:szCs w:val="22"/>
                              </w:rPr>
                            </w:pPr>
                            <w:r w:rsidRPr="00A5756A">
                              <w:rPr>
                                <w:rFonts w:ascii="Calibri" w:hAnsi="Calibri"/>
                                <w:b/>
                                <w:szCs w:val="22"/>
                              </w:rPr>
                              <w:t>UWAGA!</w:t>
                            </w:r>
                          </w:p>
                          <w:p w14:paraId="69BA807B" w14:textId="490750EC" w:rsidR="008F7997" w:rsidRPr="00A5756A" w:rsidRDefault="008F7997"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 IZ RPO WO 2014-2020 może na każdym etapie procedury zażądać od wnioskodawcy pełnej dokumentacji o przeprowadzonej ocenie oddziaływania na środowisko.&#10;"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" fillcolor="#a3c4ff" strokecolor="#4579b8">
                <v:fill color2="#e5eeff" rotate="t" angle="180" colors="0 #a3c4ff;22938f #bfd5ff;1 #e5eeff" focus="100%" type="gradient"/>
                <v:shadow on="t" color="black" opacity="24903f" origin=",.5" offset="0,.55556mm"/>
                <v:textbox>
                  <w:txbxContent>
                    <w:p w14:paraId="5ACC4687" w14:textId="77777777" w:rsidR="008F7997" w:rsidRPr="00A5756A" w:rsidRDefault="008F7997" w:rsidP="00A5756A">
                      <w:pPr>
                        <w:rPr>
                          <w:rFonts w:ascii="Calibri" w:hAnsi="Calibri"/>
                          <w:b/>
                          <w:szCs w:val="22"/>
                        </w:rPr>
                      </w:pPr>
                      <w:r w:rsidRPr="00A5756A">
                        <w:rPr>
                          <w:rFonts w:ascii="Calibri" w:hAnsi="Calibri"/>
                          <w:b/>
                          <w:szCs w:val="22"/>
                        </w:rPr>
                        <w:t>UWAGA!</w:t>
                      </w:r>
                    </w:p>
                    <w:p w14:paraId="69BA807B" w14:textId="490750EC" w:rsidR="008F7997" w:rsidRPr="00A5756A" w:rsidRDefault="008F7997"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718FFD21" w:rsidR="000F3991" w:rsidRDefault="000F3991" w:rsidP="00540AEA">
      <w:pPr>
        <w:spacing w:before="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296B8F93" w14:textId="1E6FC46F" w:rsidR="0018058E" w:rsidRPr="00AD1CCA" w:rsidRDefault="0018058E" w:rsidP="00540AEA">
      <w:pPr>
        <w:spacing w:before="120" w:line="276" w:lineRule="auto"/>
        <w:ind w:firstLine="709"/>
        <w:rPr>
          <w:rFonts w:ascii="Calibri" w:hAnsi="Calibri"/>
          <w:szCs w:val="24"/>
        </w:rPr>
      </w:pP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18552A1">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8F7997" w:rsidRPr="00A5756A" w:rsidRDefault="008F7997" w:rsidP="00A5756A">
                            <w:pPr>
                              <w:spacing w:before="120"/>
                              <w:rPr>
                                <w:rFonts w:ascii="Calibri" w:hAnsi="Calibri"/>
                                <w:b/>
                                <w:szCs w:val="22"/>
                              </w:rPr>
                            </w:pPr>
                            <w:r w:rsidRPr="00A5756A">
                              <w:rPr>
                                <w:rFonts w:ascii="Calibri" w:hAnsi="Calibri"/>
                                <w:b/>
                                <w:szCs w:val="22"/>
                              </w:rPr>
                              <w:t>UWAGA!</w:t>
                            </w:r>
                          </w:p>
                          <w:p w14:paraId="01F8BB3B" w14:textId="77777777" w:rsidR="008F7997" w:rsidRPr="00547EF7" w:rsidRDefault="008F7997"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8F7997" w:rsidRPr="00A5756A" w:rsidRDefault="008F7997" w:rsidP="00A5756A">
                      <w:pPr>
                        <w:spacing w:before="120"/>
                        <w:rPr>
                          <w:rFonts w:ascii="Calibri" w:hAnsi="Calibri"/>
                          <w:b/>
                          <w:szCs w:val="22"/>
                        </w:rPr>
                      </w:pPr>
                      <w:r w:rsidRPr="00A5756A">
                        <w:rPr>
                          <w:rFonts w:ascii="Calibri" w:hAnsi="Calibri"/>
                          <w:b/>
                          <w:szCs w:val="22"/>
                        </w:rPr>
                        <w:t>UWAGA!</w:t>
                      </w:r>
                    </w:p>
                    <w:p w14:paraId="01F8BB3B" w14:textId="77777777" w:rsidR="008F7997" w:rsidRPr="00547EF7" w:rsidRDefault="008F7997"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28" w:name="_Toc477857439"/>
    <w:bookmarkStart w:id="129" w:name="_Toc485203002"/>
    <w:bookmarkStart w:id="130" w:name="_Toc54688943"/>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w:lastRenderedPageBreak/>
        <mc:AlternateContent>
          <mc:Choice Requires="wps">
            <w:drawing>
              <wp:anchor distT="0" distB="0" distL="114300" distR="114300" simplePos="0" relativeHeight="251648512" behindDoc="1" locked="0" layoutInCell="1" allowOverlap="1" wp14:anchorId="45F18116" wp14:editId="71CB3686">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10;zamieszczony w załączniku nr 4 do Pozakonkursowej procedury wyboru projektów.&#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8F7997" w:rsidRDefault="008F7997"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8F7997" w:rsidRPr="00A5756A" w:rsidRDefault="008F7997"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10;zamieszczony w załączniku nr 4 do Pozakonkursowej procedury wyboru projektów.&#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" fillcolor="#dafda7" strokecolor="#94b64e">
                <v:fill color2="#f5ffe6" rotate="t" angle="180" colors="0 #dafda7;22938f #e4fdc2;1 #f5ffe6" focus="100%" type="gradient"/>
                <v:shadow on="t" color="black" opacity="24903f" origin=",.5" offset="0,.55556mm"/>
                <v:textbox>
                  <w:txbxContent>
                    <w:p w14:paraId="0C72AFB7" w14:textId="77777777" w:rsidR="008F7997" w:rsidRDefault="008F7997"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8F7997" w:rsidRPr="00A5756A" w:rsidRDefault="008F7997"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8"/>
      <w:bookmarkEnd w:id="129"/>
      <w:bookmarkEnd w:id="130"/>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386CF942" w14:textId="6C90D0EB" w:rsidR="0018058E"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b/>
          <w:szCs w:val="24"/>
        </w:rPr>
        <w:t>Punkt A.1.</w:t>
      </w:r>
      <w:r w:rsidR="0018058E">
        <w:rPr>
          <w:rFonts w:ascii="Calibri" w:hAnsi="Calibri"/>
          <w:szCs w:val="24"/>
        </w:rPr>
        <w:t xml:space="preserve"> </w:t>
      </w:r>
    </w:p>
    <w:p w14:paraId="382C59CF" w14:textId="47A31AD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lastRenderedPageBreak/>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lastRenderedPageBreak/>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lastRenderedPageBreak/>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4AEF40CC"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w:t>
      </w:r>
      <w:r w:rsidRPr="00AD1CCA">
        <w:rPr>
          <w:rFonts w:ascii="Calibri" w:hAnsi="Calibri"/>
          <w:bCs/>
          <w:szCs w:val="24"/>
        </w:rPr>
        <w:lastRenderedPageBreak/>
        <w:t xml:space="preserve">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4DEE1BF7" w14:textId="77777777" w:rsidR="00F96BF2" w:rsidRDefault="00F96BF2" w:rsidP="00327B08">
      <w:pPr>
        <w:spacing w:line="276" w:lineRule="auto"/>
        <w:rPr>
          <w:rFonts w:ascii="Calibri" w:hAnsi="Calibri"/>
          <w:b/>
          <w:szCs w:val="24"/>
        </w:rPr>
      </w:pP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416A5CE0"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r w:rsidR="000E6B68">
        <w:rPr>
          <w:rFonts w:ascii="Calibri" w:hAnsi="Calibri"/>
          <w:bCs/>
          <w:szCs w:val="24"/>
        </w:rPr>
        <w:br/>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lastRenderedPageBreak/>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043DEBD4">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8F7997" w:rsidRPr="00A5756A" w:rsidRDefault="008F7997"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" fillcolor="#dafda7" strokecolor="#94b64e">
                <v:fill color2="#f5ffe6" rotate="t" angle="180" colors="0 #dafda7;22938f #e4fdc2;1 #f5ffe6" focus="100%" type="gradient"/>
                <v:shadow on="t" color="black" opacity="24903f" origin=",.5" offset="0,.55556mm"/>
                <v:textbox>
                  <w:txbxContent>
                    <w:p w14:paraId="55AB0A68" w14:textId="77777777" w:rsidR="008F7997" w:rsidRPr="00A5756A" w:rsidRDefault="008F7997"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2879CDA0"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r w:rsidR="000E6B68">
        <w:rPr>
          <w:rFonts w:ascii="Calibri" w:hAnsi="Calibri"/>
          <w:bCs/>
          <w:szCs w:val="24"/>
        </w:rPr>
        <w:br/>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w:t>
      </w:r>
      <w:r w:rsidRPr="00AD1CCA">
        <w:rPr>
          <w:rFonts w:ascii="Calibri" w:hAnsi="Calibri"/>
          <w:bCs/>
          <w:szCs w:val="24"/>
        </w:rPr>
        <w:lastRenderedPageBreak/>
        <w:t>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lastRenderedPageBreak/>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t>
      </w:r>
      <w:r w:rsidRPr="00AD1CCA">
        <w:rPr>
          <w:rFonts w:ascii="Calibri" w:hAnsi="Calibri"/>
          <w:szCs w:val="24"/>
        </w:rPr>
        <w:lastRenderedPageBreak/>
        <w:t xml:space="preserve">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w:t>
      </w:r>
      <w:r w:rsidRPr="00AD1CCA">
        <w:rPr>
          <w:rFonts w:ascii="Calibri" w:hAnsi="Calibri"/>
          <w:szCs w:val="24"/>
        </w:rPr>
        <w:lastRenderedPageBreak/>
        <w:t xml:space="preserve">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71AD0B8A">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8F7997" w:rsidRPr="00A5756A" w:rsidRDefault="008F7997"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8F7997" w:rsidRPr="00A5756A" w:rsidRDefault="008F7997"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w:t>
      </w:r>
      <w:r w:rsidR="000F3991" w:rsidRPr="00AD1CCA">
        <w:rPr>
          <w:rFonts w:ascii="Calibri" w:hAnsi="Calibri"/>
          <w:szCs w:val="24"/>
        </w:rPr>
        <w:lastRenderedPageBreak/>
        <w:t xml:space="preserve">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346933CC" w14:textId="77777777" w:rsidR="00233B5D" w:rsidRDefault="00233B5D" w:rsidP="00327B08">
      <w:pPr>
        <w:autoSpaceDE w:val="0"/>
        <w:autoSpaceDN w:val="0"/>
        <w:adjustRightInd w:val="0"/>
        <w:spacing w:before="120" w:after="120" w:line="276" w:lineRule="auto"/>
        <w:rPr>
          <w:rFonts w:ascii="Calibri" w:hAnsi="Calibri"/>
          <w:b/>
          <w:bCs/>
          <w:szCs w:val="24"/>
        </w:rPr>
      </w:pPr>
    </w:p>
    <w:p w14:paraId="42F4EF34" w14:textId="77777777" w:rsidR="00233B5D" w:rsidRDefault="00233B5D" w:rsidP="00327B08">
      <w:pPr>
        <w:autoSpaceDE w:val="0"/>
        <w:autoSpaceDN w:val="0"/>
        <w:adjustRightInd w:val="0"/>
        <w:spacing w:before="120" w:after="120" w:line="276" w:lineRule="auto"/>
        <w:rPr>
          <w:rFonts w:ascii="Calibri" w:hAnsi="Calibri"/>
          <w:b/>
          <w:bCs/>
          <w:szCs w:val="24"/>
        </w:rPr>
      </w:pP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t>
      </w:r>
      <w:r w:rsidRPr="00AD1CCA">
        <w:rPr>
          <w:rFonts w:ascii="Calibri" w:hAnsi="Calibri"/>
          <w:bCs/>
          <w:szCs w:val="24"/>
        </w:rPr>
        <w:lastRenderedPageBreak/>
        <w:t xml:space="preserve">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E0F6371">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8F7997" w:rsidRPr="00A5756A" w:rsidRDefault="008F7997"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8F7997" w:rsidRPr="00A5756A" w:rsidRDefault="008F7997"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49896C6A" w14:textId="77777777" w:rsidR="00233B5D" w:rsidRDefault="00233B5D"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0AABBD63"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4E9B029" w14:textId="77777777" w:rsidR="0018058E" w:rsidRDefault="0018058E" w:rsidP="00327B08">
      <w:pPr>
        <w:autoSpaceDE w:val="0"/>
        <w:autoSpaceDN w:val="0"/>
        <w:adjustRightInd w:val="0"/>
        <w:spacing w:before="120" w:after="120" w:line="276" w:lineRule="auto"/>
        <w:rPr>
          <w:rFonts w:ascii="Calibri" w:hAnsi="Calibri"/>
          <w:b/>
          <w:bCs/>
          <w:szCs w:val="24"/>
        </w:rPr>
      </w:pPr>
    </w:p>
    <w:p w14:paraId="38110622" w14:textId="77777777" w:rsidR="00233B5D" w:rsidRDefault="00233B5D"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w:t>
      </w:r>
      <w:r w:rsidRPr="00AD1CCA">
        <w:rPr>
          <w:rFonts w:ascii="Calibri" w:hAnsi="Calibri"/>
          <w:szCs w:val="24"/>
        </w:rPr>
        <w:lastRenderedPageBreak/>
        <w:t xml:space="preserve">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w:t>
      </w:r>
      <w:r w:rsidRPr="00AD1CCA">
        <w:rPr>
          <w:rFonts w:ascii="Calibri" w:hAnsi="Calibri"/>
          <w:szCs w:val="24"/>
        </w:rPr>
        <w:lastRenderedPageBreak/>
        <w:t xml:space="preserve">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1" w:name="_Toc477857441"/>
      <w:bookmarkStart w:id="132" w:name="_Toc54688944"/>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1"/>
      <w:bookmarkEnd w:id="132"/>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w:t>
      </w:r>
      <w:r w:rsidRPr="00AD1CCA">
        <w:rPr>
          <w:rFonts w:ascii="Calibri" w:hAnsi="Calibri"/>
          <w:szCs w:val="24"/>
        </w:rPr>
        <w:lastRenderedPageBreak/>
        <w:t xml:space="preserve">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087C1A0A"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w:t>
      </w:r>
      <w:r w:rsidR="00717140">
        <w:rPr>
          <w:rFonts w:ascii="Calibri" w:hAnsi="Calibri"/>
          <w:szCs w:val="24"/>
        </w:rPr>
        <w:t>20</w:t>
      </w:r>
      <w:r w:rsidR="0018058E">
        <w:rPr>
          <w:rFonts w:ascii="Calibri" w:hAnsi="Calibri"/>
          <w:szCs w:val="24"/>
        </w:rPr>
        <w:t xml:space="preserve"> r.</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w:t>
      </w:r>
      <w:r w:rsidR="00717140">
        <w:rPr>
          <w:rFonts w:ascii="Calibri" w:hAnsi="Calibri"/>
          <w:szCs w:val="24"/>
        </w:rPr>
        <w:t>333</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48796DE0"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C5144D" w:rsidRPr="00EE5462">
        <w:rPr>
          <w:rFonts w:asciiTheme="majorHAnsi" w:hAnsiTheme="majorHAnsi" w:cstheme="majorHAnsi"/>
          <w:color w:val="333333"/>
          <w:szCs w:val="24"/>
          <w:shd w:val="clear" w:color="auto" w:fill="FFFFFF"/>
        </w:rPr>
        <w:t>t.j. Dz. U. z 2022 r. poz. 176</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2AFBA6B1"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r w:rsidR="00C5144D" w:rsidRPr="00EE5462">
        <w:rPr>
          <w:rFonts w:asciiTheme="majorHAnsi" w:hAnsiTheme="majorHAnsi" w:cstheme="majorHAnsi"/>
          <w:color w:val="333333"/>
          <w:szCs w:val="24"/>
          <w:shd w:val="clear" w:color="auto" w:fill="FFFFFF"/>
        </w:rPr>
        <w:t>t.j. Dz. U. z 2022 r. poz. 503</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2CCAED81"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r w:rsidR="00C5144D" w:rsidRPr="003F2FD3">
        <w:rPr>
          <w:rFonts w:asciiTheme="majorHAnsi" w:hAnsiTheme="majorHAnsi" w:cstheme="majorHAnsi"/>
          <w:color w:val="333333"/>
          <w:szCs w:val="24"/>
          <w:shd w:val="clear" w:color="auto" w:fill="FFFFFF"/>
        </w:rPr>
        <w:t>t.j. Dz. U. z 2022 r. poz. 503</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3" w:name="_Toc477857442"/>
      <w:bookmarkStart w:id="134" w:name="_Toc54688945"/>
      <w:r w:rsidRPr="00AD1CCA">
        <w:rPr>
          <w:rFonts w:ascii="Calibri" w:hAnsi="Calibri"/>
          <w:sz w:val="28"/>
          <w:szCs w:val="28"/>
        </w:rPr>
        <w:t>WYCIĄG Z DOKUMENTACJI TECHNICZNEJ LUB PROGRAM FUNKCJONALNO-UŻYTKOWY</w:t>
      </w:r>
      <w:bookmarkEnd w:id="133"/>
      <w:bookmarkEnd w:id="134"/>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3FC32EB4">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8F7997" w:rsidRPr="00A5756A" w:rsidRDefault="008F7997"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8F7997" w:rsidRPr="00A5756A" w:rsidRDefault="008F7997"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4656" behindDoc="1" locked="0" layoutInCell="1" allowOverlap="1" wp14:anchorId="38CF730E" wp14:editId="1DA30D36">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8F7997" w:rsidRPr="00A5756A" w:rsidRDefault="008F7997"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8F7997" w:rsidRPr="00A5756A" w:rsidRDefault="008F7997"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" fillcolor="#ffbe86" strokecolor="#f68c36">
                <v:fill color2="#ffebdb" rotate="t" angle="180" colors="0 #ffbe86;22938f #ffd0aa;1 #ffebdb" focus="100%" type="gradient"/>
                <v:shadow on="t" color="black" opacity="24903f" origin=",.5" offset="0,.55556mm"/>
                <v:textbox>
                  <w:txbxContent>
                    <w:p w14:paraId="01A19E9D" w14:textId="77777777" w:rsidR="008F7997" w:rsidRPr="00A5756A" w:rsidRDefault="008F7997"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8F7997" w:rsidRPr="00A5756A" w:rsidRDefault="008F7997"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5"/>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6"/>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lastRenderedPageBreak/>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Default="006D5F80" w:rsidP="00327B08">
      <w:pPr>
        <w:pStyle w:val="NormalnyWeb"/>
        <w:spacing w:before="120" w:beforeAutospacing="0" w:after="120" w:afterAutospacing="0" w:line="276" w:lineRule="auto"/>
        <w:ind w:firstLine="709"/>
        <w:rPr>
          <w:rFonts w:ascii="Calibri" w:hAnsi="Calibri"/>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0782F32" w14:textId="77777777" w:rsidR="00CD7CAF" w:rsidRDefault="00CD7CAF" w:rsidP="00327B08">
      <w:pPr>
        <w:pStyle w:val="NormalnyWeb"/>
        <w:spacing w:before="120" w:beforeAutospacing="0" w:after="120" w:afterAutospacing="0" w:line="276" w:lineRule="auto"/>
        <w:ind w:firstLine="709"/>
        <w:rPr>
          <w:rFonts w:ascii="Calibri" w:hAnsi="Calibri"/>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3"/>
      <w:bookmarkStart w:id="136" w:name="_Toc54688946"/>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5"/>
      <w:bookmarkEnd w:id="136"/>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693B24C6">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8F7997" w:rsidRPr="00A5756A" w:rsidRDefault="008F7997" w:rsidP="00A5756A">
                            <w:pPr>
                              <w:rPr>
                                <w:rFonts w:ascii="Calibri" w:hAnsi="Calibri"/>
                                <w:b/>
                                <w:szCs w:val="22"/>
                              </w:rPr>
                            </w:pPr>
                            <w:r w:rsidRPr="00A5756A">
                              <w:rPr>
                                <w:rFonts w:ascii="Calibri" w:hAnsi="Calibri"/>
                                <w:b/>
                                <w:szCs w:val="22"/>
                              </w:rPr>
                              <w:t>UWAGA!</w:t>
                            </w:r>
                          </w:p>
                          <w:p w14:paraId="0A8BC8ED" w14:textId="792DBD8C" w:rsidR="008F7997" w:rsidRPr="00A5756A" w:rsidRDefault="008F7997"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8F7997" w:rsidRPr="00A5756A" w:rsidRDefault="008F7997" w:rsidP="00A5756A">
                      <w:pPr>
                        <w:rPr>
                          <w:rFonts w:ascii="Calibri" w:hAnsi="Calibri"/>
                          <w:b/>
                          <w:szCs w:val="22"/>
                        </w:rPr>
                      </w:pPr>
                      <w:r w:rsidRPr="00A5756A">
                        <w:rPr>
                          <w:rFonts w:ascii="Calibri" w:hAnsi="Calibri"/>
                          <w:b/>
                          <w:szCs w:val="22"/>
                        </w:rPr>
                        <w:t>UWAGA!</w:t>
                      </w:r>
                    </w:p>
                    <w:p w14:paraId="0A8BC8ED" w14:textId="792DBD8C" w:rsidR="008F7997" w:rsidRPr="00A5756A" w:rsidRDefault="008F7997"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7" w:name="_Toc477857444"/>
      <w:bookmarkStart w:id="138" w:name="_Toc54688947"/>
      <w:r w:rsidRPr="00AD1CCA">
        <w:rPr>
          <w:rFonts w:ascii="Calibri" w:hAnsi="Calibri"/>
          <w:sz w:val="28"/>
          <w:szCs w:val="28"/>
        </w:rPr>
        <w:lastRenderedPageBreak/>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7"/>
      <w:bookmarkEnd w:id="138"/>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39" w:name="_Toc477857445"/>
    <w:bookmarkStart w:id="140" w:name="_Toc54688948"/>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728E1BF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3060D7E9" w:rsidR="008F7997" w:rsidRPr="00A5756A" w:rsidRDefault="008F7997"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Pozakonkursowej procedury wyboru projektów."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" fillcolor="#dafda7" strokecolor="#94b64e">
                <v:fill color2="#f5ffe6" rotate="t" angle="180" colors="0 #dafda7;22938f #e4fdc2;1 #f5ffe6" focus="100%" type="gradient"/>
                <v:shadow on="t" color="black" opacity="24903f" origin=",.5" offset="0,.55556mm"/>
                <v:textbox>
                  <w:txbxContent>
                    <w:p w14:paraId="5940F928" w14:textId="3060D7E9" w:rsidR="008F7997" w:rsidRPr="00A5756A" w:rsidRDefault="008F7997"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v:textbox>
                <w10:wrap type="tight"/>
              </v:shape>
            </w:pict>
          </mc:Fallback>
        </mc:AlternateContent>
      </w:r>
      <w:r w:rsidR="00A06439" w:rsidRPr="00AD1CCA">
        <w:rPr>
          <w:rFonts w:ascii="Calibri" w:hAnsi="Calibri"/>
          <w:sz w:val="28"/>
          <w:szCs w:val="28"/>
        </w:rPr>
        <w:t>OŚWIADCZENIE O PRAWIE DYSPONOWANIA NIERUCHOMOŚCIĄ</w:t>
      </w:r>
      <w:bookmarkEnd w:id="139"/>
      <w:bookmarkEnd w:id="140"/>
      <w:r w:rsidR="00A06439" w:rsidRPr="00AD1CCA">
        <w:rPr>
          <w:rFonts w:ascii="Calibri" w:hAnsi="Calibri"/>
          <w:sz w:val="28"/>
          <w:szCs w:val="28"/>
        </w:rPr>
        <w:t xml:space="preserve"> </w:t>
      </w:r>
    </w:p>
    <w:p w14:paraId="6E946BAA" w14:textId="07AB021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EF6D46">
        <w:rPr>
          <w:rFonts w:ascii="Calibri" w:hAnsi="Calibri"/>
          <w:szCs w:val="24"/>
        </w:rPr>
        <w:t xml:space="preserve">Regulaminu konkursu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lastRenderedPageBreak/>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1" w:name="_Toc179171285"/>
      <w:bookmarkStart w:id="142" w:name="_Toc477857446"/>
      <w:bookmarkStart w:id="143" w:name="_Toc54688949"/>
      <w:r w:rsidRPr="00AD1CCA">
        <w:rPr>
          <w:rFonts w:ascii="Calibri" w:hAnsi="Calibri"/>
          <w:sz w:val="28"/>
          <w:szCs w:val="28"/>
        </w:rPr>
        <w:t>DOKUMENT POTWIERDZAJĄCY ZABEZPIECZENIE ŚRODKÓW KONIECZNYCH DO ZREALIZOWANIA INWESTYCJI</w:t>
      </w:r>
      <w:bookmarkEnd w:id="141"/>
      <w:bookmarkEnd w:id="142"/>
      <w:bookmarkEnd w:id="143"/>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809560"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IZ RPO WO 2014-2020 w wezwaniu podaje wysokość środków alokacji, do jakiej w danym naborze zostaną podpisane decyzje o dofinansowanie projektów zidentyfikowanych, które otrzymają pozytywną ocenę i zostaną wybrane do dofinansowania.</w:t>
      </w:r>
    </w:p>
    <w:p w14:paraId="3FEF746B" w14:textId="2E3A1942"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IZ RPO WO 2014-2020 w roku podpisania </w:t>
      </w:r>
      <w:r>
        <w:rPr>
          <w:rFonts w:ascii="Calibri" w:hAnsi="Calibri"/>
          <w:szCs w:val="24"/>
        </w:rPr>
        <w:t>decyzje o dofinansowanie</w:t>
      </w:r>
      <w:r w:rsidRPr="00B2113C">
        <w:rPr>
          <w:rFonts w:ascii="Calibri" w:hAnsi="Calibri"/>
          <w:szCs w:val="24"/>
        </w:rPr>
        <w:t xml:space="preserve">, może wypłacić beneficjentom dofinansowanie (zaliczki lub refundacje) tylko do wysokości środków ujętych w budżecie państwa na dany rok. Wysokość tych środków planowana jest w budżecie państwa przed podpisaniem decyzji o dofinansowanie  z wnioskodawcami, dlatego beneficjentów wnioskujących o środki dofinansowania (zaliczkę lub refundację) w roku podpisania decyzji może być więcej niż środków dostępnych w budżecie państwa dla IZ RPO WO 2014-2020. </w:t>
      </w:r>
    </w:p>
    <w:p w14:paraId="6051FFF7"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Oznacza to, że w roku podpisania decyzji dla wszystkich beneficjentów może </w:t>
      </w:r>
      <w:r w:rsidRPr="00B2113C">
        <w:rPr>
          <w:rFonts w:ascii="Calibri" w:hAnsi="Calibri"/>
          <w:szCs w:val="24"/>
        </w:rPr>
        <w:br/>
        <w:t xml:space="preserve">nie wystarczyć środków na wypłatę dofinansowania (zaliczki lub refundacji) i będą oni ponosić wydatki na rzecz wykonawców samodzielnie. Poniesione wydatki zostaną </w:t>
      </w:r>
      <w:r w:rsidRPr="00B2113C">
        <w:rPr>
          <w:rFonts w:ascii="Calibri" w:hAnsi="Calibri"/>
          <w:szCs w:val="24"/>
        </w:rPr>
        <w:br/>
        <w:t xml:space="preserve">przez IZ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4D5916E" w14:textId="77777777" w:rsid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Dla kolejnych lat realizacji projektu, następujących po roku podpisania </w:t>
      </w:r>
      <w:r w:rsidRPr="00B2113C">
        <w:rPr>
          <w:rFonts w:ascii="Calibri" w:hAnsi="Calibri"/>
          <w:szCs w:val="24"/>
        </w:rPr>
        <w:br/>
        <w:t xml:space="preserve">z wnioskodawcą decyzji, IZ RPO WO 2014-2020 planuje w budżecie państwa środki </w:t>
      </w:r>
      <w:r w:rsidRPr="00B2113C">
        <w:rPr>
          <w:rFonts w:ascii="Calibri" w:hAnsi="Calibri"/>
          <w:szCs w:val="24"/>
        </w:rPr>
        <w:br/>
        <w:t xml:space="preserve">na podstawie podpisanych z wnioskodawcami decyzji, co zapewnia płynność w wypłacaniu beneficjentom środków wynikających z decyzji. </w:t>
      </w:r>
    </w:p>
    <w:p w14:paraId="00252836" w14:textId="77777777" w:rsidR="00233B5D" w:rsidRPr="00B2113C" w:rsidRDefault="00233B5D" w:rsidP="00B2113C">
      <w:pPr>
        <w:spacing w:before="120" w:after="12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lastRenderedPageBreak/>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t>
      </w:r>
      <w:r w:rsidRPr="00AD1CCA">
        <w:rPr>
          <w:rFonts w:ascii="Calibri" w:hAnsi="Calibri"/>
          <w:szCs w:val="24"/>
        </w:rPr>
        <w:lastRenderedPageBreak/>
        <w:t>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75C31ED0"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C5144D" w:rsidRPr="00EE5462">
        <w:rPr>
          <w:rFonts w:asciiTheme="majorHAnsi" w:hAnsiTheme="majorHAnsi" w:cstheme="majorHAnsi"/>
          <w:color w:val="333333"/>
          <w:szCs w:val="24"/>
          <w:shd w:val="clear" w:color="auto" w:fill="FFFFFF"/>
        </w:rPr>
        <w:t>t.j. Dz. U. z 2021 r. poz. 305 z późn. zm</w:t>
      </w:r>
      <w:r w:rsidR="00C5144D">
        <w:rPr>
          <w:rFonts w:ascii="Arial" w:hAnsi="Arial" w:cs="Arial"/>
          <w:color w:val="333333"/>
          <w:sz w:val="18"/>
          <w:szCs w:val="18"/>
          <w:shd w:val="clear" w:color="auto" w:fill="FFFFFF"/>
        </w:rPr>
        <w:t>.</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 xml:space="preserve">W wypadku zamiaru </w:t>
      </w:r>
      <w:r w:rsidRPr="00AD1CCA">
        <w:rPr>
          <w:rFonts w:ascii="Calibri" w:hAnsi="Calibri" w:cs="Times"/>
          <w:szCs w:val="24"/>
        </w:rPr>
        <w:lastRenderedPageBreak/>
        <w:t>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 xml:space="preserve">należy dołączyć do </w:t>
      </w:r>
      <w:r w:rsidRPr="00AD1CCA">
        <w:rPr>
          <w:rFonts w:ascii="Calibri" w:hAnsi="Calibri"/>
          <w:szCs w:val="24"/>
        </w:rPr>
        <w:lastRenderedPageBreak/>
        <w:t>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17543EE6" w14:textId="77777777" w:rsidR="00C41852" w:rsidRPr="00A711A4" w:rsidRDefault="00C41852" w:rsidP="00C41852">
      <w:pPr>
        <w:suppressAutoHyphens w:val="0"/>
        <w:spacing w:before="120" w:after="120" w:line="276" w:lineRule="auto"/>
        <w:ind w:firstLine="709"/>
        <w:rPr>
          <w:rFonts w:ascii="Calibri" w:hAnsi="Calibri"/>
          <w:b/>
          <w:bCs/>
          <w:szCs w:val="24"/>
        </w:rPr>
      </w:pPr>
      <w:r w:rsidRPr="00A711A4">
        <w:rPr>
          <w:rFonts w:ascii="Calibri" w:hAnsi="Calibri"/>
          <w:b/>
          <w:bCs/>
          <w:szCs w:val="24"/>
        </w:rPr>
        <w:t xml:space="preserve">Dla projektów, w których dofinansowaniem objętych zostanie 100% wydatków kwalifikowalnych, Wnioskodawca zobowiązany jest do dostarczenia dokumentu potwierdzającego zabezpieczenie środków </w:t>
      </w:r>
      <w:r w:rsidRPr="00A711A4">
        <w:rPr>
          <w:rFonts w:ascii="Calibri" w:hAnsi="Calibri"/>
          <w:b/>
          <w:bCs/>
          <w:szCs w:val="24"/>
          <w:u w:val="single"/>
        </w:rPr>
        <w:t>wyłącznie dla wydatków niekwalifikowalnych</w:t>
      </w:r>
      <w:r w:rsidRPr="00A711A4">
        <w:rPr>
          <w:rFonts w:ascii="Calibri" w:hAnsi="Calibri"/>
          <w:b/>
          <w:bCs/>
          <w:szCs w:val="24"/>
        </w:rPr>
        <w:t xml:space="preserve"> (jeśli dotyczy). </w:t>
      </w:r>
    </w:p>
    <w:p w14:paraId="5A04242E" w14:textId="77777777" w:rsidR="00937102" w:rsidRPr="00AD1CCA" w:rsidRDefault="00937102" w:rsidP="00EE5462">
      <w:pPr>
        <w:suppressAutoHyphens w:val="0"/>
        <w:spacing w:before="120" w:after="120" w:line="276" w:lineRule="auto"/>
        <w:rPr>
          <w:rFonts w:ascii="Calibri" w:hAnsi="Calibri"/>
          <w:szCs w:val="24"/>
        </w:rPr>
      </w:pPr>
    </w:p>
    <w:bookmarkStart w:id="144" w:name="_Toc477857447"/>
    <w:bookmarkStart w:id="145" w:name="_Toc54688950"/>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06AA1FB6">
                <wp:simplePos x="0" y="0"/>
                <wp:positionH relativeFrom="column">
                  <wp:posOffset>80645</wp:posOffset>
                </wp:positionH>
                <wp:positionV relativeFrom="paragraph">
                  <wp:posOffset>528955</wp:posOffset>
                </wp:positionV>
                <wp:extent cx="5591175" cy="1733550"/>
                <wp:effectExtent l="0" t="0" r="28575" b="57150"/>
                <wp:wrapTight wrapText="bothSides">
                  <wp:wrapPolygon edited="0">
                    <wp:start x="20901" y="0"/>
                    <wp:lineTo x="0" y="2374"/>
                    <wp:lineTo x="0" y="21600"/>
                    <wp:lineTo x="221" y="22075"/>
                    <wp:lineTo x="589" y="22075"/>
                    <wp:lineTo x="3091" y="22075"/>
                    <wp:lineTo x="21637" y="19464"/>
                    <wp:lineTo x="21637" y="712"/>
                    <wp:lineTo x="21563" y="0"/>
                    <wp:lineTo x="20901"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w SZOOP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733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8F7997" w:rsidRPr="00A5756A" w:rsidRDefault="008F7997" w:rsidP="00877E76">
                            <w:pPr>
                              <w:spacing w:after="120"/>
                              <w:jc w:val="center"/>
                              <w:rPr>
                                <w:rFonts w:ascii="Calibri" w:hAnsi="Calibri"/>
                                <w:b/>
                                <w:szCs w:val="22"/>
                              </w:rPr>
                            </w:pPr>
                            <w:r w:rsidRPr="00A5756A">
                              <w:rPr>
                                <w:rFonts w:ascii="Calibri" w:hAnsi="Calibri"/>
                                <w:b/>
                                <w:szCs w:val="22"/>
                              </w:rPr>
                              <w:t>UWAGA!</w:t>
                            </w:r>
                          </w:p>
                          <w:p w14:paraId="14D92057" w14:textId="77777777" w:rsidR="008F7997" w:rsidRPr="00A5756A" w:rsidRDefault="008F7997"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8F7997" w:rsidRPr="00A5756A" w:rsidRDefault="008F7997"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 Umowa/porozumienie na realizację wspólnego przedsięwzięcia  musi zostać zawarta przed złożeniem wniosku o dofinansowanie realizacji projektu, tylko i wyłącznie pomiędzy wnioskodawcami, których typy zostały określone w SZOOP EFRR.&#10;" style="position:absolute;left:0;text-align:left;margin-left:6.35pt;margin-top:41.65pt;width:440.25pt;height:1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" fillcolor="#a3c4ff" strokecolor="#4579b8">
                <v:fill color2="#e5eeff" rotate="t" angle="180" colors="0 #a3c4ff;22938f #bfd5ff;1 #e5eeff" focus="100%" type="gradient"/>
                <v:shadow on="t" color="black" opacity="24903f" origin=",.5" offset="0,.55556mm"/>
                <v:textbox>
                  <w:txbxContent>
                    <w:p w14:paraId="0FC50839" w14:textId="77777777" w:rsidR="008F7997" w:rsidRPr="00A5756A" w:rsidRDefault="008F7997" w:rsidP="00877E76">
                      <w:pPr>
                        <w:spacing w:after="120"/>
                        <w:jc w:val="center"/>
                        <w:rPr>
                          <w:rFonts w:ascii="Calibri" w:hAnsi="Calibri"/>
                          <w:b/>
                          <w:szCs w:val="22"/>
                        </w:rPr>
                      </w:pPr>
                      <w:r w:rsidRPr="00A5756A">
                        <w:rPr>
                          <w:rFonts w:ascii="Calibri" w:hAnsi="Calibri"/>
                          <w:b/>
                          <w:szCs w:val="22"/>
                        </w:rPr>
                        <w:t>UWAGA!</w:t>
                      </w:r>
                    </w:p>
                    <w:p w14:paraId="14D92057" w14:textId="77777777" w:rsidR="008F7997" w:rsidRPr="00A5756A" w:rsidRDefault="008F7997"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8F7997" w:rsidRPr="00A5756A" w:rsidRDefault="008F7997"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4"/>
      <w:bookmarkEnd w:id="145"/>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1D5DAB91"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w:t>
      </w:r>
      <w:r w:rsidR="000E6B68">
        <w:rPr>
          <w:rFonts w:ascii="Calibri" w:hAnsi="Calibri"/>
          <w:szCs w:val="24"/>
        </w:rPr>
        <w:t>amorządzie gminnym (</w:t>
      </w:r>
      <w:r w:rsidR="002102A7" w:rsidRPr="00EE5462">
        <w:rPr>
          <w:rFonts w:asciiTheme="majorHAnsi" w:hAnsiTheme="majorHAnsi" w:cstheme="majorHAnsi"/>
          <w:color w:val="333333"/>
          <w:szCs w:val="24"/>
          <w:shd w:val="clear" w:color="auto" w:fill="FFFFFF"/>
        </w:rPr>
        <w:t xml:space="preserve">t.j. Dz. U. z 2022 r. poz. </w:t>
      </w:r>
      <w:r w:rsidR="002102A7" w:rsidRPr="00EE5462">
        <w:rPr>
          <w:rFonts w:asciiTheme="majorHAnsi" w:hAnsiTheme="majorHAnsi" w:cstheme="majorHAnsi"/>
          <w:color w:val="333333"/>
          <w:szCs w:val="24"/>
          <w:shd w:val="clear" w:color="auto" w:fill="FFFFFF"/>
        </w:rPr>
        <w:lastRenderedPageBreak/>
        <w:t>559 z późn. zm</w:t>
      </w:r>
      <w:r w:rsidR="002102A7">
        <w:rPr>
          <w:rFonts w:ascii="Arial" w:hAnsi="Arial" w:cs="Arial"/>
          <w:color w:val="333333"/>
          <w:sz w:val="18"/>
          <w:szCs w:val="18"/>
          <w:shd w:val="clear" w:color="auto" w:fill="FFFFFF"/>
        </w:rPr>
        <w:t>.</w:t>
      </w:r>
      <w:r w:rsidR="00D94207" w:rsidRPr="00AD1CCA">
        <w:rPr>
          <w:rFonts w:ascii="Calibri" w:hAnsi="Calibri"/>
          <w:szCs w:val="24"/>
        </w:rPr>
        <w:t>)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AFDF2F2"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w:t>
      </w:r>
      <w:r w:rsidR="000E6B68">
        <w:rPr>
          <w:rFonts w:ascii="Calibri" w:hAnsi="Calibri"/>
          <w:szCs w:val="24"/>
        </w:rPr>
        <w:t xml:space="preserve"> </w:t>
      </w:r>
      <w:r w:rsidRPr="00AD1CCA">
        <w:rPr>
          <w:rFonts w:ascii="Calibri" w:hAnsi="Calibri"/>
          <w:szCs w:val="24"/>
        </w:rPr>
        <w:t xml:space="preserve">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B5E1A08"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w:t>
      </w:r>
      <w:r w:rsidR="000E6B68">
        <w:rPr>
          <w:rFonts w:ascii="Calibri" w:hAnsi="Calibri" w:cs="Univers-PL"/>
          <w:szCs w:val="24"/>
        </w:rPr>
        <w:t xml:space="preserve"> </w:t>
      </w:r>
      <w:r w:rsidR="00677705" w:rsidRPr="00AD1CCA">
        <w:rPr>
          <w:rFonts w:ascii="Calibri" w:hAnsi="Calibri" w:cs="Univers-PL"/>
          <w:szCs w:val="24"/>
        </w:rPr>
        <w:t>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7"/>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5D0325AA">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8F7997" w:rsidRPr="00A5756A" w:rsidRDefault="008F7997"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8F7997" w:rsidRPr="00A5756A" w:rsidRDefault="008F7997"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8"/>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6" w:name="_Toc477857448"/>
      <w:bookmarkStart w:id="147" w:name="_Toc54688951"/>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6"/>
      <w:bookmarkEnd w:id="147"/>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Default="00A06439" w:rsidP="00991695">
      <w:pPr>
        <w:spacing w:before="120" w:after="120" w:line="276" w:lineRule="auto"/>
        <w:ind w:firstLine="709"/>
        <w:rPr>
          <w:rFonts w:ascii="Calibri" w:hAnsi="Calibri"/>
          <w:szCs w:val="24"/>
        </w:rPr>
      </w:pPr>
      <w:r w:rsidRPr="00AD1CCA">
        <w:rPr>
          <w:rFonts w:ascii="Calibri" w:hAnsi="Calibri"/>
          <w:szCs w:val="24"/>
        </w:rPr>
        <w:t xml:space="preserve">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w:t>
      </w:r>
      <w:r w:rsidRPr="00AD1CCA">
        <w:rPr>
          <w:rFonts w:ascii="Calibri" w:hAnsi="Calibri"/>
          <w:szCs w:val="24"/>
        </w:rPr>
        <w:lastRenderedPageBreak/>
        <w:t>jednak niż przed podpisaniem umowy oraz dołączyć bilans wraz z opinią składu orzekającego RIO o sprawozdaniu z wykonania budżetu za rok przedostatni.</w:t>
      </w:r>
    </w:p>
    <w:p w14:paraId="617FE5B3" w14:textId="77777777" w:rsidR="00C41852" w:rsidRDefault="00C41852" w:rsidP="00C41852">
      <w:pPr>
        <w:spacing w:before="120" w:line="276" w:lineRule="auto"/>
        <w:ind w:firstLine="709"/>
        <w:rPr>
          <w:rFonts w:ascii="Calibri" w:hAnsi="Calibri"/>
          <w:szCs w:val="24"/>
        </w:rPr>
      </w:pPr>
      <w:r>
        <w:rPr>
          <w:rFonts w:ascii="Calibri" w:hAnsi="Calibri"/>
          <w:iCs/>
          <w:szCs w:val="24"/>
        </w:rPr>
        <w:t xml:space="preserve">W przypadku gdy Wnioskodawcą aplikującym o dofinasowanie jest inny podmiot niż JST, w ramach przedmiotowego załącznika należy dostarczyć sprawozdania finansowe opiniowane </w:t>
      </w:r>
      <w:r w:rsidRPr="00131CDB">
        <w:rPr>
          <w:rFonts w:ascii="Calibri" w:hAnsi="Calibri"/>
          <w:iCs/>
          <w:szCs w:val="24"/>
        </w:rPr>
        <w:t xml:space="preserve">przez niezależnego biegłego rewidenta za </w:t>
      </w:r>
      <w:r>
        <w:rPr>
          <w:rFonts w:ascii="Calibri" w:hAnsi="Calibri"/>
          <w:iCs/>
          <w:szCs w:val="24"/>
        </w:rPr>
        <w:t>ostatni zamknięty rok finansowy</w:t>
      </w:r>
      <w:r>
        <w:rPr>
          <w:rFonts w:ascii="Calibri" w:hAnsi="Calibri"/>
          <w:iCs/>
          <w:szCs w:val="24"/>
        </w:rPr>
        <w:br/>
        <w:t>( d</w:t>
      </w:r>
      <w:r w:rsidRPr="00131CDB">
        <w:rPr>
          <w:rFonts w:ascii="Calibri" w:hAnsi="Calibri"/>
          <w:iCs/>
          <w:szCs w:val="24"/>
        </w:rPr>
        <w:t xml:space="preserve">la projektów złożonych do dofinansowania w I kwartale danego roku, ocena będzie </w:t>
      </w:r>
      <w:r>
        <w:rPr>
          <w:rFonts w:ascii="Calibri" w:hAnsi="Calibri"/>
          <w:iCs/>
          <w:szCs w:val="24"/>
        </w:rPr>
        <w:t xml:space="preserve">dokonywana </w:t>
      </w:r>
      <w:r w:rsidRPr="00131CDB">
        <w:rPr>
          <w:rFonts w:ascii="Calibri" w:hAnsi="Calibri"/>
          <w:iCs/>
          <w:szCs w:val="24"/>
        </w:rPr>
        <w:t xml:space="preserve">na podstawie opinii w zakresie sytuacji majątkowej i finansowej wynikającej </w:t>
      </w:r>
      <w:r>
        <w:rPr>
          <w:rFonts w:ascii="Calibri" w:hAnsi="Calibri"/>
          <w:iCs/>
          <w:szCs w:val="24"/>
        </w:rPr>
        <w:br/>
      </w:r>
      <w:r w:rsidRPr="00131CDB">
        <w:rPr>
          <w:rFonts w:ascii="Calibri" w:hAnsi="Calibri"/>
          <w:iCs/>
          <w:szCs w:val="24"/>
        </w:rPr>
        <w:t xml:space="preserve">z badania sprawozdania finansowego przez niezależnego biegłego rewidenta </w:t>
      </w:r>
      <w:r w:rsidRPr="00131CDB">
        <w:rPr>
          <w:rFonts w:ascii="Calibri" w:hAnsi="Calibri"/>
          <w:iCs/>
          <w:szCs w:val="24"/>
          <w:u w:val="single"/>
        </w:rPr>
        <w:t>za rok poprzedzający ostatni zamknięty rok finansowy</w:t>
      </w:r>
      <w:r>
        <w:rPr>
          <w:rFonts w:ascii="Calibri" w:hAnsi="Calibri"/>
          <w:iCs/>
          <w:szCs w:val="24"/>
          <w:u w:val="single"/>
        </w:rPr>
        <w:t>).</w:t>
      </w:r>
    </w:p>
    <w:p w14:paraId="0C4C2DA6" w14:textId="77777777" w:rsidR="00C41852" w:rsidRPr="00AD1CCA" w:rsidRDefault="00C41852" w:rsidP="00991695">
      <w:pPr>
        <w:spacing w:before="120" w:after="120" w:line="276" w:lineRule="auto"/>
        <w:ind w:firstLine="709"/>
        <w:rPr>
          <w:rFonts w:ascii="Calibri" w:hAnsi="Calibri"/>
          <w:szCs w:val="24"/>
        </w:rPr>
      </w:pPr>
    </w:p>
    <w:p w14:paraId="61E0398B" w14:textId="03484A48"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w:t>
      </w:r>
      <w:r w:rsidR="00C41852">
        <w:rPr>
          <w:rFonts w:ascii="Calibri" w:hAnsi="Calibri"/>
          <w:szCs w:val="24"/>
        </w:rPr>
        <w:t>, sprawozdanie finansowe z opinią biegłego rewidenta</w:t>
      </w:r>
      <w:r w:rsidR="00C41852" w:rsidRPr="00AD1CCA">
        <w:rPr>
          <w:rFonts w:ascii="Calibri" w:hAnsi="Calibri"/>
          <w:szCs w:val="24"/>
        </w:rPr>
        <w:t xml:space="preserve"> </w:t>
      </w:r>
      <w:r w:rsidRPr="00AD1CCA">
        <w:rPr>
          <w:rFonts w:ascii="Calibri" w:hAnsi="Calibri"/>
          <w:szCs w:val="24"/>
        </w:rPr>
        <w:t xml:space="preserve">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8" w:name="_Toc477857449"/>
      <w:bookmarkStart w:id="149" w:name="_Toc54688952"/>
      <w:r w:rsidRPr="00AD1CCA">
        <w:rPr>
          <w:rFonts w:ascii="Calibri" w:hAnsi="Calibri"/>
          <w:sz w:val="28"/>
          <w:szCs w:val="28"/>
        </w:rPr>
        <w:t>STATUT/AKT POWOŁUJĄCY JEDNOSTKĘ</w:t>
      </w:r>
      <w:bookmarkEnd w:id="148"/>
      <w:bookmarkEnd w:id="149"/>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0" w:name="_Toc477857450"/>
    <w:bookmarkStart w:id="151" w:name="_Toc54688953"/>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20CE495B">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2F65B0AA" w:rsidR="008F7997" w:rsidRPr="00A5756A" w:rsidRDefault="008F7997"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Pozakonkursowej procedury wyboru projektów."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" fillcolor="#dafda7" strokecolor="#94b64e">
                <v:fill color2="#f5ffe6" rotate="t" angle="180" colors="0 #dafda7;22938f #e4fdc2;1 #f5ffe6" focus="100%" type="gradient"/>
                <v:shadow on="t" color="black" opacity="24903f" origin=",.5" offset="0,.55556mm"/>
                <v:textbox>
                  <w:txbxContent>
                    <w:p w14:paraId="6E2666C9" w14:textId="2F65B0AA" w:rsidR="008F7997" w:rsidRPr="00A5756A" w:rsidRDefault="008F7997"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0"/>
      <w:bookmarkEnd w:id="151"/>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lastRenderedPageBreak/>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9560BA" w:rsidRDefault="00EC537C" w:rsidP="009560BA">
      <w:pPr>
        <w:suppressAutoHyphens w:val="0"/>
        <w:spacing w:before="120" w:after="120" w:line="276" w:lineRule="auto"/>
        <w:ind w:firstLine="709"/>
        <w:rPr>
          <w:rFonts w:asciiTheme="minorHAnsi" w:hAnsiTheme="minorHAnsi" w:cstheme="minorHAnsi"/>
          <w:szCs w:val="24"/>
        </w:rPr>
      </w:pPr>
    </w:p>
    <w:p w14:paraId="6A4584AE" w14:textId="77777777" w:rsidR="009560BA" w:rsidRPr="009560BA" w:rsidRDefault="009560BA" w:rsidP="009560BA">
      <w:pPr>
        <w:autoSpaceDE w:val="0"/>
        <w:autoSpaceDN w:val="0"/>
        <w:adjustRightInd w:val="0"/>
        <w:spacing w:before="120" w:line="276" w:lineRule="auto"/>
        <w:ind w:firstLine="709"/>
        <w:rPr>
          <w:rFonts w:asciiTheme="minorHAnsi" w:hAnsiTheme="minorHAnsi" w:cstheme="minorHAnsi"/>
          <w:szCs w:val="24"/>
        </w:rPr>
      </w:pPr>
      <w:bookmarkStart w:id="152" w:name="_Toc427225958"/>
      <w:bookmarkStart w:id="153" w:name="_Toc427226268"/>
      <w:bookmarkStart w:id="154" w:name="_Toc427225959"/>
      <w:bookmarkStart w:id="155" w:name="_Toc427226269"/>
      <w:bookmarkStart w:id="156" w:name="_Toc427225960"/>
      <w:bookmarkStart w:id="157" w:name="_Toc427226270"/>
      <w:bookmarkStart w:id="158" w:name="_Toc427225961"/>
      <w:bookmarkStart w:id="159" w:name="_Toc427226271"/>
      <w:bookmarkStart w:id="160" w:name="_Toc477857451"/>
      <w:bookmarkEnd w:id="152"/>
      <w:bookmarkEnd w:id="153"/>
      <w:bookmarkEnd w:id="154"/>
      <w:bookmarkEnd w:id="155"/>
      <w:bookmarkEnd w:id="156"/>
      <w:bookmarkEnd w:id="157"/>
      <w:bookmarkEnd w:id="158"/>
      <w:bookmarkEnd w:id="159"/>
      <w:r w:rsidRPr="009560BA">
        <w:rPr>
          <w:rFonts w:asciiTheme="minorHAnsi" w:hAnsiTheme="minorHAnsi" w:cstheme="minorHAnsi"/>
          <w:szCs w:val="24"/>
        </w:rPr>
        <w:t xml:space="preserve">W przypadku gdy projekt objęty jest pomocą publiczną wnioskodawca ubiegający się </w:t>
      </w:r>
      <w:r w:rsidRPr="009560BA">
        <w:rPr>
          <w:rFonts w:asciiTheme="minorHAnsi" w:hAnsiTheme="minorHAnsi" w:cstheme="minorHAnsi"/>
          <w:szCs w:val="24"/>
        </w:rPr>
        <w:br/>
        <w:t xml:space="preserve">o dofinansowanie z funduszy Unii Europejskiej zobowiązany jest do przedstawienia dokumentacji potwierdzającej zgodność pomocy publicznej udzielanej ze środków UE w formie rekompensaty z tytułu świadczenia usług w ogólnym interesie gospodarczym z rynkiem wewnętrznym UE, spełniającej wymogi określone w rozdziale 5-10 </w:t>
      </w:r>
      <w:r w:rsidRPr="009560BA">
        <w:rPr>
          <w:rFonts w:asciiTheme="minorHAnsi" w:hAnsiTheme="minorHAnsi" w:cstheme="minorHAnsi"/>
          <w:i/>
          <w:szCs w:val="24"/>
        </w:rPr>
        <w:t>Wytycznych 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60BA">
        <w:rPr>
          <w:rFonts w:asciiTheme="minorHAnsi" w:hAnsiTheme="minorHAnsi" w:cstheme="minorHAnsi"/>
          <w:szCs w:val="24"/>
        </w:rPr>
        <w:t xml:space="preserve"> (z wyjątkiem podrozdziału 5.1).</w:t>
      </w:r>
    </w:p>
    <w:p w14:paraId="07FFF43C" w14:textId="40E3330F" w:rsidR="009560BA" w:rsidRPr="009560BA" w:rsidRDefault="009560BA" w:rsidP="009560BA">
      <w:pPr>
        <w:autoSpaceDE w:val="0"/>
        <w:autoSpaceDN w:val="0"/>
        <w:adjustRightInd w:val="0"/>
        <w:spacing w:before="120" w:line="276" w:lineRule="auto"/>
        <w:ind w:firstLine="709"/>
        <w:rPr>
          <w:rFonts w:asciiTheme="minorHAnsi" w:hAnsiTheme="minorHAnsi" w:cstheme="minorHAnsi"/>
          <w:szCs w:val="24"/>
        </w:rPr>
      </w:pPr>
      <w:r w:rsidRPr="009560BA">
        <w:rPr>
          <w:rFonts w:asciiTheme="minorHAnsi" w:hAnsiTheme="minorHAnsi" w:cstheme="minorHAnsi"/>
          <w:szCs w:val="24"/>
        </w:rPr>
        <w:t xml:space="preserve">W ramach  </w:t>
      </w:r>
      <w:r w:rsidRPr="009560BA">
        <w:rPr>
          <w:rFonts w:asciiTheme="minorHAnsi" w:hAnsiTheme="minorHAnsi" w:cstheme="minorHAnsi"/>
          <w:b/>
          <w:szCs w:val="24"/>
        </w:rPr>
        <w:t>działania</w:t>
      </w:r>
      <w:r w:rsidRPr="009560BA">
        <w:rPr>
          <w:rFonts w:asciiTheme="minorHAnsi" w:hAnsiTheme="minorHAnsi" w:cstheme="minorHAnsi"/>
          <w:szCs w:val="24"/>
        </w:rPr>
        <w:t xml:space="preserve"> </w:t>
      </w:r>
      <w:r w:rsidRPr="009560BA">
        <w:rPr>
          <w:rFonts w:asciiTheme="minorHAnsi" w:hAnsiTheme="minorHAnsi" w:cstheme="minorHAnsi"/>
          <w:b/>
          <w:szCs w:val="24"/>
        </w:rPr>
        <w:t xml:space="preserve">5.2 </w:t>
      </w:r>
      <w:r w:rsidRPr="009560BA">
        <w:rPr>
          <w:rFonts w:asciiTheme="minorHAnsi" w:hAnsiTheme="minorHAnsi" w:cstheme="minorHAnsi"/>
          <w:b/>
          <w:i/>
          <w:szCs w:val="24"/>
        </w:rPr>
        <w:t>Poprawa gospodarowania odpadami komunalnymi</w:t>
      </w:r>
      <w:r w:rsidRPr="009560BA">
        <w:rPr>
          <w:rFonts w:asciiTheme="minorHAnsi" w:hAnsiTheme="minorHAnsi" w:cstheme="minorHAnsi"/>
          <w:b/>
          <w:szCs w:val="24"/>
        </w:rPr>
        <w:t xml:space="preserve"> </w:t>
      </w:r>
      <w:r w:rsidRPr="009560BA">
        <w:rPr>
          <w:rFonts w:asciiTheme="minorHAnsi" w:hAnsiTheme="minorHAnsi" w:cstheme="minorHAnsi"/>
          <w:szCs w:val="24"/>
        </w:rPr>
        <w:t xml:space="preserve">zgodnie </w:t>
      </w:r>
      <w:r w:rsidRPr="009560BA">
        <w:rPr>
          <w:rFonts w:asciiTheme="minorHAnsi" w:hAnsiTheme="minorHAnsi" w:cstheme="minorHAnsi"/>
          <w:szCs w:val="24"/>
        </w:rPr>
        <w:br/>
        <w:t xml:space="preserve">z </w:t>
      </w:r>
      <w:r w:rsidRPr="009560BA">
        <w:rPr>
          <w:rFonts w:asciiTheme="minorHAnsi" w:hAnsiTheme="minorHAnsi" w:cstheme="minorHAnsi"/>
          <w:i/>
          <w:szCs w:val="24"/>
        </w:rPr>
        <w:t xml:space="preserve">Wytycznymi Ministra Infrastruktury i Rozwoju w zakresie reguł dofinansowania </w:t>
      </w:r>
      <w:r w:rsidR="005350E0">
        <w:rPr>
          <w:rFonts w:asciiTheme="minorHAnsi" w:hAnsiTheme="minorHAnsi" w:cstheme="minorHAnsi"/>
          <w:i/>
          <w:szCs w:val="24"/>
        </w:rPr>
        <w:br/>
      </w:r>
      <w:r w:rsidRPr="009560BA">
        <w:rPr>
          <w:rFonts w:asciiTheme="minorHAnsi" w:hAnsiTheme="minorHAnsi" w:cstheme="minorHAnsi"/>
          <w:i/>
          <w:szCs w:val="24"/>
        </w:rPr>
        <w:t xml:space="preserve">z programów operacyjnych podmiotów realizujących obowiązek świadczenia usług </w:t>
      </w:r>
      <w:r w:rsidR="005350E0">
        <w:rPr>
          <w:rFonts w:asciiTheme="minorHAnsi" w:hAnsiTheme="minorHAnsi" w:cstheme="minorHAnsi"/>
          <w:i/>
          <w:szCs w:val="24"/>
        </w:rPr>
        <w:br/>
      </w:r>
      <w:r w:rsidRPr="009560BA">
        <w:rPr>
          <w:rFonts w:asciiTheme="minorHAnsi" w:hAnsiTheme="minorHAnsi" w:cstheme="minorHAnsi"/>
          <w:i/>
          <w:szCs w:val="24"/>
        </w:rPr>
        <w:t xml:space="preserve">w ogólnym interesie gospodarczym w ramach zadań własnych samorządu gminy </w:t>
      </w:r>
      <w:r w:rsidR="005350E0">
        <w:rPr>
          <w:rFonts w:asciiTheme="minorHAnsi" w:hAnsiTheme="minorHAnsi" w:cstheme="minorHAnsi"/>
          <w:i/>
          <w:szCs w:val="24"/>
        </w:rPr>
        <w:br/>
      </w:r>
      <w:r w:rsidRPr="009560BA">
        <w:rPr>
          <w:rFonts w:asciiTheme="minorHAnsi" w:hAnsiTheme="minorHAnsi" w:cstheme="minorHAnsi"/>
          <w:i/>
          <w:szCs w:val="24"/>
        </w:rPr>
        <w:t>w gospodarce odpadami komunalnymi</w:t>
      </w:r>
      <w:r w:rsidRPr="009560BA">
        <w:rPr>
          <w:rFonts w:asciiTheme="minorHAnsi" w:hAnsiTheme="minorHAnsi" w:cstheme="minorHAnsi"/>
          <w:szCs w:val="24"/>
        </w:rPr>
        <w:t xml:space="preserve"> operator może otrzymać rekompensatę w formie pomocy de minimis. </w:t>
      </w:r>
    </w:p>
    <w:p w14:paraId="0149604B" w14:textId="77777777" w:rsidR="009560BA" w:rsidRPr="009560BA" w:rsidRDefault="009560BA" w:rsidP="009560BA">
      <w:pPr>
        <w:spacing w:before="120" w:line="276" w:lineRule="auto"/>
        <w:ind w:firstLine="709"/>
        <w:rPr>
          <w:rFonts w:asciiTheme="minorHAnsi" w:hAnsiTheme="minorHAnsi" w:cstheme="minorHAnsi"/>
        </w:rPr>
      </w:pPr>
      <w:r w:rsidRPr="009560BA">
        <w:rPr>
          <w:rFonts w:asciiTheme="minorHAnsi" w:hAnsiTheme="minorHAnsi" w:cstheme="minorHAnsi"/>
          <w:u w:val="single"/>
        </w:rPr>
        <w:t>Załącznik nr 12</w:t>
      </w:r>
      <w:r w:rsidRPr="009560BA">
        <w:rPr>
          <w:rFonts w:asciiTheme="minorHAnsi" w:hAnsiTheme="minorHAnsi" w:cstheme="minorHAnsi"/>
          <w:i/>
        </w:rPr>
        <w:t xml:space="preserve"> :</w:t>
      </w:r>
    </w:p>
    <w:p w14:paraId="76FFBD16" w14:textId="47794579" w:rsidR="009560BA" w:rsidRPr="009560BA" w:rsidRDefault="009560BA" w:rsidP="009560BA">
      <w:pPr>
        <w:pStyle w:val="Akapitzlist"/>
        <w:numPr>
          <w:ilvl w:val="0"/>
          <w:numId w:val="112"/>
        </w:numPr>
        <w:spacing w:before="120"/>
        <w:ind w:left="426"/>
        <w:rPr>
          <w:rFonts w:asciiTheme="minorHAnsi" w:hAnsiTheme="minorHAnsi" w:cstheme="minorHAnsi"/>
        </w:rPr>
      </w:pPr>
      <w:r>
        <w:rPr>
          <w:rFonts w:asciiTheme="minorHAnsi" w:hAnsiTheme="minorHAnsi" w:cstheme="minorHAnsi"/>
          <w:i/>
        </w:rPr>
        <w:t>O</w:t>
      </w:r>
      <w:r w:rsidRPr="009560BA">
        <w:rPr>
          <w:rFonts w:asciiTheme="minorHAnsi" w:hAnsiTheme="minorHAnsi" w:cstheme="minorHAnsi"/>
          <w:i/>
        </w:rPr>
        <w:t>świadczenie wnioskodawcy o zgodności projektu z pomocą publiczną</w:t>
      </w:r>
      <w:r w:rsidRPr="009560BA">
        <w:rPr>
          <w:rFonts w:asciiTheme="minorHAnsi" w:hAnsiTheme="minorHAnsi" w:cstheme="minorHAnsi"/>
        </w:rPr>
        <w:t xml:space="preserve"> – wypełniają wszyscy wnioskodawcy</w:t>
      </w:r>
    </w:p>
    <w:p w14:paraId="4C05FCC3" w14:textId="4F5F0108" w:rsidR="009560BA" w:rsidRPr="009560BA" w:rsidRDefault="009560BA" w:rsidP="009560BA">
      <w:pPr>
        <w:pStyle w:val="Akapitzlist"/>
        <w:numPr>
          <w:ilvl w:val="0"/>
          <w:numId w:val="112"/>
        </w:numPr>
        <w:spacing w:before="120"/>
        <w:ind w:left="426"/>
        <w:rPr>
          <w:rFonts w:asciiTheme="minorHAnsi" w:hAnsiTheme="minorHAnsi" w:cstheme="minorHAnsi"/>
        </w:rPr>
      </w:pPr>
      <w:r w:rsidRPr="009560BA">
        <w:rPr>
          <w:rFonts w:asciiTheme="minorHAnsi" w:hAnsiTheme="minorHAnsi" w:cstheme="minorHAnsi"/>
        </w:rPr>
        <w:t xml:space="preserve">część A </w:t>
      </w:r>
      <w:r w:rsidRPr="009560BA">
        <w:rPr>
          <w:rFonts w:asciiTheme="minorHAnsi" w:hAnsiTheme="minorHAnsi" w:cstheme="minorHAnsi"/>
          <w:i/>
        </w:rPr>
        <w:t>– Oświadczenie wnioskodawcy o nieotrzymaniu pomocy publicznej lub</w:t>
      </w:r>
      <w:r w:rsidRPr="009560BA">
        <w:rPr>
          <w:rFonts w:asciiTheme="minorHAnsi" w:hAnsiTheme="minorHAnsi" w:cstheme="minorHAnsi"/>
        </w:rPr>
        <w:t xml:space="preserve"> część B – </w:t>
      </w:r>
      <w:r w:rsidRPr="009560BA">
        <w:rPr>
          <w:rFonts w:asciiTheme="minorHAnsi" w:hAnsiTheme="minorHAnsi" w:cstheme="minorHAnsi"/>
          <w:i/>
        </w:rPr>
        <w:t>Oświadczenie wnioskodawcy o otrzymanej pomocy publicznej</w:t>
      </w:r>
      <w:r w:rsidRPr="009560BA">
        <w:rPr>
          <w:rFonts w:asciiTheme="minorHAnsi" w:hAnsiTheme="minorHAnsi" w:cstheme="minorHAnsi"/>
        </w:rPr>
        <w:t xml:space="preserve"> </w:t>
      </w:r>
      <w:r w:rsidRPr="009560BA">
        <w:rPr>
          <w:rFonts w:asciiTheme="minorHAnsi" w:hAnsiTheme="minorHAnsi" w:cstheme="minorHAnsi"/>
          <w:i/>
        </w:rPr>
        <w:t>-</w:t>
      </w:r>
      <w:r w:rsidRPr="009560BA">
        <w:rPr>
          <w:rFonts w:asciiTheme="minorHAnsi" w:hAnsiTheme="minorHAnsi" w:cstheme="minorHAnsi"/>
        </w:rPr>
        <w:t xml:space="preserve"> odpowiednio wypełniają wnioskodawcy, którzy nie otrzymali/ otrzymali pomoc publiczną.</w:t>
      </w:r>
    </w:p>
    <w:p w14:paraId="1CBEAF51" w14:textId="77777777" w:rsidR="009560BA" w:rsidRPr="009560BA" w:rsidRDefault="009560BA" w:rsidP="009560BA">
      <w:pPr>
        <w:spacing w:before="120" w:line="276" w:lineRule="auto"/>
        <w:ind w:firstLine="709"/>
        <w:rPr>
          <w:rFonts w:asciiTheme="minorHAnsi" w:hAnsiTheme="minorHAnsi" w:cstheme="minorHAnsi"/>
          <w:i/>
          <w:u w:val="single"/>
        </w:rPr>
      </w:pPr>
      <w:r w:rsidRPr="009560BA">
        <w:rPr>
          <w:rFonts w:asciiTheme="minorHAnsi" w:hAnsiTheme="minorHAnsi" w:cstheme="minorHAnsi"/>
          <w:u w:val="single"/>
        </w:rPr>
        <w:t>Załącznik nr 12.1</w:t>
      </w:r>
      <w:r w:rsidRPr="009560BA">
        <w:rPr>
          <w:rFonts w:asciiTheme="minorHAnsi" w:hAnsiTheme="minorHAnsi" w:cstheme="minorHAnsi"/>
          <w:i/>
          <w:u w:val="single"/>
        </w:rPr>
        <w:t>:</w:t>
      </w:r>
    </w:p>
    <w:p w14:paraId="0D876D39" w14:textId="24BE2FDD" w:rsidR="009560BA" w:rsidRPr="009560BA" w:rsidRDefault="009560BA" w:rsidP="009560BA">
      <w:pPr>
        <w:pStyle w:val="Akapitzlist"/>
        <w:numPr>
          <w:ilvl w:val="0"/>
          <w:numId w:val="113"/>
        </w:numPr>
        <w:tabs>
          <w:tab w:val="left" w:pos="142"/>
        </w:tabs>
        <w:spacing w:before="120"/>
        <w:ind w:left="426"/>
        <w:rPr>
          <w:rFonts w:asciiTheme="minorHAnsi" w:hAnsiTheme="minorHAnsi" w:cstheme="minorHAnsi"/>
        </w:rPr>
      </w:pPr>
      <w:r w:rsidRPr="009560BA">
        <w:rPr>
          <w:rFonts w:asciiTheme="minorHAnsi" w:hAnsiTheme="minorHAnsi" w:cstheme="minorHAnsi"/>
        </w:rPr>
        <w:t xml:space="preserve">Formularz informacji przedstawianych przy ubieganiu się o pomoc de minimis </w:t>
      </w:r>
      <w:r>
        <w:rPr>
          <w:rFonts w:asciiTheme="minorHAnsi" w:hAnsiTheme="minorHAnsi" w:cstheme="minorHAnsi"/>
        </w:rPr>
        <w:t xml:space="preserve"> - </w:t>
      </w:r>
      <w:r w:rsidRPr="009560BA">
        <w:rPr>
          <w:rFonts w:asciiTheme="minorHAnsi" w:hAnsiTheme="minorHAnsi" w:cstheme="minorHAnsi"/>
        </w:rPr>
        <w:t>wypełniają wnioskodawcy ubiegający się o pomoc de minimis,</w:t>
      </w:r>
    </w:p>
    <w:p w14:paraId="1F75D204" w14:textId="142523C8" w:rsidR="009560BA" w:rsidRPr="009560BA" w:rsidRDefault="009560BA" w:rsidP="009560BA">
      <w:pPr>
        <w:pStyle w:val="Akapitzlist"/>
        <w:numPr>
          <w:ilvl w:val="0"/>
          <w:numId w:val="113"/>
        </w:numPr>
        <w:spacing w:before="120"/>
        <w:ind w:left="426"/>
        <w:rPr>
          <w:rFonts w:asciiTheme="minorHAnsi" w:hAnsiTheme="minorHAnsi" w:cstheme="minorHAnsi"/>
        </w:rPr>
      </w:pPr>
      <w:r w:rsidRPr="009560BA">
        <w:rPr>
          <w:rFonts w:asciiTheme="minorHAnsi" w:hAnsiTheme="minorHAnsi" w:cstheme="minorHAnsi"/>
        </w:rPr>
        <w:t xml:space="preserve">część A – </w:t>
      </w:r>
      <w:r w:rsidRPr="009560BA">
        <w:rPr>
          <w:rFonts w:asciiTheme="minorHAnsi" w:hAnsiTheme="minorHAnsi" w:cstheme="minorHAnsi"/>
          <w:i/>
        </w:rPr>
        <w:t xml:space="preserve">Formularz informacji przedstawianych przy ubieganiu się o pomoc inną niż pomoc </w:t>
      </w:r>
      <w:r>
        <w:rPr>
          <w:rFonts w:asciiTheme="minorHAnsi" w:hAnsiTheme="minorHAnsi" w:cstheme="minorHAnsi"/>
          <w:i/>
        </w:rPr>
        <w:br/>
      </w:r>
      <w:r w:rsidRPr="009560BA">
        <w:rPr>
          <w:rFonts w:asciiTheme="minorHAnsi" w:hAnsiTheme="minorHAnsi" w:cstheme="minorHAnsi"/>
          <w:i/>
        </w:rPr>
        <w:t>w rolnictwie lub rybołówstwie, pomoc de minimis lub pomoc de minimis w rolnictwie lub rybołówstwie -</w:t>
      </w:r>
      <w:r w:rsidRPr="009560BA">
        <w:rPr>
          <w:rFonts w:asciiTheme="minorHAnsi" w:hAnsiTheme="minorHAnsi" w:cstheme="minorHAnsi"/>
        </w:rPr>
        <w:t xml:space="preserve"> wypełniają wnioskodawcy ubiegający się</w:t>
      </w:r>
      <w:r w:rsidRPr="009560BA">
        <w:rPr>
          <w:rFonts w:asciiTheme="minorHAnsi" w:hAnsiTheme="minorHAnsi" w:cstheme="minorHAnsi"/>
          <w:i/>
        </w:rPr>
        <w:t xml:space="preserve"> </w:t>
      </w:r>
      <w:r w:rsidRPr="009560BA">
        <w:rPr>
          <w:rFonts w:asciiTheme="minorHAnsi" w:hAnsiTheme="minorHAnsi" w:cstheme="minorHAnsi"/>
        </w:rPr>
        <w:t xml:space="preserve">o pomoc de minimis (z wyłączeniem </w:t>
      </w:r>
      <w:r w:rsidRPr="009560BA">
        <w:rPr>
          <w:rFonts w:asciiTheme="minorHAnsi" w:hAnsiTheme="minorHAnsi" w:cstheme="minorHAnsi"/>
        </w:rPr>
        <w:lastRenderedPageBreak/>
        <w:t>sytuacji objętych rozporządzeniem Komisji (UE) cytowanym w przypisie 43) lub pomoc inwestycyjną na kulturę  i zachowanie dziedzictwa kulturowego.</w:t>
      </w:r>
    </w:p>
    <w:p w14:paraId="0606A0AC" w14:textId="77777777" w:rsidR="009560BA" w:rsidRPr="009560BA" w:rsidRDefault="009560BA" w:rsidP="009560BA">
      <w:pPr>
        <w:spacing w:before="120" w:line="276" w:lineRule="auto"/>
        <w:ind w:firstLine="709"/>
        <w:rPr>
          <w:rFonts w:asciiTheme="minorHAnsi" w:hAnsiTheme="minorHAnsi" w:cstheme="minorHAnsi"/>
          <w:i/>
        </w:rPr>
      </w:pPr>
      <w:r w:rsidRPr="009560BA">
        <w:rPr>
          <w:rFonts w:asciiTheme="minorHAnsi" w:hAnsiTheme="minorHAnsi" w:cstheme="minorHAnsi"/>
          <w:u w:val="single"/>
        </w:rPr>
        <w:t>Załącznik nr 12.2</w:t>
      </w:r>
      <w:r w:rsidRPr="009560BA">
        <w:rPr>
          <w:rFonts w:asciiTheme="minorHAnsi" w:hAnsiTheme="minorHAnsi" w:cstheme="minorHAnsi"/>
          <w:i/>
        </w:rPr>
        <w:t xml:space="preserve"> –  Formularz informacji przedstawianych przy ubieganiu się o pomoc de minimis  przez przedsiębiorcę wykonującego usługę świadczoną w ogólnym interesie gospodarczym </w:t>
      </w:r>
      <w:r w:rsidRPr="009560BA">
        <w:rPr>
          <w:rFonts w:asciiTheme="minorHAnsi" w:hAnsiTheme="minorHAnsi" w:cstheme="minorHAnsi"/>
        </w:rPr>
        <w:t>wypełniają przedsiębiorcy</w:t>
      </w:r>
      <w:r w:rsidRPr="009560BA">
        <w:rPr>
          <w:rFonts w:asciiTheme="minorHAnsi" w:hAnsiTheme="minorHAnsi" w:cstheme="minorHAnsi"/>
          <w:sz w:val="28"/>
        </w:rPr>
        <w:t xml:space="preserve"> </w:t>
      </w:r>
      <w:r w:rsidRPr="009560BA">
        <w:rPr>
          <w:rFonts w:asciiTheme="minorHAnsi" w:hAnsiTheme="minorHAnsi" w:cstheme="minorHAnsi"/>
        </w:rPr>
        <w:t>wykonujący usługę świadczoną w ogólnym interesie gospodarczym ubiegający się o pomoc de minimis.</w:t>
      </w:r>
    </w:p>
    <w:p w14:paraId="474EA952" w14:textId="77777777" w:rsidR="009560BA" w:rsidRPr="009560BA" w:rsidRDefault="009560BA" w:rsidP="009560BA">
      <w:pPr>
        <w:spacing w:before="120" w:after="120" w:line="276" w:lineRule="auto"/>
        <w:ind w:firstLine="709"/>
        <w:rPr>
          <w:rFonts w:asciiTheme="minorHAnsi" w:hAnsiTheme="minorHAnsi" w:cstheme="minorHAnsi"/>
          <w:sz w:val="28"/>
          <w:szCs w:val="24"/>
        </w:rPr>
      </w:pPr>
      <w:r w:rsidRPr="009560BA">
        <w:rPr>
          <w:rFonts w:asciiTheme="minorHAnsi" w:hAnsiTheme="minorHAnsi" w:cstheme="minorHAnsi"/>
          <w:u w:val="single"/>
        </w:rPr>
        <w:t>Załącznik nr 12.3</w:t>
      </w:r>
      <w:r w:rsidRPr="009560BA">
        <w:rPr>
          <w:rFonts w:asciiTheme="minorHAnsi" w:hAnsiTheme="minorHAnsi" w:cstheme="minorHAnsi"/>
        </w:rPr>
        <w:t xml:space="preserve"> – </w:t>
      </w:r>
      <w:r w:rsidRPr="009560BA">
        <w:rPr>
          <w:rFonts w:asciiTheme="minorHAnsi" w:hAnsiTheme="minorHAnsi" w:cstheme="minorHAnsi"/>
          <w:i/>
        </w:rPr>
        <w:t xml:space="preserve">Oświadczenie wnioskodawcy o niezaliczeniu się do przedsiębiorstw znajdujących się w trudnej sytuacji </w:t>
      </w:r>
      <w:r w:rsidRPr="009560BA">
        <w:rPr>
          <w:rFonts w:asciiTheme="minorHAnsi" w:hAnsiTheme="minorHAnsi" w:cstheme="minorHAnsi"/>
        </w:rPr>
        <w:t>należy wypełnić w przypadku gdy projekt będzie objęty pomocą inwestycyjną.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1" w:name="_Toc54688954"/>
      <w:r w:rsidRPr="00AD1CCA">
        <w:rPr>
          <w:rFonts w:ascii="Calibri" w:hAnsi="Calibri"/>
          <w:sz w:val="28"/>
          <w:szCs w:val="28"/>
        </w:rPr>
        <w:t>INNE NIEZBĘDNE DOKUMENTY WYMAGANE PRAWEM LUB KATEGORIĄ PROJEKTU</w:t>
      </w:r>
      <w:bookmarkEnd w:id="160"/>
      <w:bookmarkEnd w:id="161"/>
    </w:p>
    <w:p w14:paraId="36F9F878" w14:textId="77777777" w:rsidR="00B2113C" w:rsidRDefault="00B2113C" w:rsidP="00B2113C">
      <w:pPr>
        <w:spacing w:before="120" w:after="120" w:line="276" w:lineRule="auto"/>
        <w:ind w:firstLine="709"/>
        <w:rPr>
          <w:rFonts w:ascii="Calibri" w:hAnsi="Calibri"/>
          <w:szCs w:val="24"/>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w:t>
      </w:r>
      <w:r>
        <w:rPr>
          <w:rFonts w:ascii="Calibri" w:hAnsi="Calibri"/>
          <w:szCs w:val="24"/>
        </w:rPr>
        <w:t xml:space="preserve"> uchwała </w:t>
      </w:r>
      <w:r>
        <w:rPr>
          <w:rFonts w:ascii="Calibri" w:hAnsi="Calibri"/>
          <w:szCs w:val="24"/>
        </w:rPr>
        <w:br/>
        <w:t>w sprawie nadania numeru drodze lub wniosek o nadanie numeru, uchwała w sprawie ustalenia przebiegu drogi, wykaz dróg</w:t>
      </w:r>
      <w:r w:rsidRPr="002A22F9">
        <w:rPr>
          <w:rFonts w:ascii="Calibri" w:hAnsi="Calibri"/>
          <w:szCs w:val="24"/>
        </w:rPr>
        <w:t xml:space="preserve"> itp.</w:t>
      </w:r>
    </w:p>
    <w:p w14:paraId="7C1DA24C" w14:textId="609EEFF9" w:rsidR="00F96BF2" w:rsidRDefault="00F96BF2" w:rsidP="00F96BF2">
      <w:pPr>
        <w:spacing w:before="120" w:line="276" w:lineRule="auto"/>
        <w:ind w:firstLine="709"/>
        <w:rPr>
          <w:rFonts w:ascii="Calibri" w:hAnsi="Calibri"/>
          <w:szCs w:val="24"/>
        </w:rPr>
      </w:pPr>
      <w:r>
        <w:rPr>
          <w:rFonts w:ascii="Calibri" w:hAnsi="Calibri"/>
          <w:szCs w:val="24"/>
        </w:rPr>
        <w:t xml:space="preserve">W przypadku </w:t>
      </w:r>
      <w:r>
        <w:rPr>
          <w:rFonts w:ascii="Calibri" w:hAnsi="Calibri"/>
          <w:b/>
          <w:szCs w:val="24"/>
        </w:rPr>
        <w:t xml:space="preserve">działania 5.2 </w:t>
      </w:r>
      <w:r>
        <w:rPr>
          <w:rFonts w:ascii="Calibri" w:hAnsi="Calibri"/>
          <w:b/>
          <w:i/>
          <w:szCs w:val="24"/>
        </w:rPr>
        <w:t>Poprawa gospodarowania odpadami komunalnymi</w:t>
      </w:r>
      <w:r>
        <w:rPr>
          <w:rFonts w:ascii="Calibri" w:hAnsi="Calibri"/>
          <w:szCs w:val="24"/>
        </w:rPr>
        <w:t xml:space="preserve"> </w:t>
      </w:r>
      <w:r>
        <w:rPr>
          <w:rFonts w:ascii="Calibri" w:hAnsi="Calibri"/>
          <w:szCs w:val="24"/>
          <w:u w:val="single"/>
        </w:rPr>
        <w:t>obowiązkowe jest załączenie do wniosku o dofinansowanie</w:t>
      </w:r>
      <w:r>
        <w:rPr>
          <w:rFonts w:ascii="Calibri" w:hAnsi="Calibri"/>
          <w:szCs w:val="24"/>
        </w:rPr>
        <w:t xml:space="preserve"> dokumentów określonych </w:t>
      </w:r>
      <w:r>
        <w:rPr>
          <w:rFonts w:ascii="Calibri" w:hAnsi="Calibri"/>
          <w:szCs w:val="24"/>
        </w:rPr>
        <w:br/>
        <w:t xml:space="preserve">w </w:t>
      </w:r>
      <w:r>
        <w:rPr>
          <w:rFonts w:ascii="Calibri" w:hAnsi="Calibri"/>
          <w:i/>
          <w:szCs w:val="24"/>
        </w:rPr>
        <w:t xml:space="preserve">Wytycznych Ministra Infrastruktury i Rozwoju w zakresie reguł dofinansowania </w:t>
      </w:r>
      <w:r>
        <w:rPr>
          <w:rFonts w:ascii="Calibri" w:hAnsi="Calibri"/>
          <w:i/>
          <w:szCs w:val="24"/>
        </w:rPr>
        <w:br/>
        <w:t xml:space="preserve">z programów operacyjnych podmiotów realizujących obowiązek świadczenia usług </w:t>
      </w:r>
      <w:r>
        <w:rPr>
          <w:rFonts w:ascii="Calibri" w:hAnsi="Calibri"/>
          <w:i/>
          <w:szCs w:val="24"/>
        </w:rPr>
        <w:br/>
        <w:t xml:space="preserve">w ogólnym interesie gospodarczym w ramach zadań własnych samorządu gminy </w:t>
      </w:r>
      <w:r>
        <w:rPr>
          <w:rFonts w:ascii="Calibri" w:hAnsi="Calibri"/>
          <w:i/>
          <w:szCs w:val="24"/>
        </w:rPr>
        <w:br/>
        <w:t>w gospodarce odpadami komunalnymi</w:t>
      </w:r>
      <w:r>
        <w:rPr>
          <w:rFonts w:ascii="Calibri" w:hAnsi="Calibri"/>
          <w:szCs w:val="24"/>
        </w:rPr>
        <w:t xml:space="preserve"> (zwanych dalej </w:t>
      </w:r>
      <w:r>
        <w:rPr>
          <w:rFonts w:ascii="Calibri" w:hAnsi="Calibri"/>
          <w:i/>
          <w:szCs w:val="24"/>
        </w:rPr>
        <w:t>Wytycznymi</w:t>
      </w:r>
      <w:r>
        <w:rPr>
          <w:rFonts w:ascii="Calibri" w:hAnsi="Calibri"/>
          <w:szCs w:val="24"/>
        </w:rPr>
        <w:t>) tj.</w:t>
      </w:r>
    </w:p>
    <w:p w14:paraId="17E8253D"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wykonywać usługi w ogólnym interesie gospodarczym działając </w:t>
      </w:r>
      <w:r>
        <w:rPr>
          <w:rFonts w:ascii="Calibri" w:hAnsi="Calibri"/>
          <w:szCs w:val="24"/>
        </w:rPr>
        <w:br/>
        <w:t xml:space="preserve">w formie samorządowego zakładu budżetowego lub jednostki budżetowej, do wniosku o dofinansowanie gmina powinna dołączyć umowę o świadczenie usług </w:t>
      </w:r>
      <w:r>
        <w:rPr>
          <w:rFonts w:ascii="Calibri" w:hAnsi="Calibri"/>
          <w:szCs w:val="24"/>
        </w:rPr>
        <w:br/>
        <w:t xml:space="preserve">w ogólnym interesie gospodarczym (w tym akt na podstawie którego dany samorządowy zakład budżetowy został utworzony oraz odpowiedni akt prawa wewnętrznego określający zakres obowiązku świadczenia usługi w ogólnym interesie gospodarczym) oraz model finansowy wykazujący, iż w wyniku otrzymania przez samorządowy zakład budżetowy lub jednostkę budżetową środków z danego programu operacyjnego rekompensata nie przekroczy dopuszczalnej kwoty rekompensaty zgodnie z rozdziałem 8 </w:t>
      </w:r>
      <w:r>
        <w:rPr>
          <w:rFonts w:ascii="Calibri" w:hAnsi="Calibri"/>
          <w:i/>
          <w:szCs w:val="24"/>
        </w:rPr>
        <w:t>Wytycznych</w:t>
      </w:r>
      <w:r>
        <w:rPr>
          <w:rFonts w:ascii="Calibri" w:hAnsi="Calibri"/>
          <w:szCs w:val="24"/>
        </w:rPr>
        <w:t xml:space="preserve">. </w:t>
      </w:r>
    </w:p>
    <w:p w14:paraId="3FE950BA"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lastRenderedPageBreak/>
        <w:t xml:space="preserve">W przypadku, jeżeli podmiotem ubiegającym się o dofinansowanie jest gmina, która zamierza wykonywać usługi w ogólnym interesie gospodarczym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utworzeniu spółki, umowę spółki, umowę wykonawczą oraz regulamin) oraz model finansowy wykazujący, iż w wyniku otrzymania przez spółkę komunalną środków z danego programu operacyjnego rekompensata nie przekroczy dopuszczalnej kwoty rekompensaty zgodnie </w:t>
      </w:r>
      <w:r>
        <w:rPr>
          <w:rFonts w:ascii="Calibri" w:hAnsi="Calibri"/>
          <w:szCs w:val="24"/>
        </w:rPr>
        <w:br/>
        <w:t xml:space="preserve">z rozdziałem 8 </w:t>
      </w:r>
      <w:r>
        <w:rPr>
          <w:rFonts w:ascii="Calibri" w:hAnsi="Calibri"/>
          <w:i/>
          <w:szCs w:val="24"/>
        </w:rPr>
        <w:t>Wytycznych</w:t>
      </w:r>
      <w:r>
        <w:rPr>
          <w:rFonts w:ascii="Calibri" w:hAnsi="Calibri"/>
          <w:szCs w:val="24"/>
        </w:rPr>
        <w:t xml:space="preserve">. Umowa o świadczenie usług w ogólnym interesie gospodarczym powinna również określać: </w:t>
      </w:r>
    </w:p>
    <w:p w14:paraId="74CAD8EB" w14:textId="77777777" w:rsidR="00F96BF2" w:rsidRDefault="00F96BF2" w:rsidP="00F96BF2">
      <w:pPr>
        <w:spacing w:before="120" w:line="276" w:lineRule="auto"/>
        <w:ind w:left="1134" w:hanging="425"/>
        <w:rPr>
          <w:rFonts w:ascii="Calibri" w:hAnsi="Calibri"/>
          <w:szCs w:val="24"/>
        </w:rPr>
      </w:pPr>
      <w:r>
        <w:rPr>
          <w:rFonts w:ascii="Calibri" w:hAnsi="Calibri"/>
          <w:szCs w:val="24"/>
        </w:rPr>
        <w:t xml:space="preserve">a)   zasady przekazania spółce komunalnej infrastruktury zrealizowanej w ramach projektu – jeżeli o jego dofinansowanie wystąpiła gmina (chyba że przekazanie nastąpiło na podstawie innej umowy, która została załączona do umowy o świadczenie usług w ogólnym interesie gospodarczym), albo </w:t>
      </w:r>
    </w:p>
    <w:p w14:paraId="24F0980C" w14:textId="77777777" w:rsidR="00F96BF2" w:rsidRDefault="00F96BF2" w:rsidP="00F96BF2">
      <w:pPr>
        <w:spacing w:before="120" w:line="276" w:lineRule="auto"/>
        <w:ind w:left="1134" w:hanging="425"/>
        <w:rPr>
          <w:rFonts w:ascii="Calibri" w:hAnsi="Calibri"/>
          <w:szCs w:val="24"/>
        </w:rPr>
      </w:pPr>
      <w:r>
        <w:rPr>
          <w:rFonts w:ascii="Calibri" w:hAnsi="Calibri"/>
          <w:szCs w:val="24"/>
        </w:rPr>
        <w:t xml:space="preserve">b)  zasady ubiegania się przez spółkę o dofinansowanie realizacji projektu – jeżeli to spółka występuje o dofinansowanie. </w:t>
      </w:r>
    </w:p>
    <w:p w14:paraId="3D05D4C2"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o dofinansowanie wystąpiła gmina, a umowa o świadczenie usług w ogólnym interesie gospodarczym nie została jeszcze zawarta, do wniosku o dofinansowanie należy załączyć dokument odzwierciedlający podstawowe założenia umowy </w:t>
      </w:r>
      <w:r>
        <w:rPr>
          <w:rFonts w:ascii="Calibri" w:hAnsi="Calibri"/>
          <w:szCs w:val="24"/>
        </w:rPr>
        <w:br/>
        <w:t xml:space="preserve">o świadczenie usług w ogólnym interesie gospodarczym oraz harmonogram działań związanych z jej zawarciem. Po zawarciu umowy należy do złożonego wniosku dołączyć jej egzemplarz. </w:t>
      </w:r>
    </w:p>
    <w:p w14:paraId="23BFEC7F"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o dofinansowanie wystąpiła gmina, przekazanie spółce dofinansowania albo majątku wytworzonego z udziałem dofinansowania nie może nastąpić przed zawarciem umowy o świadczenie usług w ogólnym interesie gospodarczym. Jeżeli o dofinansowanie wystąpiła spółka przyznanie spółce dofinansowania, rozumiane jako zawarcie umowy o dofinansowanie projektu ze środków funduszy UE, nie może nastąpić przed zawarciem umowy o świadczenie usług w ogólnym interesie gospodarczym. </w:t>
      </w:r>
    </w:p>
    <w:p w14:paraId="14E08BB2"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        Jeżeli przekazanie spółce komunalnej ww. aktywów przez gminę ma nastąpić na podstawie innej czynności prawnej niż umowa o świadczenie usług w ogólnym interesie gospodarczym, należy dołączyć dokument potwierdzający dokonanie tej czynności (czynność ta może być warunkowa). </w:t>
      </w:r>
    </w:p>
    <w:p w14:paraId="055BF10D" w14:textId="77777777" w:rsidR="00F96BF2" w:rsidRDefault="00F96BF2" w:rsidP="00F96BF2">
      <w:pPr>
        <w:numPr>
          <w:ilvl w:val="1"/>
          <w:numId w:val="111"/>
        </w:numPr>
        <w:tabs>
          <w:tab w:val="num" w:pos="851"/>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powierzyć wykonywanie usług w ogólnym interesie gospodarczym przedsiębiorcy, o którym mowa w pkt 53 </w:t>
      </w:r>
      <w:r>
        <w:rPr>
          <w:rFonts w:ascii="Calibri" w:hAnsi="Calibri"/>
          <w:i/>
          <w:szCs w:val="24"/>
        </w:rPr>
        <w:t>Wytycznych</w:t>
      </w:r>
      <w:r>
        <w:rPr>
          <w:rFonts w:ascii="Calibri" w:hAnsi="Calibri"/>
          <w:szCs w:val="24"/>
        </w:rPr>
        <w:t xml:space="preserve">, do wniosku o dofinansowanie należy dołączyć m.in. zawartą z przedsiębiorcą umowę o świadczenie usług w </w:t>
      </w:r>
      <w:r>
        <w:rPr>
          <w:rFonts w:ascii="Calibri" w:hAnsi="Calibri"/>
          <w:szCs w:val="24"/>
        </w:rPr>
        <w:lastRenderedPageBreak/>
        <w:t xml:space="preserve">ogólnym interesie gospodarczym. Umowa taka powinna zawierać m.in. warunki przekazania majątku wytworzonego z udziałem dofinansowania z programu operacyjnego. </w:t>
      </w:r>
    </w:p>
    <w:p w14:paraId="333B3AD8" w14:textId="77777777" w:rsidR="00F96BF2" w:rsidRDefault="00F96BF2" w:rsidP="00F96BF2">
      <w:pPr>
        <w:numPr>
          <w:ilvl w:val="1"/>
          <w:numId w:val="111"/>
        </w:numPr>
        <w:tabs>
          <w:tab w:val="num" w:pos="709"/>
        </w:tabs>
        <w:spacing w:before="120" w:line="276" w:lineRule="auto"/>
        <w:ind w:left="709" w:hanging="425"/>
        <w:rPr>
          <w:rFonts w:ascii="Calibri" w:hAnsi="Calibri"/>
          <w:szCs w:val="24"/>
        </w:rPr>
      </w:pPr>
      <w:r>
        <w:rPr>
          <w:rFonts w:ascii="Calibri" w:hAnsi="Calibri"/>
          <w:szCs w:val="24"/>
        </w:rPr>
        <w:t xml:space="preserve">W przypadku, gdy umowa o świadczenie usług w ogólnym interesie gospodarczym nie została jeszcze zawarta, do wniosku o dofinansowanie należy dołączyć: </w:t>
      </w:r>
    </w:p>
    <w:p w14:paraId="024D3003" w14:textId="77777777" w:rsidR="00F96BF2" w:rsidRDefault="00F96BF2" w:rsidP="00F96BF2">
      <w:pPr>
        <w:spacing w:before="120" w:line="276" w:lineRule="auto"/>
        <w:ind w:left="709" w:hanging="425"/>
        <w:rPr>
          <w:rFonts w:ascii="Calibri" w:hAnsi="Calibri"/>
          <w:szCs w:val="24"/>
        </w:rPr>
      </w:pPr>
      <w:r>
        <w:rPr>
          <w:rFonts w:ascii="Calibri" w:hAnsi="Calibri"/>
          <w:szCs w:val="24"/>
        </w:rPr>
        <w:t xml:space="preserve">a)   dokument odzwierciedlający podstawowe założenia umowy zgodne ze specyfikacją istotnych warunków zamówienia – gdy dokonano już we właściwym trybie wyboru operatora, albo </w:t>
      </w:r>
    </w:p>
    <w:p w14:paraId="663797C3" w14:textId="77777777" w:rsidR="00F96BF2" w:rsidRDefault="00F96BF2" w:rsidP="00F96BF2">
      <w:pPr>
        <w:spacing w:before="120" w:line="276" w:lineRule="auto"/>
        <w:ind w:left="709" w:hanging="425"/>
        <w:rPr>
          <w:rFonts w:ascii="Calibri" w:hAnsi="Calibri"/>
          <w:szCs w:val="24"/>
        </w:rPr>
      </w:pPr>
      <w:r>
        <w:rPr>
          <w:rFonts w:ascii="Calibri" w:hAnsi="Calibri"/>
          <w:szCs w:val="24"/>
        </w:rPr>
        <w:t>b) harmonogram działań związanych z procedurą wyboru operatora oraz dokument odzwierciedlający podstawowe założenia planowanej umowy – gdy gmina nie dokonała jeszcze wyboru operatora we właściwym trybie.</w:t>
      </w:r>
    </w:p>
    <w:p w14:paraId="7DC60847" w14:textId="77777777" w:rsidR="00F96BF2" w:rsidRDefault="00F96BF2" w:rsidP="00F96BF2">
      <w:pPr>
        <w:spacing w:before="120" w:line="276" w:lineRule="auto"/>
        <w:ind w:firstLine="709"/>
        <w:rPr>
          <w:rFonts w:ascii="Calibri" w:hAnsi="Calibri"/>
          <w:szCs w:val="24"/>
        </w:rPr>
      </w:pPr>
      <w:r>
        <w:rPr>
          <w:rFonts w:ascii="Calibri" w:hAnsi="Calibri"/>
          <w:szCs w:val="24"/>
        </w:rPr>
        <w:t xml:space="preserve">Ponadto jeżeli podmiotem ubiegającym się o dofinansowanie jest podmiot, który zawarł umowę o świadczenie usług w ogólnym interesie gospodarczym przed ogłoszeniem </w:t>
      </w:r>
      <w:r>
        <w:rPr>
          <w:rFonts w:ascii="Calibri" w:hAnsi="Calibri"/>
          <w:i/>
          <w:szCs w:val="24"/>
        </w:rPr>
        <w:t>Wytycznych</w:t>
      </w:r>
      <w:r>
        <w:rPr>
          <w:rFonts w:ascii="Calibri" w:hAnsi="Calibri"/>
          <w:szCs w:val="24"/>
        </w:rPr>
        <w:t xml:space="preserve">, nie spełniającą warunków określonych w </w:t>
      </w:r>
      <w:r>
        <w:rPr>
          <w:rFonts w:ascii="Calibri" w:hAnsi="Calibri"/>
          <w:i/>
          <w:szCs w:val="24"/>
        </w:rPr>
        <w:t>Wytycznych</w:t>
      </w:r>
      <w:r>
        <w:rPr>
          <w:rFonts w:ascii="Calibri" w:hAnsi="Calibri"/>
          <w:szCs w:val="24"/>
        </w:rPr>
        <w:t xml:space="preserve">, do wniosku o dofinansowanie należy dołączyć umowę zmienioną w drodze aneksu, uwzględniającą reguły dotyczące świadczenia usług w ogólnym interesie gospodarczym, zgodne z </w:t>
      </w:r>
      <w:r>
        <w:rPr>
          <w:rFonts w:ascii="Calibri" w:hAnsi="Calibri"/>
          <w:i/>
          <w:szCs w:val="24"/>
        </w:rPr>
        <w:t>Wytycznymi</w:t>
      </w:r>
      <w:r>
        <w:rPr>
          <w:rFonts w:ascii="Calibri" w:hAnsi="Calibri"/>
          <w:szCs w:val="24"/>
        </w:rPr>
        <w:t xml:space="preserve">, </w:t>
      </w:r>
      <w:r>
        <w:rPr>
          <w:rFonts w:ascii="Calibri" w:hAnsi="Calibri"/>
          <w:szCs w:val="24"/>
        </w:rPr>
        <w:br/>
        <w:t>w tym dotyczące wyliczenia rekompensaty w przypadku uzyskania środków z odpowiedniego programu operacyjnego.</w:t>
      </w:r>
    </w:p>
    <w:p w14:paraId="313886FA" w14:textId="77777777" w:rsidR="00F96BF2" w:rsidRDefault="00F96BF2" w:rsidP="00F96BF2">
      <w:pPr>
        <w:suppressAutoHyphens w:val="0"/>
        <w:spacing w:before="120" w:line="276" w:lineRule="auto"/>
        <w:ind w:firstLine="709"/>
        <w:rPr>
          <w:rFonts w:ascii="Calibri" w:hAnsi="Calibri"/>
          <w:szCs w:val="24"/>
        </w:rPr>
      </w:pPr>
      <w:r>
        <w:rPr>
          <w:rFonts w:ascii="Calibri" w:hAnsi="Calibri"/>
          <w:szCs w:val="24"/>
        </w:rPr>
        <w:t xml:space="preserve">Dodatkowo w przypadku, gdy o dofinansowanie ubiega się spółka komunalna lub podmiot zewnętrzny powinny one dołączyć do wniosku o dofinansowanie dokument potwierdzający, że ustaliły z właściwą gminą, że część należnej im rekompensaty zostanie sfinansowana bezpośrednio ze środków programów operacyjnych, a nie ze środków tej gminy (wraz ze wskazaniem części rekompensaty finansowanych z poszczególnych źródeł), </w:t>
      </w:r>
      <w:r>
        <w:rPr>
          <w:rFonts w:ascii="Calibri" w:hAnsi="Calibri"/>
          <w:szCs w:val="24"/>
        </w:rPr>
        <w:br/>
        <w:t>z czym będzie wiązać się w szczególności konieczność zmiany oznaczenia źródła pochodzenia pomocy w sprawozdaniach o udzielonej pomocy publicznej sporządzanych i przedstawianych Prezesowi UOKiK przez gminę.</w:t>
      </w:r>
    </w:p>
    <w:p w14:paraId="2F177008" w14:textId="77777777" w:rsidR="00C614B7" w:rsidRDefault="00C614B7" w:rsidP="00C614B7">
      <w:pPr>
        <w:spacing w:before="120" w:after="120" w:line="276" w:lineRule="auto"/>
        <w:ind w:firstLine="709"/>
        <w:rPr>
          <w:rFonts w:ascii="Calibri" w:hAnsi="Calibri" w:cs="MyriadPro-Regular"/>
          <w:szCs w:val="24"/>
          <w:highlight w:val="yellow"/>
        </w:rPr>
      </w:pPr>
      <w:r>
        <w:rPr>
          <w:rFonts w:ascii="Calibri" w:hAnsi="Calibri"/>
          <w:szCs w:val="24"/>
        </w:rPr>
        <w:t xml:space="preserve">W przypadku gdy </w:t>
      </w:r>
      <w:r>
        <w:rPr>
          <w:rFonts w:ascii="Calibri" w:hAnsi="Calibri"/>
          <w:szCs w:val="24"/>
          <w:u w:val="single"/>
        </w:rPr>
        <w:t>wnioskodawca uzna podatek VAT jako kwalifikowalny</w:t>
      </w:r>
      <w:r>
        <w:rPr>
          <w:rFonts w:ascii="Calibri" w:hAnsi="Calibri" w:cs="MyriadPro-Regular"/>
          <w:szCs w:val="24"/>
        </w:rPr>
        <w:t xml:space="preserve">, zobowiązany jest do załączenia do wniosku </w:t>
      </w:r>
      <w:r>
        <w:rPr>
          <w:rFonts w:ascii="Calibri" w:hAnsi="Calibri" w:cs="MyriadPro-Regular"/>
          <w:szCs w:val="24"/>
          <w:u w:val="single"/>
        </w:rPr>
        <w:t>interpretacji przepisów prawa podatkowego, wydanej przez właściwy organ</w:t>
      </w:r>
      <w:r>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Pr>
          <w:rFonts w:ascii="Calibri" w:hAnsi="Calibri" w:cs="MyriadPro-Regular"/>
          <w:szCs w:val="24"/>
        </w:rPr>
        <w:br/>
        <w:t xml:space="preserve">o wyborze projektów do dofinansowania). </w:t>
      </w:r>
      <w:r>
        <w:rPr>
          <w:rFonts w:ascii="Calibri" w:hAnsi="Calibri"/>
          <w:szCs w:val="24"/>
        </w:rPr>
        <w:t>W uzasadnionych przypadkach na prośbę Wnioskodawcy ZWO może wyrazić zgodę na wydłużenie ww. terminu.</w:t>
      </w:r>
    </w:p>
    <w:p w14:paraId="2EBDE32B" w14:textId="100BF3BA" w:rsidR="00B2113C" w:rsidRDefault="00B2113C" w:rsidP="00C614B7">
      <w:pPr>
        <w:spacing w:after="120" w:line="276" w:lineRule="auto"/>
        <w:ind w:firstLine="709"/>
        <w:rPr>
          <w:rFonts w:ascii="Calibri" w:hAnsi="Calibri"/>
          <w:szCs w:val="24"/>
        </w:rPr>
      </w:pPr>
      <w:r w:rsidRPr="00BA3874">
        <w:rPr>
          <w:rFonts w:ascii="Calibri" w:hAnsi="Calibri"/>
          <w:b/>
          <w:szCs w:val="24"/>
          <w:u w:val="single"/>
        </w:rPr>
        <w:lastRenderedPageBreak/>
        <w:t>Ponadto każdy wnioskodawca,</w:t>
      </w:r>
      <w:r w:rsidRPr="00BA3874">
        <w:rPr>
          <w:rFonts w:ascii="Calibri" w:hAnsi="Calibri"/>
          <w:szCs w:val="24"/>
        </w:rPr>
        <w:t xml:space="preserve"> w przypadku, gdy złożony przez niego projekt zostanie wybrany do dofinansowania zobowiązany jest przed podpisaniem </w:t>
      </w:r>
      <w:r>
        <w:rPr>
          <w:rFonts w:ascii="Calibri" w:hAnsi="Calibri"/>
          <w:szCs w:val="24"/>
        </w:rPr>
        <w:t>decyzji</w:t>
      </w:r>
      <w:r w:rsidRPr="00BA3874">
        <w:rPr>
          <w:rFonts w:ascii="Calibri" w:hAnsi="Calibri"/>
          <w:szCs w:val="24"/>
        </w:rPr>
        <w:t xml:space="preserve"> </w:t>
      </w:r>
      <w:r w:rsidRPr="006A7583">
        <w:rPr>
          <w:rFonts w:ascii="Calibri" w:hAnsi="Calibri"/>
          <w:szCs w:val="24"/>
        </w:rPr>
        <w:br/>
      </w:r>
      <w:r w:rsidRPr="00BA3874">
        <w:rPr>
          <w:rFonts w:ascii="Calibri" w:hAnsi="Calibri"/>
          <w:szCs w:val="24"/>
        </w:rPr>
        <w:t>o dofinansowani</w:t>
      </w:r>
      <w:r>
        <w:rPr>
          <w:rFonts w:ascii="Calibri" w:hAnsi="Calibri"/>
          <w:szCs w:val="24"/>
        </w:rPr>
        <w:t>u</w:t>
      </w:r>
      <w:r w:rsidRPr="00BA3874">
        <w:rPr>
          <w:rFonts w:ascii="Calibri" w:hAnsi="Calibri"/>
          <w:szCs w:val="24"/>
        </w:rPr>
        <w:t xml:space="preserve"> dostarczyć w terminie do 45 dni kalendarzowych licząc od dnia następnego od decyzji ZWO o wyborze projektu do dofinansowania </w:t>
      </w:r>
      <w:r w:rsidRPr="00BA3874">
        <w:rPr>
          <w:rFonts w:ascii="Calibri" w:hAnsi="Calibri"/>
          <w:szCs w:val="24"/>
          <w:u w:val="single"/>
        </w:rPr>
        <w:t xml:space="preserve">zaświadczenie </w:t>
      </w:r>
      <w:r w:rsidRPr="006A7583">
        <w:rPr>
          <w:rFonts w:ascii="Calibri" w:hAnsi="Calibri"/>
          <w:szCs w:val="24"/>
          <w:u w:val="single"/>
        </w:rPr>
        <w:br/>
      </w:r>
      <w:r w:rsidRPr="00BA3874">
        <w:rPr>
          <w:rFonts w:ascii="Calibri" w:hAnsi="Calibri"/>
          <w:szCs w:val="24"/>
          <w:u w:val="single"/>
        </w:rPr>
        <w:t>o wywiązywaniu się z opłat za korzystanie ze środowiska</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 xml:space="preserve">Jeżeli wnioskodawca zamiast ww. zaświadczenia dostarczy do </w:t>
      </w:r>
      <w:r>
        <w:rPr>
          <w:rFonts w:ascii="Calibri" w:hAnsi="Calibri"/>
          <w:szCs w:val="24"/>
        </w:rPr>
        <w:t>IZ  RPO WO 2014-2020</w:t>
      </w:r>
      <w:r w:rsidRPr="00BA3874">
        <w:rPr>
          <w:rFonts w:ascii="Calibri" w:hAnsi="Calibri"/>
          <w:szCs w:val="24"/>
        </w:rPr>
        <w:t xml:space="preserve"> postanowienie o odmowie wydania niniejszego zaświadczenia zobowiązany jest do stosownego wyjaśnienia przyczyny niefigurowania wnioskodawcy w bazie ewidencji za korzystanie ze środowiska poprzez złożenie stosownego w tym zakresie oświadczenia.</w:t>
      </w:r>
      <w:r w:rsidRPr="006A7583">
        <w:rPr>
          <w:rFonts w:ascii="Calibri" w:hAnsi="Calibri"/>
          <w:szCs w:val="24"/>
        </w:rPr>
        <w:t xml:space="preserve"> </w:t>
      </w:r>
    </w:p>
    <w:p w14:paraId="45C0BEB7" w14:textId="5068E6EF" w:rsidR="00B2113C" w:rsidRPr="002A22F9" w:rsidRDefault="00B2113C" w:rsidP="00B2113C">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Pr>
          <w:rFonts w:ascii="Calibri" w:hAnsi="Calibri"/>
          <w:szCs w:val="24"/>
        </w:rPr>
        <w:t>t wypełnienie załącznika nr 13.1</w:t>
      </w:r>
      <w:r w:rsidRPr="006A7583">
        <w:rPr>
          <w:rFonts w:ascii="Calibri" w:hAnsi="Calibri"/>
          <w:szCs w:val="24"/>
        </w:rPr>
        <w:t>, którego wzór został zamieszczony w załączniku nr 4 do</w:t>
      </w:r>
      <w:r>
        <w:rPr>
          <w:rFonts w:ascii="Calibri" w:hAnsi="Calibri"/>
          <w:szCs w:val="24"/>
        </w:rPr>
        <w:t xml:space="preserve"> </w:t>
      </w:r>
      <w:r w:rsidR="00EF6D46">
        <w:rPr>
          <w:rFonts w:ascii="Calibri" w:hAnsi="Calibri"/>
          <w:szCs w:val="24"/>
        </w:rPr>
        <w:t>Regulaminu konkursu</w:t>
      </w:r>
      <w:r w:rsidRPr="006A7583">
        <w:rPr>
          <w:rFonts w:ascii="Calibri" w:hAnsi="Calibri"/>
          <w:szCs w:val="24"/>
        </w:rPr>
        <w:t xml:space="preserve">. Dane te są niezbędne do zweryfikowania przez </w:t>
      </w:r>
      <w:r>
        <w:rPr>
          <w:rFonts w:ascii="Calibri" w:hAnsi="Calibri"/>
          <w:szCs w:val="24"/>
        </w:rPr>
        <w:t>IZ RPO WO 2014-2020</w:t>
      </w:r>
      <w:r w:rsidRPr="006A7583">
        <w:rPr>
          <w:rFonts w:ascii="Calibri" w:hAnsi="Calibri"/>
          <w:szCs w:val="24"/>
        </w:rPr>
        <w:t xml:space="preserve">, sposobu wywiązywania się podmiotu z opłat za korzystanie ze środowiska. </w:t>
      </w:r>
    </w:p>
    <w:p w14:paraId="0E614102" w14:textId="77777777" w:rsidR="00B2113C" w:rsidRPr="00AD1CCA" w:rsidRDefault="00B2113C" w:rsidP="00B2113C">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D7568" w14:textId="77777777" w:rsidR="001939EE" w:rsidRDefault="001939EE">
      <w:r>
        <w:separator/>
      </w:r>
    </w:p>
  </w:endnote>
  <w:endnote w:type="continuationSeparator" w:id="0">
    <w:p w14:paraId="5DC11DE9" w14:textId="77777777" w:rsidR="001939EE" w:rsidRDefault="001939EE">
      <w:r>
        <w:continuationSeparator/>
      </w:r>
    </w:p>
  </w:endnote>
  <w:endnote w:type="continuationNotice" w:id="1">
    <w:p w14:paraId="681E173D" w14:textId="77777777" w:rsidR="001939EE" w:rsidRDefault="00193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8F7997" w:rsidRDefault="008F7997"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8F7997" w:rsidRDefault="008F7997"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8F7997" w:rsidRPr="0061182C" w:rsidRDefault="008F7997"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784297">
      <w:rPr>
        <w:rFonts w:ascii="Calibri" w:hAnsi="Calibri"/>
        <w:noProof/>
        <w:sz w:val="22"/>
        <w:szCs w:val="22"/>
      </w:rPr>
      <w:t>6</w:t>
    </w:r>
    <w:r w:rsidRPr="0061182C">
      <w:rPr>
        <w:rFonts w:ascii="Calibri" w:hAnsi="Calibri"/>
        <w:sz w:val="22"/>
        <w:szCs w:val="22"/>
      </w:rPr>
      <w:fldChar w:fldCharType="end"/>
    </w:r>
  </w:p>
  <w:p w14:paraId="3CCACDDB" w14:textId="77777777" w:rsidR="008F7997" w:rsidRDefault="008F7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6152" w14:textId="77777777" w:rsidR="001939EE" w:rsidRDefault="001939EE">
      <w:r>
        <w:separator/>
      </w:r>
    </w:p>
  </w:footnote>
  <w:footnote w:type="continuationSeparator" w:id="0">
    <w:p w14:paraId="26EDD959" w14:textId="77777777" w:rsidR="001939EE" w:rsidRDefault="001939EE">
      <w:r>
        <w:continuationSeparator/>
      </w:r>
    </w:p>
  </w:footnote>
  <w:footnote w:type="continuationNotice" w:id="1">
    <w:p w14:paraId="6501F94E" w14:textId="77777777" w:rsidR="001939EE" w:rsidRDefault="001939EE"/>
  </w:footnote>
  <w:footnote w:id="2">
    <w:p w14:paraId="7C007D00" w14:textId="3A959E20" w:rsidR="008F7997" w:rsidRPr="00257C1B" w:rsidRDefault="008F7997"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5E8EBE2B" w:rsidR="008F7997" w:rsidRPr="00257C1B" w:rsidRDefault="008F7997"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8F7997" w:rsidRPr="00762FA1" w:rsidRDefault="008F7997" w:rsidP="005F310B">
      <w:pPr>
        <w:pStyle w:val="Tekstprzypisudolnego"/>
        <w:spacing w:after="120"/>
        <w:rPr>
          <w:rFonts w:ascii="Arial" w:hAnsi="Arial" w:cs="Arial"/>
          <w:sz w:val="18"/>
          <w:szCs w:val="18"/>
        </w:rPr>
      </w:pPr>
    </w:p>
  </w:footnote>
  <w:footnote w:id="4">
    <w:p w14:paraId="029DCF67" w14:textId="77777777" w:rsidR="008F7997" w:rsidRPr="00257C1B" w:rsidRDefault="008F7997"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8F7997" w:rsidRPr="00257C1B" w:rsidRDefault="008F7997"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8F7997" w:rsidRDefault="008F799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0A7C8C15" w14:textId="18C818A7" w:rsidR="008F7997" w:rsidRPr="00257C1B" w:rsidRDefault="008F7997"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8">
    <w:p w14:paraId="6716BF25" w14:textId="05C138B8" w:rsidR="008F7997" w:rsidRPr="00AD1CCA" w:rsidRDefault="008F7997"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9">
    <w:p w14:paraId="6EAFCD26" w14:textId="673F750B" w:rsidR="008F7997" w:rsidRPr="00AD1CCA" w:rsidRDefault="008F7997" w:rsidP="005F310B">
      <w:pPr>
        <w:pStyle w:val="Tekstprzypisudolnego"/>
        <w:rPr>
          <w:rFonts w:ascii="Calibri" w:hAnsi="Calibri" w:cs="Arial"/>
          <w:sz w:val="16"/>
          <w:szCs w:val="16"/>
        </w:rPr>
      </w:pPr>
      <w:r w:rsidRPr="00257C1B">
        <w:rPr>
          <w:rFonts w:ascii="Calibri" w:hAnsi="Calibri" w:cs="Arial"/>
          <w:szCs w:val="16"/>
          <w:vertAlign w:val="superscript"/>
        </w:rPr>
        <w:t>9</w:t>
      </w:r>
      <w:r>
        <w:rPr>
          <w:rFonts w:ascii="Calibri" w:hAnsi="Calibri" w:cs="Arial"/>
          <w:szCs w:val="16"/>
          <w:vertAlign w:val="superscript"/>
        </w:rPr>
        <w:t xml:space="preserve"> </w:t>
      </w:r>
      <w:r w:rsidRPr="00257C1B">
        <w:rPr>
          <w:rFonts w:ascii="Calibri" w:hAnsi="Calibri" w:cs="Arial"/>
          <w:szCs w:val="16"/>
        </w:rPr>
        <w:t xml:space="preserve">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0">
    <w:p w14:paraId="1DCFA20F" w14:textId="7DB39E7A" w:rsidR="008F7997" w:rsidRPr="00257C1B" w:rsidRDefault="008F7997"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8F7997" w:rsidRPr="00257C1B" w:rsidRDefault="008F7997" w:rsidP="005F310B">
      <w:pPr>
        <w:pStyle w:val="Tekstprzypisudolnego"/>
        <w:rPr>
          <w:rFonts w:ascii="Calibri" w:hAnsi="Calibri" w:cs="Arial"/>
          <w:sz w:val="20"/>
          <w:szCs w:val="16"/>
        </w:rPr>
      </w:pPr>
    </w:p>
  </w:footnote>
  <w:footnote w:id="11">
    <w:p w14:paraId="0205B8B1" w14:textId="087A1AC4" w:rsidR="008F7997" w:rsidRPr="00257C1B" w:rsidRDefault="008F7997"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8F7997" w:rsidRPr="00257C1B" w:rsidRDefault="008F7997" w:rsidP="0081044D">
      <w:pPr>
        <w:pStyle w:val="Tekstprzypisudolnego"/>
        <w:rPr>
          <w:rFonts w:ascii="Calibri" w:hAnsi="Calibri"/>
          <w:szCs w:val="16"/>
        </w:rPr>
      </w:pPr>
    </w:p>
  </w:footnote>
  <w:footnote w:id="12">
    <w:p w14:paraId="5F4792B8" w14:textId="6ED3B63D" w:rsidR="008F7997" w:rsidRPr="00257C1B" w:rsidRDefault="008F7997"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3">
    <w:p w14:paraId="57D48EA9" w14:textId="6DF7B99E" w:rsidR="008F7997" w:rsidRPr="00257C1B" w:rsidRDefault="008F7997"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4">
    <w:p w14:paraId="1071BFDD" w14:textId="77777777" w:rsidR="008F7997" w:rsidRPr="00257C1B" w:rsidRDefault="008F7997"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5">
    <w:p w14:paraId="76DA4C49" w14:textId="77777777" w:rsidR="008F7997" w:rsidRPr="00257C1B" w:rsidRDefault="008F7997"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6">
    <w:p w14:paraId="2FAD85E8" w14:textId="77777777" w:rsidR="008F7997" w:rsidRPr="00AC69A5" w:rsidRDefault="008F7997"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7">
    <w:p w14:paraId="2EF6D2A6" w14:textId="56580411" w:rsidR="008F7997" w:rsidRPr="00257C1B" w:rsidRDefault="008F7997" w:rsidP="005F310B">
      <w:pPr>
        <w:pStyle w:val="Tekstprzypisudolnego"/>
        <w:rPr>
          <w:rFonts w:ascii="Calibri" w:hAnsi="Calibri"/>
          <w:szCs w:val="24"/>
        </w:rPr>
      </w:pPr>
      <w:r w:rsidRPr="00065FA3">
        <w:rPr>
          <w:rFonts w:asciiTheme="minorHAnsi" w:hAnsiTheme="minorHAnsi" w:cstheme="minorHAnsi"/>
          <w:szCs w:val="24"/>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8">
    <w:p w14:paraId="4DFBFB14" w14:textId="57A1358C" w:rsidR="008F7997" w:rsidRPr="00257C1B" w:rsidRDefault="008F7997" w:rsidP="005F310B">
      <w:pPr>
        <w:pStyle w:val="Tekstprzypisudolnego"/>
        <w:jc w:val="both"/>
        <w:rPr>
          <w:rFonts w:ascii="Calibri" w:hAnsi="Calibri"/>
          <w:szCs w:val="24"/>
        </w:rPr>
      </w:pPr>
      <w:r w:rsidRPr="00065FA3">
        <w:rPr>
          <w:rFonts w:asciiTheme="minorHAnsi" w:hAnsiTheme="minorHAnsi" w:cstheme="minorHAnsi"/>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Dokument dostępn</w:t>
      </w:r>
      <w:r>
        <w:rPr>
          <w:rFonts w:ascii="Calibri" w:hAnsi="Calibri"/>
          <w:szCs w:val="24"/>
        </w:rPr>
        <w:t>y</w:t>
      </w:r>
      <w:r w:rsidRPr="00257C1B">
        <w:rPr>
          <w:rFonts w:ascii="Calibri" w:hAnsi="Calibri"/>
          <w:szCs w:val="24"/>
        </w:rPr>
        <w:t xml:space="preserve"> </w:t>
      </w:r>
      <w:r>
        <w:rPr>
          <w:rFonts w:ascii="Calibri" w:hAnsi="Calibri"/>
          <w:szCs w:val="24"/>
        </w:rPr>
        <w:t>jest</w:t>
      </w:r>
      <w:r w:rsidRPr="00257C1B">
        <w:rPr>
          <w:rFonts w:ascii="Calibri" w:hAnsi="Calibri"/>
          <w:szCs w:val="24"/>
        </w:rPr>
        <w:t xml:space="preserve"> pod adresem:</w:t>
      </w:r>
    </w:p>
    <w:p w14:paraId="51161227" w14:textId="36B2C353" w:rsidR="008F7997" w:rsidRDefault="00784297" w:rsidP="0081044D">
      <w:pPr>
        <w:pStyle w:val="Tekstprzypisudolnego"/>
      </w:pPr>
      <w:hyperlink r:id="rId1" w:history="1">
        <w:r w:rsidR="008F7997"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19">
    <w:p w14:paraId="56C34FC9" w14:textId="77777777"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0">
    <w:p w14:paraId="1DD8C842" w14:textId="48738BC8" w:rsidR="008F7997" w:rsidRDefault="008F799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1">
    <w:p w14:paraId="20875795" w14:textId="77777777" w:rsidR="008F7997" w:rsidRPr="00D00DE2" w:rsidRDefault="008F7997" w:rsidP="005F310B">
      <w:pPr>
        <w:pStyle w:val="Tekstprzypisudolnego"/>
        <w:rPr>
          <w:rFonts w:asciiTheme="minorHAnsi" w:hAnsiTheme="minorHAnsi"/>
          <w:sz w:val="16"/>
          <w:szCs w:val="16"/>
        </w:rPr>
      </w:pPr>
      <w:r w:rsidRPr="00D00DE2">
        <w:rPr>
          <w:rStyle w:val="Odwoanieprzypisudolnego"/>
          <w:rFonts w:asciiTheme="minorHAnsi" w:hAnsiTheme="minorHAnsi"/>
          <w:szCs w:val="16"/>
        </w:rPr>
        <w:footnoteRef/>
      </w:r>
      <w:r w:rsidRPr="00D00DE2">
        <w:rPr>
          <w:rFonts w:asciiTheme="minorHAnsi" w:hAnsiTheme="minorHAnsi"/>
          <w:szCs w:val="16"/>
        </w:rPr>
        <w:t xml:space="preserve"> </w:t>
      </w:r>
      <w:r w:rsidRPr="00D00DE2">
        <w:rPr>
          <w:rFonts w:asciiTheme="minorHAnsi" w:hAnsiTheme="minorHAnsi" w:cs="Arial"/>
          <w:szCs w:val="16"/>
        </w:rPr>
        <w:t>Szczegółowe informacje w zakresie metodyki określania wartości rezydualnej w oparciu o bieżącą wartość netto przepływów projektu zostały zawarte w Załączniku 4.</w:t>
      </w:r>
    </w:p>
  </w:footnote>
  <w:footnote w:id="22">
    <w:p w14:paraId="0337AD2C" w14:textId="77777777" w:rsidR="008F7997" w:rsidRPr="00540AEA" w:rsidRDefault="008F7997"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3">
    <w:p w14:paraId="04FCFA2A" w14:textId="062E0436" w:rsidR="008F7997" w:rsidRPr="00AD1CCA" w:rsidRDefault="008F7997" w:rsidP="008F7997">
      <w:pPr>
        <w:pStyle w:val="Tekstprzypisudolnego"/>
        <w:jc w:val="both"/>
        <w:rPr>
          <w:rFonts w:ascii="Calibri" w:hAnsi="Calibri"/>
          <w:sz w:val="16"/>
          <w:szCs w:val="16"/>
        </w:rPr>
      </w:pPr>
      <w:r w:rsidRPr="00257C1B">
        <w:rPr>
          <w:rStyle w:val="Odwoanieprzypisudolnego"/>
          <w:rFonts w:ascii="Calibri" w:hAnsi="Calibri"/>
          <w:szCs w:val="24"/>
        </w:rPr>
        <w:footnoteRef/>
      </w:r>
      <w:hyperlink r:id="rId2"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4">
    <w:p w14:paraId="76152794" w14:textId="13C6510C" w:rsidR="008F7997" w:rsidRPr="00272B66" w:rsidRDefault="008F7997"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5">
    <w:p w14:paraId="249C5B84" w14:textId="349B29DD" w:rsidR="008F7997" w:rsidRPr="00257C1B" w:rsidRDefault="008F7997"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6">
    <w:p w14:paraId="1D6FAF72"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7">
    <w:p w14:paraId="60AA6FBE"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14:paraId="058DC93C"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29">
    <w:p w14:paraId="2B6DA3EB" w14:textId="5D99E6D0"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r>
        <w:rPr>
          <w:rFonts w:ascii="Calibri" w:hAnsi="Calibri" w:cs="Arial"/>
          <w:i/>
          <w:szCs w:val="16"/>
        </w:rPr>
        <w:t>.</w:t>
      </w:r>
    </w:p>
  </w:footnote>
  <w:footnote w:id="30">
    <w:p w14:paraId="28362CCA" w14:textId="1B044069"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14:paraId="4161009F"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2">
    <w:p w14:paraId="4161B94A" w14:textId="70B4A7E5" w:rsidR="008F7997" w:rsidRDefault="008F799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r>
        <w:rPr>
          <w:rFonts w:ascii="Calibri" w:hAnsi="Calibri" w:cs="Arial"/>
          <w:i/>
          <w:szCs w:val="16"/>
        </w:rPr>
        <w:t>.</w:t>
      </w:r>
    </w:p>
  </w:footnote>
  <w:footnote w:id="33">
    <w:p w14:paraId="5D0E2A71"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4">
    <w:p w14:paraId="037F13BC" w14:textId="77777777" w:rsidR="008F7997" w:rsidRPr="00540AEA" w:rsidRDefault="008F7997"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5">
    <w:p w14:paraId="3D24CF3D" w14:textId="77777777" w:rsidR="008F7997" w:rsidRPr="00540AEA" w:rsidRDefault="008F7997" w:rsidP="005F310B">
      <w:pPr>
        <w:pStyle w:val="Tekstprzypisudolnego"/>
        <w:rPr>
          <w:szCs w:val="24"/>
        </w:rPr>
      </w:pPr>
      <w:r w:rsidRPr="00540AEA">
        <w:rPr>
          <w:rStyle w:val="Odwoanieprzypisudolnego"/>
          <w:szCs w:val="24"/>
        </w:rPr>
        <w:footnoteRef/>
      </w:r>
      <w:r w:rsidRPr="00540AEA">
        <w:rPr>
          <w:szCs w:val="24"/>
        </w:rPr>
        <w:t xml:space="preserve"> </w:t>
      </w:r>
      <w:r w:rsidRPr="00540AEA">
        <w:rPr>
          <w:rFonts w:ascii="Calibri" w:hAnsi="Calibri" w:cs="Arial"/>
          <w:szCs w:val="24"/>
        </w:rPr>
        <w:t xml:space="preserve">W tym zakresie należy uwzględnić  zalecenia metodologiczne dot. prowadzenia analizy ekonomicznej  zawarte w </w:t>
      </w:r>
      <w:r w:rsidRPr="00540AEA">
        <w:rPr>
          <w:rFonts w:ascii="Calibri" w:hAnsi="Calibri" w:cs="Arial"/>
          <w:i/>
          <w:szCs w:val="24"/>
        </w:rPr>
        <w:t xml:space="preserve">Przewodniku AKK. </w:t>
      </w:r>
      <w:r w:rsidRPr="00540AEA">
        <w:rPr>
          <w:rFonts w:ascii="Calibri" w:hAnsi="Calibri" w:cs="Arial"/>
          <w:szCs w:val="24"/>
        </w:rPr>
        <w:t xml:space="preserve">Wskazania w zakresie metodyki przekształcania cen rynkowych na ceny rozrachunkowe znajdują się w podrozdziale 2.8.3 </w:t>
      </w:r>
      <w:r w:rsidRPr="00540AEA">
        <w:rPr>
          <w:rFonts w:ascii="Calibri" w:hAnsi="Calibri" w:cs="Arial"/>
          <w:i/>
          <w:szCs w:val="24"/>
        </w:rPr>
        <w:t>Przewodnika AKK</w:t>
      </w:r>
      <w:r w:rsidRPr="00540AEA">
        <w:rPr>
          <w:rFonts w:ascii="Calibri" w:hAnsi="Calibri" w:cs="Arial"/>
          <w:szCs w:val="24"/>
        </w:rPr>
        <w:t>.</w:t>
      </w:r>
    </w:p>
  </w:footnote>
  <w:footnote w:id="36">
    <w:p w14:paraId="482F3CFD" w14:textId="41738081"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7">
    <w:p w14:paraId="574389FB"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8">
    <w:p w14:paraId="55113461" w14:textId="77777777" w:rsidR="008F7997" w:rsidRPr="00AF63A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39">
    <w:p w14:paraId="1013510C" w14:textId="77777777" w:rsidR="008F7997" w:rsidRPr="005B33BD" w:rsidRDefault="008F799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0">
    <w:p w14:paraId="5018EABD" w14:textId="5CA9A2BC"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8F7997" w:rsidRDefault="008F7997"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1">
    <w:p w14:paraId="7236E9F5" w14:textId="77777777" w:rsidR="008F7997" w:rsidRPr="00257C1B" w:rsidRDefault="008F7997"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3"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2">
    <w:p w14:paraId="3FBA461A" w14:textId="77777777" w:rsidR="008F7997" w:rsidRPr="00257C1B" w:rsidRDefault="008F799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8F7997" w:rsidRPr="00257C1B" w:rsidRDefault="008F7997"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3">
    <w:p w14:paraId="36A10DBE" w14:textId="7883C0FF" w:rsidR="008F7997" w:rsidRPr="00540AEA" w:rsidRDefault="008F7997"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 xml:space="preserve">Dokumenty dostępne pod adresem: </w:t>
      </w:r>
      <w:hyperlink r:id="rId4" w:history="1">
        <w:r w:rsidRPr="00540AEA">
          <w:rPr>
            <w:rStyle w:val="Hipercze"/>
            <w:rFonts w:ascii="Calibri" w:hAnsi="Calibri" w:cs="Arial"/>
            <w:szCs w:val="24"/>
          </w:rPr>
          <w:t>www.ppp.gov.pl</w:t>
        </w:r>
      </w:hyperlink>
      <w:r w:rsidRPr="00540AEA">
        <w:rPr>
          <w:rFonts w:ascii="Calibri" w:hAnsi="Calibri" w:cs="Arial"/>
          <w:szCs w:val="24"/>
        </w:rPr>
        <w:t xml:space="preserve"> </w:t>
      </w:r>
      <w:r>
        <w:rPr>
          <w:rFonts w:ascii="Calibri" w:hAnsi="Calibri" w:cs="Arial"/>
          <w:szCs w:val="24"/>
        </w:rPr>
        <w:t>.</w:t>
      </w:r>
      <w:r w:rsidRPr="00540AEA">
        <w:rPr>
          <w:rFonts w:ascii="Calibri" w:hAnsi="Calibri" w:cs="Arial"/>
          <w:szCs w:val="24"/>
        </w:rPr>
        <w:t xml:space="preserve">   </w:t>
      </w:r>
    </w:p>
  </w:footnote>
  <w:footnote w:id="44">
    <w:p w14:paraId="5B9904D1" w14:textId="11014369" w:rsidR="008F7997" w:rsidRPr="00907CE8" w:rsidRDefault="008F7997"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r>
        <w:rPr>
          <w:rFonts w:ascii="Calibri" w:hAnsi="Calibri"/>
          <w:szCs w:val="16"/>
        </w:rPr>
        <w:t>.</w:t>
      </w:r>
    </w:p>
  </w:footnote>
  <w:footnote w:id="45">
    <w:p w14:paraId="185ABB1E" w14:textId="1DE144C3" w:rsidR="008F7997" w:rsidRPr="00257C1B" w:rsidRDefault="008F7997"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Ustawy z dnia 29 stycznia 2004</w:t>
      </w:r>
      <w:r>
        <w:rPr>
          <w:rFonts w:ascii="Calibri" w:hAnsi="Calibri"/>
          <w:i/>
          <w:szCs w:val="16"/>
        </w:rPr>
        <w:t xml:space="preserve"> </w:t>
      </w:r>
      <w:r w:rsidRPr="00257C1B">
        <w:rPr>
          <w:rFonts w:ascii="Calibri" w:hAnsi="Calibri"/>
          <w:i/>
          <w:szCs w:val="16"/>
        </w:rPr>
        <w:t xml:space="preserve">r. Prawo zamówień publicznych </w:t>
      </w:r>
      <w:r w:rsidRPr="00257C1B">
        <w:rPr>
          <w:rFonts w:ascii="Calibri" w:hAnsi="Calibri"/>
          <w:szCs w:val="16"/>
        </w:rPr>
        <w:t>(</w:t>
      </w:r>
      <w:r>
        <w:rPr>
          <w:rFonts w:ascii="Calibri" w:hAnsi="Calibri"/>
          <w:szCs w:val="16"/>
        </w:rPr>
        <w:t xml:space="preserve">t.j.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w:t>
      </w:r>
      <w:r>
        <w:rPr>
          <w:rFonts w:ascii="Calibri" w:hAnsi="Calibri"/>
          <w:szCs w:val="16"/>
        </w:rPr>
        <w:t>e</w:t>
      </w:r>
      <w:r w:rsidRPr="00257C1B">
        <w:rPr>
          <w:rFonts w:ascii="Calibri" w:hAnsi="Calibri"/>
          <w:szCs w:val="16"/>
        </w:rPr>
        <w:t xml:space="preserve"> zm.).</w:t>
      </w:r>
    </w:p>
  </w:footnote>
  <w:footnote w:id="46">
    <w:p w14:paraId="6BC924AB" w14:textId="6617AA6E" w:rsidR="008F7997" w:rsidRPr="00964223" w:rsidRDefault="008F7997"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w:t>
      </w:r>
      <w:r>
        <w:rPr>
          <w:rFonts w:ascii="Calibri" w:hAnsi="Calibri"/>
          <w:szCs w:val="16"/>
        </w:rPr>
        <w:t>20</w:t>
      </w:r>
      <w:r w:rsidRPr="00257C1B">
        <w:rPr>
          <w:rFonts w:ascii="Calibri" w:hAnsi="Calibri"/>
          <w:szCs w:val="16"/>
        </w:rPr>
        <w:t xml:space="preserve"> r.</w:t>
      </w:r>
      <w:r>
        <w:rPr>
          <w:rFonts w:ascii="Calibri" w:hAnsi="Calibri"/>
          <w:szCs w:val="16"/>
        </w:rPr>
        <w:t>,</w:t>
      </w:r>
      <w:r w:rsidRPr="00257C1B">
        <w:rPr>
          <w:rFonts w:ascii="Calibri" w:hAnsi="Calibri"/>
          <w:szCs w:val="16"/>
        </w:rPr>
        <w:t xml:space="preserve"> poz. 1</w:t>
      </w:r>
      <w:r>
        <w:rPr>
          <w:rFonts w:ascii="Calibri" w:hAnsi="Calibri"/>
          <w:szCs w:val="16"/>
        </w:rPr>
        <w:t>333 ze zm.</w:t>
      </w:r>
      <w:r w:rsidRPr="00257C1B">
        <w:rPr>
          <w:rFonts w:ascii="Calibri" w:hAnsi="Calibri"/>
          <w:szCs w:val="16"/>
        </w:rPr>
        <w:t>).</w:t>
      </w:r>
    </w:p>
  </w:footnote>
  <w:footnote w:id="47">
    <w:p w14:paraId="1E90ABDC" w14:textId="77777777" w:rsidR="008F7997" w:rsidRPr="00D95860" w:rsidRDefault="008F7997"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8">
    <w:p w14:paraId="2F1DD497" w14:textId="77777777" w:rsidR="008F7997" w:rsidRPr="00D95860" w:rsidRDefault="008F7997"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7841" w14:textId="77777777" w:rsidR="008F7997" w:rsidRPr="00ED166A" w:rsidRDefault="008F7997" w:rsidP="00ED166A">
    <w:pPr>
      <w:spacing w:line="256" w:lineRule="auto"/>
      <w:ind w:right="-284"/>
      <w:jc w:val="right"/>
      <w:rPr>
        <w:rFonts w:ascii="Calibri" w:eastAsia="Calibri" w:hAnsi="Calibri"/>
        <w:i/>
        <w:iCs/>
        <w:noProof/>
        <w:szCs w:val="24"/>
      </w:rPr>
    </w:pPr>
    <w:r w:rsidRPr="002D48A3">
      <w:rPr>
        <w:rFonts w:asciiTheme="minorHAnsi" w:hAnsiTheme="minorHAnsi" w:cstheme="minorHAnsi"/>
        <w:b/>
        <w:i/>
        <w:szCs w:val="24"/>
      </w:rPr>
      <w:t xml:space="preserve">Załącznik nr </w:t>
    </w:r>
    <w:r>
      <w:rPr>
        <w:rFonts w:asciiTheme="minorHAnsi" w:hAnsiTheme="minorHAnsi" w:cstheme="minorHAnsi"/>
        <w:b/>
        <w:i/>
        <w:szCs w:val="24"/>
      </w:rPr>
      <w:t>5</w:t>
    </w:r>
    <w:r w:rsidRPr="002D48A3">
      <w:rPr>
        <w:rFonts w:asciiTheme="minorHAnsi" w:hAnsiTheme="minorHAnsi" w:cstheme="minorHAnsi"/>
        <w:b/>
        <w:i/>
        <w:szCs w:val="24"/>
      </w:rPr>
      <w:t xml:space="preserve"> </w:t>
    </w:r>
    <w:r w:rsidRPr="00ED166A">
      <w:rPr>
        <w:rFonts w:ascii="Calibri" w:eastAsia="Calibri" w:hAnsi="Calibri"/>
        <w:i/>
        <w:iCs/>
        <w:noProof/>
        <w:szCs w:val="24"/>
      </w:rPr>
      <w:t xml:space="preserve">do Regulaminu konkursu </w:t>
    </w:r>
  </w:p>
  <w:p w14:paraId="2B341168" w14:textId="77777777" w:rsidR="008F7997" w:rsidRPr="00ED166A" w:rsidRDefault="008F7997" w:rsidP="00ED166A">
    <w:pPr>
      <w:widowControl w:val="0"/>
      <w:suppressAutoHyphens w:val="0"/>
      <w:spacing w:line="276" w:lineRule="auto"/>
      <w:ind w:right="-284"/>
      <w:jc w:val="right"/>
      <w:rPr>
        <w:rFonts w:ascii="Calibri" w:hAnsi="Calibri"/>
        <w:i/>
        <w:snapToGrid w:val="0"/>
        <w:szCs w:val="24"/>
      </w:rPr>
    </w:pPr>
    <w:r w:rsidRPr="00ED166A">
      <w:rPr>
        <w:rFonts w:ascii="Calibri" w:hAnsi="Calibri"/>
        <w:i/>
        <w:snapToGrid w:val="0"/>
        <w:szCs w:val="24"/>
      </w:rPr>
      <w:t>Działanie 5.2 Poprawa gospodarowania odpadami komunalnymi</w:t>
    </w:r>
  </w:p>
  <w:p w14:paraId="078C9AAD" w14:textId="77777777" w:rsidR="008F7997" w:rsidRPr="00ED166A" w:rsidRDefault="008F7997" w:rsidP="00ED166A">
    <w:pPr>
      <w:widowControl w:val="0"/>
      <w:suppressAutoHyphens w:val="0"/>
      <w:spacing w:line="276" w:lineRule="auto"/>
      <w:ind w:right="-284"/>
      <w:jc w:val="right"/>
      <w:rPr>
        <w:rFonts w:ascii="Calibri" w:eastAsia="Calibri" w:hAnsi="Calibri"/>
        <w:i/>
        <w:noProof/>
        <w:szCs w:val="24"/>
      </w:rPr>
    </w:pPr>
    <w:r w:rsidRPr="00ED166A">
      <w:rPr>
        <w:rFonts w:ascii="Calibri" w:eastAsia="Calibri" w:hAnsi="Calibri"/>
        <w:i/>
        <w:noProof/>
        <w:szCs w:val="24"/>
      </w:rPr>
      <w:t>RPO WO 2014-2020</w:t>
    </w:r>
  </w:p>
  <w:p w14:paraId="752F1340" w14:textId="60F47D55" w:rsidR="008F7997" w:rsidRPr="00ED166A" w:rsidRDefault="008F7997" w:rsidP="00ED166A">
    <w:pPr>
      <w:suppressAutoHyphens w:val="0"/>
      <w:ind w:right="-283"/>
      <w:jc w:val="right"/>
      <w:rPr>
        <w:rFonts w:ascii="Calibri" w:eastAsia="Calibri" w:hAnsi="Calibri"/>
        <w:noProof/>
        <w:szCs w:val="24"/>
      </w:rPr>
    </w:pPr>
    <w:r>
      <w:rPr>
        <w:rFonts w:ascii="Calibri" w:eastAsia="Calibri" w:hAnsi="Calibri"/>
        <w:i/>
        <w:noProof/>
        <w:szCs w:val="24"/>
      </w:rPr>
      <w:t>wersja nr 1, czerwiec</w:t>
    </w:r>
    <w:r w:rsidRPr="00ED166A">
      <w:rPr>
        <w:rFonts w:ascii="Calibri" w:eastAsia="Calibri" w:hAnsi="Calibri"/>
        <w:i/>
        <w:noProof/>
        <w:szCs w:val="24"/>
      </w:rPr>
      <w:t xml:space="preserve"> 202</w:t>
    </w:r>
    <w:r>
      <w:rPr>
        <w:rFonts w:ascii="Calibri" w:eastAsia="Calibri" w:hAnsi="Calibri"/>
        <w:i/>
        <w:noProof/>
        <w:szCs w:val="24"/>
      </w:rPr>
      <w:t>2</w:t>
    </w:r>
    <w:r w:rsidRPr="00ED166A">
      <w:rPr>
        <w:rFonts w:ascii="Calibri" w:eastAsia="Calibri" w:hAnsi="Calibri"/>
        <w:i/>
        <w:noProof/>
        <w:szCs w:val="24"/>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8F7997" w:rsidRPr="005053CE" w:rsidRDefault="008F7997"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8F7997" w:rsidRPr="0019443C" w:rsidRDefault="008F7997"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8F7997" w:rsidRPr="00431FF5" w:rsidRDefault="008F7997"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2"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2"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4"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790372"/>
    <w:multiLevelType w:val="multilevel"/>
    <w:tmpl w:val="0FA8F8E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4"/>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6"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2" w15:restartNumberingAfterBreak="0">
    <w:nsid w:val="3CB52090"/>
    <w:multiLevelType w:val="hybridMultilevel"/>
    <w:tmpl w:val="37C27DDE"/>
    <w:lvl w:ilvl="0" w:tplc="112AD9B6">
      <w:start w:val="1"/>
      <w:numFmt w:val="decimal"/>
      <w:lvlText w:val="%1."/>
      <w:lvlJc w:val="left"/>
      <w:pPr>
        <w:ind w:left="1065" w:hanging="705"/>
      </w:pPr>
      <w:rPr>
        <w:rFonts w:ascii="Calibri" w:eastAsia="Times New Roman" w:hAnsi="Calibri" w:cs="Times New Roman" w:hint="default"/>
        <w:b/>
        <w:color w:val="000000" w:themeColor="text1"/>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70"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1"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7"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8"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2"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5"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C451A3"/>
    <w:multiLevelType w:val="multilevel"/>
    <w:tmpl w:val="0415001F"/>
    <w:numStyleLink w:val="111111"/>
  </w:abstractNum>
  <w:abstractNum w:abstractNumId="106"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9"/>
  </w:num>
  <w:num w:numId="2">
    <w:abstractNumId w:val="77"/>
  </w:num>
  <w:num w:numId="3">
    <w:abstractNumId w:val="19"/>
  </w:num>
  <w:num w:numId="4">
    <w:abstractNumId w:val="61"/>
  </w:num>
  <w:num w:numId="5">
    <w:abstractNumId w:val="72"/>
  </w:num>
  <w:num w:numId="6">
    <w:abstractNumId w:val="80"/>
  </w:num>
  <w:num w:numId="7">
    <w:abstractNumId w:val="21"/>
  </w:num>
  <w:num w:numId="8">
    <w:abstractNumId w:val="71"/>
  </w:num>
  <w:num w:numId="9">
    <w:abstractNumId w:val="59"/>
  </w:num>
  <w:num w:numId="10">
    <w:abstractNumId w:val="106"/>
  </w:num>
  <w:num w:numId="11">
    <w:abstractNumId w:val="91"/>
  </w:num>
  <w:num w:numId="12">
    <w:abstractNumId w:val="69"/>
  </w:num>
  <w:num w:numId="13">
    <w:abstractNumId w:val="32"/>
  </w:num>
  <w:num w:numId="14">
    <w:abstractNumId w:val="41"/>
  </w:num>
  <w:num w:numId="15">
    <w:abstractNumId w:val="87"/>
  </w:num>
  <w:num w:numId="16">
    <w:abstractNumId w:val="63"/>
  </w:num>
  <w:num w:numId="17">
    <w:abstractNumId w:val="14"/>
  </w:num>
  <w:num w:numId="18">
    <w:abstractNumId w:val="82"/>
  </w:num>
  <w:num w:numId="19">
    <w:abstractNumId w:val="73"/>
  </w:num>
  <w:num w:numId="20">
    <w:abstractNumId w:val="12"/>
  </w:num>
  <w:num w:numId="21">
    <w:abstractNumId w:val="78"/>
  </w:num>
  <w:num w:numId="22">
    <w:abstractNumId w:val="0"/>
  </w:num>
  <w:num w:numId="23">
    <w:abstractNumId w:val="103"/>
  </w:num>
  <w:num w:numId="24">
    <w:abstractNumId w:val="107"/>
  </w:num>
  <w:num w:numId="25">
    <w:abstractNumId w:val="105"/>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8"/>
  </w:num>
  <w:num w:numId="27">
    <w:abstractNumId w:val="3"/>
  </w:num>
  <w:num w:numId="28">
    <w:abstractNumId w:val="31"/>
  </w:num>
  <w:num w:numId="29">
    <w:abstractNumId w:val="94"/>
  </w:num>
  <w:num w:numId="30">
    <w:abstractNumId w:val="7"/>
  </w:num>
  <w:num w:numId="31">
    <w:abstractNumId w:val="51"/>
  </w:num>
  <w:num w:numId="32">
    <w:abstractNumId w:val="27"/>
  </w:num>
  <w:num w:numId="33">
    <w:abstractNumId w:val="95"/>
  </w:num>
  <w:num w:numId="34">
    <w:abstractNumId w:val="29"/>
  </w:num>
  <w:num w:numId="35">
    <w:abstractNumId w:val="10"/>
  </w:num>
  <w:num w:numId="36">
    <w:abstractNumId w:val="100"/>
  </w:num>
  <w:num w:numId="37">
    <w:abstractNumId w:val="74"/>
  </w:num>
  <w:num w:numId="38">
    <w:abstractNumId w:val="39"/>
  </w:num>
  <w:num w:numId="39">
    <w:abstractNumId w:val="38"/>
  </w:num>
  <w:num w:numId="40">
    <w:abstractNumId w:val="20"/>
  </w:num>
  <w:num w:numId="41">
    <w:abstractNumId w:val="36"/>
  </w:num>
  <w:num w:numId="42">
    <w:abstractNumId w:val="76"/>
  </w:num>
  <w:num w:numId="43">
    <w:abstractNumId w:val="6"/>
  </w:num>
  <w:num w:numId="44">
    <w:abstractNumId w:val="83"/>
  </w:num>
  <w:num w:numId="45">
    <w:abstractNumId w:val="40"/>
  </w:num>
  <w:num w:numId="46">
    <w:abstractNumId w:val="90"/>
  </w:num>
  <w:num w:numId="47">
    <w:abstractNumId w:val="101"/>
  </w:num>
  <w:num w:numId="48">
    <w:abstractNumId w:val="85"/>
  </w:num>
  <w:num w:numId="49">
    <w:abstractNumId w:val="56"/>
  </w:num>
  <w:num w:numId="50">
    <w:abstractNumId w:val="66"/>
  </w:num>
  <w:num w:numId="51">
    <w:abstractNumId w:val="42"/>
  </w:num>
  <w:num w:numId="52">
    <w:abstractNumId w:val="64"/>
  </w:num>
  <w:num w:numId="53">
    <w:abstractNumId w:val="8"/>
  </w:num>
  <w:num w:numId="54">
    <w:abstractNumId w:val="47"/>
  </w:num>
  <w:num w:numId="55">
    <w:abstractNumId w:val="37"/>
  </w:num>
  <w:num w:numId="56">
    <w:abstractNumId w:val="60"/>
  </w:num>
  <w:num w:numId="57">
    <w:abstractNumId w:val="96"/>
  </w:num>
  <w:num w:numId="58">
    <w:abstractNumId w:val="17"/>
  </w:num>
  <w:num w:numId="59">
    <w:abstractNumId w:val="44"/>
  </w:num>
  <w:num w:numId="60">
    <w:abstractNumId w:val="48"/>
  </w:num>
  <w:num w:numId="61">
    <w:abstractNumId w:val="81"/>
  </w:num>
  <w:num w:numId="62">
    <w:abstractNumId w:val="49"/>
  </w:num>
  <w:num w:numId="63">
    <w:abstractNumId w:val="2"/>
  </w:num>
  <w:num w:numId="64">
    <w:abstractNumId w:val="9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46"/>
  </w:num>
  <w:num w:numId="68">
    <w:abstractNumId w:val="68"/>
  </w:num>
  <w:num w:numId="69">
    <w:abstractNumId w:val="62"/>
  </w:num>
  <w:num w:numId="70">
    <w:abstractNumId w:val="24"/>
  </w:num>
  <w:num w:numId="71">
    <w:abstractNumId w:val="15"/>
  </w:num>
  <w:num w:numId="72">
    <w:abstractNumId w:val="18"/>
  </w:num>
  <w:num w:numId="73">
    <w:abstractNumId w:val="79"/>
  </w:num>
  <w:num w:numId="74">
    <w:abstractNumId w:val="33"/>
  </w:num>
  <w:num w:numId="75">
    <w:abstractNumId w:val="84"/>
  </w:num>
  <w:num w:numId="76">
    <w:abstractNumId w:val="67"/>
  </w:num>
  <w:num w:numId="77">
    <w:abstractNumId w:val="58"/>
  </w:num>
  <w:num w:numId="78">
    <w:abstractNumId w:val="22"/>
  </w:num>
  <w:num w:numId="79">
    <w:abstractNumId w:val="25"/>
  </w:num>
  <w:num w:numId="80">
    <w:abstractNumId w:val="86"/>
  </w:num>
  <w:num w:numId="81">
    <w:abstractNumId w:val="98"/>
  </w:num>
  <w:num w:numId="82">
    <w:abstractNumId w:val="102"/>
  </w:num>
  <w:num w:numId="83">
    <w:abstractNumId w:val="11"/>
  </w:num>
  <w:num w:numId="84">
    <w:abstractNumId w:val="13"/>
  </w:num>
  <w:num w:numId="85">
    <w:abstractNumId w:val="28"/>
  </w:num>
  <w:num w:numId="86">
    <w:abstractNumId w:val="65"/>
  </w:num>
  <w:num w:numId="87">
    <w:abstractNumId w:val="16"/>
  </w:num>
  <w:num w:numId="88">
    <w:abstractNumId w:val="35"/>
  </w:num>
  <w:num w:numId="89">
    <w:abstractNumId w:val="104"/>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7"/>
  </w:num>
  <w:num w:numId="93">
    <w:abstractNumId w:val="55"/>
  </w:num>
  <w:num w:numId="94">
    <w:abstractNumId w:val="4"/>
  </w:num>
  <w:num w:numId="9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7"/>
  </w:num>
  <w:num w:numId="99">
    <w:abstractNumId w:val="23"/>
  </w:num>
  <w:num w:numId="100">
    <w:abstractNumId w:val="34"/>
  </w:num>
  <w:num w:numId="101">
    <w:abstractNumId w:val="50"/>
  </w:num>
  <w:num w:numId="102">
    <w:abstractNumId w:val="26"/>
  </w:num>
  <w:num w:numId="103">
    <w:abstractNumId w:val="89"/>
  </w:num>
  <w:num w:numId="104">
    <w:abstractNumId w:val="43"/>
  </w:num>
  <w:num w:numId="105">
    <w:abstractNumId w:val="54"/>
  </w:num>
  <w:num w:numId="106">
    <w:abstractNumId w:val="88"/>
  </w:num>
  <w:num w:numId="107">
    <w:abstractNumId w:val="92"/>
  </w:num>
  <w:num w:numId="108">
    <w:abstractNumId w:val="93"/>
  </w:num>
  <w:num w:numId="109">
    <w:abstractNumId w:val="52"/>
  </w:num>
  <w:num w:numId="110">
    <w:abstractNumId w:val="45"/>
  </w:num>
  <w:num w:numId="1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num>
  <w:num w:numId="113">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2BD6"/>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29B0"/>
    <w:rsid w:val="000639DA"/>
    <w:rsid w:val="00063E1B"/>
    <w:rsid w:val="0006599A"/>
    <w:rsid w:val="00065FA3"/>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1ED0"/>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61C"/>
    <w:rsid w:val="000A498C"/>
    <w:rsid w:val="000A6AF4"/>
    <w:rsid w:val="000A7233"/>
    <w:rsid w:val="000B09AA"/>
    <w:rsid w:val="000B165E"/>
    <w:rsid w:val="000B233E"/>
    <w:rsid w:val="000B3B6F"/>
    <w:rsid w:val="000C22BE"/>
    <w:rsid w:val="000C2302"/>
    <w:rsid w:val="000C2E44"/>
    <w:rsid w:val="000C307E"/>
    <w:rsid w:val="000C384D"/>
    <w:rsid w:val="000C3A33"/>
    <w:rsid w:val="000C5817"/>
    <w:rsid w:val="000C598F"/>
    <w:rsid w:val="000C5F16"/>
    <w:rsid w:val="000C644E"/>
    <w:rsid w:val="000C6B4B"/>
    <w:rsid w:val="000C6EE9"/>
    <w:rsid w:val="000C6F8C"/>
    <w:rsid w:val="000C7523"/>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B68"/>
    <w:rsid w:val="000E6C0C"/>
    <w:rsid w:val="000E6D79"/>
    <w:rsid w:val="000F00E0"/>
    <w:rsid w:val="000F2128"/>
    <w:rsid w:val="000F286B"/>
    <w:rsid w:val="000F34B6"/>
    <w:rsid w:val="000F3991"/>
    <w:rsid w:val="000F5EC2"/>
    <w:rsid w:val="000F626E"/>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11C"/>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35ED"/>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8E"/>
    <w:rsid w:val="001805F8"/>
    <w:rsid w:val="00180C31"/>
    <w:rsid w:val="00180E8B"/>
    <w:rsid w:val="00182100"/>
    <w:rsid w:val="00182843"/>
    <w:rsid w:val="00183C43"/>
    <w:rsid w:val="00183DE2"/>
    <w:rsid w:val="00184264"/>
    <w:rsid w:val="001843ED"/>
    <w:rsid w:val="001849F5"/>
    <w:rsid w:val="00184AA2"/>
    <w:rsid w:val="00185325"/>
    <w:rsid w:val="00185F74"/>
    <w:rsid w:val="00186D11"/>
    <w:rsid w:val="0018738C"/>
    <w:rsid w:val="0018786C"/>
    <w:rsid w:val="001907CB"/>
    <w:rsid w:val="00191713"/>
    <w:rsid w:val="001926C6"/>
    <w:rsid w:val="00192FC1"/>
    <w:rsid w:val="00193229"/>
    <w:rsid w:val="0019343E"/>
    <w:rsid w:val="001939AE"/>
    <w:rsid w:val="001939E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1F1"/>
    <w:rsid w:val="001E0472"/>
    <w:rsid w:val="001E051F"/>
    <w:rsid w:val="001E0955"/>
    <w:rsid w:val="001E17A0"/>
    <w:rsid w:val="001E2CD9"/>
    <w:rsid w:val="001E300A"/>
    <w:rsid w:val="001E4393"/>
    <w:rsid w:val="001E4C87"/>
    <w:rsid w:val="001E6744"/>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02A7"/>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3B5D"/>
    <w:rsid w:val="00234AE1"/>
    <w:rsid w:val="00235CCA"/>
    <w:rsid w:val="00235F38"/>
    <w:rsid w:val="00236343"/>
    <w:rsid w:val="00236FE6"/>
    <w:rsid w:val="002378F4"/>
    <w:rsid w:val="002409C9"/>
    <w:rsid w:val="00240F81"/>
    <w:rsid w:val="002417E4"/>
    <w:rsid w:val="00241E74"/>
    <w:rsid w:val="002420AF"/>
    <w:rsid w:val="00243B0A"/>
    <w:rsid w:val="00243D21"/>
    <w:rsid w:val="00245DCA"/>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3AB9"/>
    <w:rsid w:val="00276BF7"/>
    <w:rsid w:val="002777F1"/>
    <w:rsid w:val="00277813"/>
    <w:rsid w:val="00277E20"/>
    <w:rsid w:val="00280453"/>
    <w:rsid w:val="0028168B"/>
    <w:rsid w:val="00282422"/>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1B0E"/>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019"/>
    <w:rsid w:val="002D21B4"/>
    <w:rsid w:val="002D24CE"/>
    <w:rsid w:val="002D2888"/>
    <w:rsid w:val="002D3FB2"/>
    <w:rsid w:val="002D48A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4C79"/>
    <w:rsid w:val="0030579B"/>
    <w:rsid w:val="00306D0A"/>
    <w:rsid w:val="00307004"/>
    <w:rsid w:val="00310099"/>
    <w:rsid w:val="00310FB0"/>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5BC8"/>
    <w:rsid w:val="003366BF"/>
    <w:rsid w:val="00336C36"/>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5C50"/>
    <w:rsid w:val="00377047"/>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83F"/>
    <w:rsid w:val="003B4968"/>
    <w:rsid w:val="003B54F9"/>
    <w:rsid w:val="003B7927"/>
    <w:rsid w:val="003C1417"/>
    <w:rsid w:val="003C1C6D"/>
    <w:rsid w:val="003C38ED"/>
    <w:rsid w:val="003C6EC9"/>
    <w:rsid w:val="003D00D1"/>
    <w:rsid w:val="003D0908"/>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223B"/>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1E2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041"/>
    <w:rsid w:val="004B6FBD"/>
    <w:rsid w:val="004C0567"/>
    <w:rsid w:val="004C07E3"/>
    <w:rsid w:val="004C0924"/>
    <w:rsid w:val="004C243E"/>
    <w:rsid w:val="004C44BC"/>
    <w:rsid w:val="004C461E"/>
    <w:rsid w:val="004C6582"/>
    <w:rsid w:val="004C7C8A"/>
    <w:rsid w:val="004D0D89"/>
    <w:rsid w:val="004D1465"/>
    <w:rsid w:val="004D3481"/>
    <w:rsid w:val="004D377E"/>
    <w:rsid w:val="004D3B39"/>
    <w:rsid w:val="004D6EA3"/>
    <w:rsid w:val="004D7D75"/>
    <w:rsid w:val="004E056D"/>
    <w:rsid w:val="004E1F24"/>
    <w:rsid w:val="004E241D"/>
    <w:rsid w:val="004E2569"/>
    <w:rsid w:val="004E29AC"/>
    <w:rsid w:val="004E36F0"/>
    <w:rsid w:val="004E3B93"/>
    <w:rsid w:val="004E3D06"/>
    <w:rsid w:val="004E4702"/>
    <w:rsid w:val="004E4B19"/>
    <w:rsid w:val="004F01EA"/>
    <w:rsid w:val="004F0E7A"/>
    <w:rsid w:val="004F211A"/>
    <w:rsid w:val="004F226F"/>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A66"/>
    <w:rsid w:val="00517F18"/>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50E0"/>
    <w:rsid w:val="00536235"/>
    <w:rsid w:val="00536485"/>
    <w:rsid w:val="00540AEA"/>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36E9"/>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803"/>
    <w:rsid w:val="005F1F57"/>
    <w:rsid w:val="005F2EBD"/>
    <w:rsid w:val="005F310B"/>
    <w:rsid w:val="005F4094"/>
    <w:rsid w:val="005F42D6"/>
    <w:rsid w:val="005F4305"/>
    <w:rsid w:val="005F56FB"/>
    <w:rsid w:val="005F5E3A"/>
    <w:rsid w:val="006005BA"/>
    <w:rsid w:val="006006BA"/>
    <w:rsid w:val="00600B08"/>
    <w:rsid w:val="00601105"/>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060A"/>
    <w:rsid w:val="00622754"/>
    <w:rsid w:val="0062296E"/>
    <w:rsid w:val="00623000"/>
    <w:rsid w:val="00623DD8"/>
    <w:rsid w:val="00623F8F"/>
    <w:rsid w:val="00624E45"/>
    <w:rsid w:val="00626B67"/>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456C"/>
    <w:rsid w:val="00675943"/>
    <w:rsid w:val="006763C4"/>
    <w:rsid w:val="00677705"/>
    <w:rsid w:val="00677D0F"/>
    <w:rsid w:val="0068030E"/>
    <w:rsid w:val="006804B3"/>
    <w:rsid w:val="0068072B"/>
    <w:rsid w:val="00681356"/>
    <w:rsid w:val="00681547"/>
    <w:rsid w:val="00683E33"/>
    <w:rsid w:val="0068513D"/>
    <w:rsid w:val="006867A6"/>
    <w:rsid w:val="00686ED4"/>
    <w:rsid w:val="0068789B"/>
    <w:rsid w:val="006908F2"/>
    <w:rsid w:val="00691728"/>
    <w:rsid w:val="00692B56"/>
    <w:rsid w:val="00692C99"/>
    <w:rsid w:val="00692DFB"/>
    <w:rsid w:val="0069324A"/>
    <w:rsid w:val="00693E81"/>
    <w:rsid w:val="00696FBF"/>
    <w:rsid w:val="00697D2B"/>
    <w:rsid w:val="006A0345"/>
    <w:rsid w:val="006A0B81"/>
    <w:rsid w:val="006A1351"/>
    <w:rsid w:val="006A170B"/>
    <w:rsid w:val="006A17D1"/>
    <w:rsid w:val="006A1C78"/>
    <w:rsid w:val="006A3D5F"/>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C6FB6"/>
    <w:rsid w:val="006C799D"/>
    <w:rsid w:val="006D14E4"/>
    <w:rsid w:val="006D26BB"/>
    <w:rsid w:val="006D2BEB"/>
    <w:rsid w:val="006D4440"/>
    <w:rsid w:val="006D47D8"/>
    <w:rsid w:val="006D58A4"/>
    <w:rsid w:val="006D5A5D"/>
    <w:rsid w:val="006D5F80"/>
    <w:rsid w:val="006D6DFE"/>
    <w:rsid w:val="006D711E"/>
    <w:rsid w:val="006D7E33"/>
    <w:rsid w:val="006E09CB"/>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46DB"/>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40"/>
    <w:rsid w:val="007171E9"/>
    <w:rsid w:val="0071748D"/>
    <w:rsid w:val="00717E1A"/>
    <w:rsid w:val="00720283"/>
    <w:rsid w:val="00722866"/>
    <w:rsid w:val="0072357D"/>
    <w:rsid w:val="00724DC5"/>
    <w:rsid w:val="00725242"/>
    <w:rsid w:val="007259FB"/>
    <w:rsid w:val="00726D1E"/>
    <w:rsid w:val="00730B9A"/>
    <w:rsid w:val="00731EBC"/>
    <w:rsid w:val="00732A93"/>
    <w:rsid w:val="00733077"/>
    <w:rsid w:val="00734290"/>
    <w:rsid w:val="0073436B"/>
    <w:rsid w:val="007347AD"/>
    <w:rsid w:val="00734FD9"/>
    <w:rsid w:val="00736486"/>
    <w:rsid w:val="0073654F"/>
    <w:rsid w:val="00737B56"/>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878"/>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297"/>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679"/>
    <w:rsid w:val="007C3E63"/>
    <w:rsid w:val="007C42C8"/>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CB1"/>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4B71"/>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712"/>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0EF"/>
    <w:rsid w:val="00881100"/>
    <w:rsid w:val="008820E3"/>
    <w:rsid w:val="0088360B"/>
    <w:rsid w:val="008844F4"/>
    <w:rsid w:val="008846DA"/>
    <w:rsid w:val="008863DF"/>
    <w:rsid w:val="008868D3"/>
    <w:rsid w:val="00886B0D"/>
    <w:rsid w:val="008904B2"/>
    <w:rsid w:val="00890F25"/>
    <w:rsid w:val="00892A0F"/>
    <w:rsid w:val="0089315F"/>
    <w:rsid w:val="0089327F"/>
    <w:rsid w:val="0089340F"/>
    <w:rsid w:val="00893D0E"/>
    <w:rsid w:val="00894FAE"/>
    <w:rsid w:val="00895EC8"/>
    <w:rsid w:val="00896CE2"/>
    <w:rsid w:val="00897716"/>
    <w:rsid w:val="00897846"/>
    <w:rsid w:val="008A06F9"/>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8F7997"/>
    <w:rsid w:val="009017B8"/>
    <w:rsid w:val="00901905"/>
    <w:rsid w:val="00901D98"/>
    <w:rsid w:val="00902C81"/>
    <w:rsid w:val="009032A8"/>
    <w:rsid w:val="00903E08"/>
    <w:rsid w:val="00904BA1"/>
    <w:rsid w:val="00905B39"/>
    <w:rsid w:val="0090630D"/>
    <w:rsid w:val="00907CE8"/>
    <w:rsid w:val="0091020E"/>
    <w:rsid w:val="00910B30"/>
    <w:rsid w:val="00910D9E"/>
    <w:rsid w:val="0091161C"/>
    <w:rsid w:val="00911B5F"/>
    <w:rsid w:val="00912624"/>
    <w:rsid w:val="00912FFC"/>
    <w:rsid w:val="009159D3"/>
    <w:rsid w:val="00915FF7"/>
    <w:rsid w:val="0091658B"/>
    <w:rsid w:val="00916813"/>
    <w:rsid w:val="00916928"/>
    <w:rsid w:val="00916D3C"/>
    <w:rsid w:val="009175C8"/>
    <w:rsid w:val="009179EF"/>
    <w:rsid w:val="00920653"/>
    <w:rsid w:val="00920EBB"/>
    <w:rsid w:val="00921386"/>
    <w:rsid w:val="00921AC6"/>
    <w:rsid w:val="00922105"/>
    <w:rsid w:val="00923290"/>
    <w:rsid w:val="00923579"/>
    <w:rsid w:val="00924756"/>
    <w:rsid w:val="00925A4D"/>
    <w:rsid w:val="00925CAD"/>
    <w:rsid w:val="009300B5"/>
    <w:rsid w:val="00930AB3"/>
    <w:rsid w:val="0093291A"/>
    <w:rsid w:val="00933200"/>
    <w:rsid w:val="00933AF8"/>
    <w:rsid w:val="00933CD6"/>
    <w:rsid w:val="00933D67"/>
    <w:rsid w:val="00934648"/>
    <w:rsid w:val="0093513F"/>
    <w:rsid w:val="009362B7"/>
    <w:rsid w:val="0093661E"/>
    <w:rsid w:val="00936F35"/>
    <w:rsid w:val="00937102"/>
    <w:rsid w:val="0094006C"/>
    <w:rsid w:val="00940758"/>
    <w:rsid w:val="00940775"/>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0BA"/>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683"/>
    <w:rsid w:val="00970F70"/>
    <w:rsid w:val="009717D9"/>
    <w:rsid w:val="009720BE"/>
    <w:rsid w:val="009726BA"/>
    <w:rsid w:val="009727F1"/>
    <w:rsid w:val="00972DBE"/>
    <w:rsid w:val="00973D0A"/>
    <w:rsid w:val="0097503A"/>
    <w:rsid w:val="00975070"/>
    <w:rsid w:val="009756F3"/>
    <w:rsid w:val="00975BED"/>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3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8F5"/>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1E8"/>
    <w:rsid w:val="00A24490"/>
    <w:rsid w:val="00A24B31"/>
    <w:rsid w:val="00A253B7"/>
    <w:rsid w:val="00A25E3C"/>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02E4"/>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4582"/>
    <w:rsid w:val="00AE7249"/>
    <w:rsid w:val="00AF0063"/>
    <w:rsid w:val="00AF16E6"/>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13C"/>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19F2"/>
    <w:rsid w:val="00B4619B"/>
    <w:rsid w:val="00B46799"/>
    <w:rsid w:val="00B47981"/>
    <w:rsid w:val="00B50666"/>
    <w:rsid w:val="00B52BB5"/>
    <w:rsid w:val="00B52DDE"/>
    <w:rsid w:val="00B52EEF"/>
    <w:rsid w:val="00B52FD0"/>
    <w:rsid w:val="00B53002"/>
    <w:rsid w:val="00B53AFC"/>
    <w:rsid w:val="00B54AF7"/>
    <w:rsid w:val="00B55CD5"/>
    <w:rsid w:val="00B56BDD"/>
    <w:rsid w:val="00B57DFB"/>
    <w:rsid w:val="00B61AE6"/>
    <w:rsid w:val="00B62928"/>
    <w:rsid w:val="00B64028"/>
    <w:rsid w:val="00B640B1"/>
    <w:rsid w:val="00B64DA6"/>
    <w:rsid w:val="00B64EB9"/>
    <w:rsid w:val="00B656CB"/>
    <w:rsid w:val="00B65FEA"/>
    <w:rsid w:val="00B6689C"/>
    <w:rsid w:val="00B67702"/>
    <w:rsid w:val="00B7063C"/>
    <w:rsid w:val="00B71ABA"/>
    <w:rsid w:val="00B72A55"/>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D7983"/>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0685C"/>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52"/>
    <w:rsid w:val="00C41876"/>
    <w:rsid w:val="00C419A6"/>
    <w:rsid w:val="00C4275B"/>
    <w:rsid w:val="00C42B54"/>
    <w:rsid w:val="00C42CCE"/>
    <w:rsid w:val="00C4364C"/>
    <w:rsid w:val="00C4492A"/>
    <w:rsid w:val="00C45B45"/>
    <w:rsid w:val="00C4729A"/>
    <w:rsid w:val="00C47D44"/>
    <w:rsid w:val="00C50D01"/>
    <w:rsid w:val="00C50DE4"/>
    <w:rsid w:val="00C5144D"/>
    <w:rsid w:val="00C53752"/>
    <w:rsid w:val="00C53976"/>
    <w:rsid w:val="00C53B3B"/>
    <w:rsid w:val="00C545E1"/>
    <w:rsid w:val="00C57012"/>
    <w:rsid w:val="00C573BD"/>
    <w:rsid w:val="00C605DE"/>
    <w:rsid w:val="00C60F58"/>
    <w:rsid w:val="00C6129C"/>
    <w:rsid w:val="00C614B7"/>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331"/>
    <w:rsid w:val="00CB3695"/>
    <w:rsid w:val="00CB3A3F"/>
    <w:rsid w:val="00CB4B0E"/>
    <w:rsid w:val="00CB4DB4"/>
    <w:rsid w:val="00CC05FD"/>
    <w:rsid w:val="00CC24A7"/>
    <w:rsid w:val="00CC442C"/>
    <w:rsid w:val="00CC503D"/>
    <w:rsid w:val="00CC6218"/>
    <w:rsid w:val="00CC6D84"/>
    <w:rsid w:val="00CC77D6"/>
    <w:rsid w:val="00CC7C8A"/>
    <w:rsid w:val="00CC7EF8"/>
    <w:rsid w:val="00CD12DC"/>
    <w:rsid w:val="00CD19CC"/>
    <w:rsid w:val="00CD1CD9"/>
    <w:rsid w:val="00CD299E"/>
    <w:rsid w:val="00CD45D0"/>
    <w:rsid w:val="00CD4609"/>
    <w:rsid w:val="00CD703E"/>
    <w:rsid w:val="00CD74C1"/>
    <w:rsid w:val="00CD7C9A"/>
    <w:rsid w:val="00CD7CAF"/>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CF6569"/>
    <w:rsid w:val="00D00DE2"/>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0A8F"/>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30E"/>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1730"/>
    <w:rsid w:val="00DD22E6"/>
    <w:rsid w:val="00DD23BF"/>
    <w:rsid w:val="00DD2840"/>
    <w:rsid w:val="00DD453B"/>
    <w:rsid w:val="00DD568F"/>
    <w:rsid w:val="00DD5AF1"/>
    <w:rsid w:val="00DD5C4D"/>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BE0"/>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479D0"/>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67388"/>
    <w:rsid w:val="00E7019B"/>
    <w:rsid w:val="00E704EF"/>
    <w:rsid w:val="00E71A88"/>
    <w:rsid w:val="00E71CE1"/>
    <w:rsid w:val="00E723ED"/>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3AB"/>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0A03"/>
    <w:rsid w:val="00ED166A"/>
    <w:rsid w:val="00ED262D"/>
    <w:rsid w:val="00ED4A05"/>
    <w:rsid w:val="00ED58D7"/>
    <w:rsid w:val="00ED5B25"/>
    <w:rsid w:val="00ED6A94"/>
    <w:rsid w:val="00ED6F7F"/>
    <w:rsid w:val="00ED7355"/>
    <w:rsid w:val="00ED7C07"/>
    <w:rsid w:val="00EE0B32"/>
    <w:rsid w:val="00EE1A61"/>
    <w:rsid w:val="00EE2D69"/>
    <w:rsid w:val="00EE3735"/>
    <w:rsid w:val="00EE4334"/>
    <w:rsid w:val="00EE4E07"/>
    <w:rsid w:val="00EE53DD"/>
    <w:rsid w:val="00EE5462"/>
    <w:rsid w:val="00EE54C5"/>
    <w:rsid w:val="00EE5B42"/>
    <w:rsid w:val="00EE6621"/>
    <w:rsid w:val="00EE68F9"/>
    <w:rsid w:val="00EE699E"/>
    <w:rsid w:val="00EE6C49"/>
    <w:rsid w:val="00EE73DF"/>
    <w:rsid w:val="00EE77FA"/>
    <w:rsid w:val="00EE7831"/>
    <w:rsid w:val="00EE79B5"/>
    <w:rsid w:val="00EF011E"/>
    <w:rsid w:val="00EF01A2"/>
    <w:rsid w:val="00EF42AC"/>
    <w:rsid w:val="00EF5C05"/>
    <w:rsid w:val="00EF6D46"/>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322"/>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6BF2"/>
    <w:rsid w:val="00F97335"/>
    <w:rsid w:val="00FA137E"/>
    <w:rsid w:val="00FA2305"/>
    <w:rsid w:val="00FA2469"/>
    <w:rsid w:val="00FA2D2E"/>
    <w:rsid w:val="00FA2E13"/>
    <w:rsid w:val="00FA302F"/>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0E2C"/>
    <w:rsid w:val="00FE12E4"/>
    <w:rsid w:val="00FE1CB9"/>
    <w:rsid w:val="00FE2116"/>
    <w:rsid w:val="00FE23A9"/>
    <w:rsid w:val="00FE3C24"/>
    <w:rsid w:val="00FE40B1"/>
    <w:rsid w:val="00FE4D3D"/>
    <w:rsid w:val="00FF194E"/>
    <w:rsid w:val="00FF4ED2"/>
    <w:rsid w:val="00FF563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6F46DB"/>
    <w:pPr>
      <w:tabs>
        <w:tab w:val="left" w:pos="851"/>
        <w:tab w:val="left" w:leader="dot" w:pos="8789"/>
      </w:tabs>
      <w:spacing w:before="120"/>
      <w:ind w:left="4" w:right="-108"/>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38888285">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pp.gov.pl"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4" Type="http://schemas.openxmlformats.org/officeDocument/2006/relationships/hyperlink" Target="http://www.pp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E1B1-9EC5-44FC-AC6C-DC8D9696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34332</Words>
  <Characters>205998</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239851</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Barbara Butyńska</cp:lastModifiedBy>
  <cp:revision>3</cp:revision>
  <cp:lastPrinted>2020-10-29T12:05:00Z</cp:lastPrinted>
  <dcterms:created xsi:type="dcterms:W3CDTF">2022-06-20T13:08:00Z</dcterms:created>
  <dcterms:modified xsi:type="dcterms:W3CDTF">2022-06-21T10:35:00Z</dcterms:modified>
</cp:coreProperties>
</file>