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5A" w:rsidRDefault="00697D5A" w:rsidP="00697D5A">
      <w:pPr>
        <w:pStyle w:val="Default"/>
        <w:rPr>
          <w:b/>
          <w:bCs/>
          <w:sz w:val="48"/>
          <w:szCs w:val="48"/>
        </w:rPr>
      </w:pPr>
      <w:bookmarkStart w:id="0" w:name="_GoBack"/>
      <w:bookmarkEnd w:id="0"/>
    </w:p>
    <w:p w:rsidR="00697D5A" w:rsidRDefault="00697D5A" w:rsidP="00697D5A">
      <w:pPr>
        <w:pStyle w:val="Default"/>
        <w:jc w:val="center"/>
        <w:rPr>
          <w:b/>
          <w:bCs/>
          <w:sz w:val="48"/>
          <w:szCs w:val="48"/>
        </w:rPr>
      </w:pPr>
      <w:r>
        <w:rPr>
          <w:i/>
          <w:noProof/>
          <w:sz w:val="18"/>
          <w:szCs w:val="18"/>
          <w:lang w:eastAsia="pl-PL"/>
        </w:rPr>
        <w:drawing>
          <wp:inline distT="0" distB="0" distL="0" distR="0" wp14:anchorId="0BE7AA32" wp14:editId="5178F55D">
            <wp:extent cx="8123315" cy="790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137" cy="791044"/>
                    </a:xfrm>
                    <a:prstGeom prst="rect">
                      <a:avLst/>
                    </a:prstGeom>
                    <a:noFill/>
                  </pic:spPr>
                </pic:pic>
              </a:graphicData>
            </a:graphic>
          </wp:inline>
        </w:drawing>
      </w:r>
    </w:p>
    <w:p w:rsidR="00697D5A" w:rsidRDefault="00697D5A" w:rsidP="00697D5A">
      <w:pPr>
        <w:pStyle w:val="Default"/>
        <w:jc w:val="center"/>
        <w:rPr>
          <w:b/>
          <w:bCs/>
          <w:sz w:val="48"/>
          <w:szCs w:val="48"/>
        </w:rPr>
      </w:pPr>
    </w:p>
    <w:p w:rsidR="00697D5A" w:rsidRDefault="00697D5A" w:rsidP="00697D5A">
      <w:pPr>
        <w:pStyle w:val="Default"/>
        <w:jc w:val="center"/>
        <w:rPr>
          <w:b/>
          <w:bCs/>
          <w:sz w:val="48"/>
          <w:szCs w:val="48"/>
        </w:rPr>
      </w:pPr>
    </w:p>
    <w:p w:rsidR="00697D5A" w:rsidRPr="00DC5EB1" w:rsidRDefault="00697D5A" w:rsidP="00697D5A">
      <w:pPr>
        <w:pStyle w:val="Default"/>
        <w:spacing w:line="271" w:lineRule="auto"/>
        <w:jc w:val="center"/>
        <w:rPr>
          <w:b/>
          <w:bCs/>
          <w:color w:val="auto"/>
          <w:sz w:val="48"/>
          <w:szCs w:val="48"/>
        </w:rPr>
      </w:pPr>
      <w:r w:rsidRPr="00DC5EB1">
        <w:rPr>
          <w:b/>
          <w:bCs/>
          <w:color w:val="auto"/>
          <w:sz w:val="48"/>
          <w:szCs w:val="48"/>
        </w:rPr>
        <w:t>KRYTERIA WYBORU PROJEKTÓW DLA DZIAŁANIA</w:t>
      </w:r>
    </w:p>
    <w:p w:rsidR="00697D5A" w:rsidRPr="00DC5EB1" w:rsidRDefault="00697D5A" w:rsidP="00697D5A">
      <w:pPr>
        <w:pStyle w:val="Default"/>
        <w:spacing w:line="271" w:lineRule="auto"/>
        <w:jc w:val="center"/>
        <w:rPr>
          <w:color w:val="auto"/>
          <w:sz w:val="48"/>
          <w:szCs w:val="48"/>
        </w:rPr>
      </w:pPr>
      <w:r w:rsidRPr="009424A4">
        <w:rPr>
          <w:b/>
          <w:bCs/>
          <w:color w:val="auto"/>
          <w:sz w:val="48"/>
          <w:szCs w:val="48"/>
        </w:rPr>
        <w:t>12.</w:t>
      </w:r>
      <w:r>
        <w:rPr>
          <w:b/>
          <w:bCs/>
          <w:color w:val="auto"/>
          <w:sz w:val="48"/>
          <w:szCs w:val="48"/>
        </w:rPr>
        <w:t>2.</w:t>
      </w:r>
      <w:r w:rsidRPr="009424A4">
        <w:rPr>
          <w:b/>
          <w:bCs/>
          <w:color w:val="auto"/>
          <w:sz w:val="48"/>
          <w:szCs w:val="48"/>
        </w:rPr>
        <w:t xml:space="preserve">1  </w:t>
      </w:r>
      <w:r w:rsidRPr="006B6D95">
        <w:rPr>
          <w:b/>
          <w:bCs/>
          <w:color w:val="auto"/>
          <w:sz w:val="48"/>
          <w:szCs w:val="48"/>
        </w:rPr>
        <w:t>EFEKTYWNOŚĆ ENERGETYCZNA W BUDYNKACH PUBLICZNYCH W RAMACH REACT-EU</w:t>
      </w:r>
      <w:r w:rsidRPr="00DC5EB1">
        <w:rPr>
          <w:b/>
          <w:bCs/>
          <w:color w:val="auto"/>
          <w:sz w:val="48"/>
          <w:szCs w:val="48"/>
        </w:rPr>
        <w:t xml:space="preserve"> W RAMACH RPO WO 2014-2020</w:t>
      </w:r>
    </w:p>
    <w:p w:rsidR="00697D5A" w:rsidRDefault="00697D5A" w:rsidP="00697D5A">
      <w:pPr>
        <w:jc w:val="center"/>
        <w:rPr>
          <w:b/>
          <w:bCs/>
          <w:sz w:val="44"/>
          <w:szCs w:val="44"/>
        </w:rPr>
      </w:pPr>
      <w:r w:rsidRPr="00DC5EB1">
        <w:rPr>
          <w:b/>
          <w:bCs/>
          <w:sz w:val="44"/>
          <w:szCs w:val="44"/>
        </w:rPr>
        <w:t xml:space="preserve">ZAKRES: EUROPEJSKI FUNDUSZ </w:t>
      </w:r>
      <w:r>
        <w:rPr>
          <w:b/>
          <w:bCs/>
          <w:sz w:val="44"/>
          <w:szCs w:val="44"/>
        </w:rPr>
        <w:t>ROZWOJU REGIONALNEGO</w:t>
      </w:r>
    </w:p>
    <w:p w:rsidR="00697D5A" w:rsidRDefault="00697D5A" w:rsidP="00697D5A">
      <w:pPr>
        <w:rPr>
          <w:b/>
          <w:bCs/>
          <w:sz w:val="44"/>
          <w:szCs w:val="44"/>
        </w:rPr>
      </w:pPr>
    </w:p>
    <w:p w:rsidR="00697D5A" w:rsidRDefault="00697D5A" w:rsidP="00697D5A">
      <w:pPr>
        <w:rPr>
          <w:b/>
          <w:bCs/>
          <w:sz w:val="44"/>
          <w:szCs w:val="44"/>
        </w:rPr>
      </w:pPr>
    </w:p>
    <w:p w:rsidR="00697D5A" w:rsidRDefault="00697D5A" w:rsidP="00697D5A">
      <w:pPr>
        <w:rPr>
          <w:b/>
          <w:bCs/>
          <w:sz w:val="44"/>
          <w:szCs w:val="44"/>
        </w:rPr>
      </w:pPr>
    </w:p>
    <w:p w:rsidR="00697D5A" w:rsidRDefault="00697D5A" w:rsidP="00697D5A">
      <w:pPr>
        <w:jc w:val="center"/>
        <w:rPr>
          <w:sz w:val="24"/>
          <w:szCs w:val="24"/>
        </w:rPr>
      </w:pPr>
      <w:r w:rsidRPr="009C74E2">
        <w:rPr>
          <w:sz w:val="24"/>
          <w:szCs w:val="24"/>
        </w:rPr>
        <w:t xml:space="preserve">OPOLE, </w:t>
      </w:r>
      <w:r>
        <w:rPr>
          <w:sz w:val="24"/>
          <w:szCs w:val="24"/>
        </w:rPr>
        <w:t>LISTOPAD</w:t>
      </w:r>
      <w:r w:rsidRPr="009C74E2">
        <w:rPr>
          <w:sz w:val="24"/>
          <w:szCs w:val="24"/>
        </w:rPr>
        <w:t xml:space="preserve"> 20</w:t>
      </w:r>
      <w:r>
        <w:rPr>
          <w:sz w:val="24"/>
          <w:szCs w:val="24"/>
        </w:rPr>
        <w:t>21</w:t>
      </w:r>
      <w:r w:rsidRPr="009C74E2">
        <w:rPr>
          <w:sz w:val="24"/>
          <w:szCs w:val="24"/>
        </w:rPr>
        <w:t xml:space="preserve"> r.</w:t>
      </w:r>
    </w:p>
    <w:p w:rsidR="00697D5A" w:rsidRDefault="00697D5A" w:rsidP="00697D5A">
      <w:pPr>
        <w:jc w:val="center"/>
        <w:rPr>
          <w:sz w:val="24"/>
          <w:szCs w:val="24"/>
        </w:rPr>
      </w:pPr>
    </w:p>
    <w:p w:rsidR="00697D5A" w:rsidRDefault="00697D5A" w:rsidP="00697D5A">
      <w:pPr>
        <w:jc w:val="center"/>
        <w:rPr>
          <w:sz w:val="24"/>
          <w:szCs w:val="24"/>
        </w:rPr>
      </w:pPr>
    </w:p>
    <w:p w:rsidR="00697D5A" w:rsidRDefault="00697D5A" w:rsidP="00697D5A">
      <w:pPr>
        <w:jc w:val="center"/>
        <w:rPr>
          <w:sz w:val="24"/>
          <w:szCs w:val="24"/>
        </w:rPr>
      </w:pPr>
    </w:p>
    <w:p w:rsidR="00697D5A" w:rsidRPr="009C74E2" w:rsidRDefault="00697D5A" w:rsidP="00697D5A">
      <w:pPr>
        <w:jc w:val="center"/>
        <w:rPr>
          <w:sz w:val="24"/>
          <w:szCs w:val="24"/>
        </w:rPr>
      </w:pPr>
    </w:p>
    <w:p w:rsidR="00697D5A" w:rsidRDefault="00697D5A" w:rsidP="00697D5A">
      <w:pPr>
        <w:jc w:val="center"/>
      </w:pPr>
    </w:p>
    <w:tbl>
      <w:tblPr>
        <w:tblW w:w="1431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421"/>
        <w:gridCol w:w="2693"/>
        <w:gridCol w:w="1559"/>
        <w:gridCol w:w="1276"/>
        <w:gridCol w:w="8363"/>
      </w:tblGrid>
      <w:tr w:rsidR="00697D5A" w:rsidRPr="006B6D95" w:rsidTr="003C3255">
        <w:trPr>
          <w:trHeight w:val="310"/>
          <w:jc w:val="center"/>
        </w:trPr>
        <w:tc>
          <w:tcPr>
            <w:tcW w:w="3114" w:type="dxa"/>
            <w:gridSpan w:val="2"/>
            <w:shd w:val="clear" w:color="auto" w:fill="D9D9D9"/>
            <w:vAlign w:val="center"/>
          </w:tcPr>
          <w:p w:rsidR="00697D5A" w:rsidRPr="006B6D95" w:rsidRDefault="00697D5A" w:rsidP="003C3255">
            <w:pPr>
              <w:spacing w:after="0" w:line="240" w:lineRule="auto"/>
              <w:ind w:right="34"/>
              <w:jc w:val="both"/>
              <w:rPr>
                <w:rFonts w:ascii="Calibri" w:eastAsia="Times New Roman" w:hAnsi="Calibri" w:cs="Times New Roman"/>
                <w:b/>
                <w:color w:val="000099"/>
                <w:lang w:eastAsia="pl-PL"/>
              </w:rPr>
            </w:pPr>
            <w:r w:rsidRPr="006B6D95">
              <w:rPr>
                <w:rFonts w:ascii="Times New Roman" w:eastAsia="Times New Roman" w:hAnsi="Times New Roman" w:cs="Times New Roman"/>
                <w:b/>
                <w:sz w:val="36"/>
                <w:szCs w:val="36"/>
              </w:rPr>
              <w:br w:type="page"/>
            </w:r>
            <w:r w:rsidRPr="006B6D95">
              <w:rPr>
                <w:rFonts w:ascii="Calibri" w:eastAsia="Times New Roman" w:hAnsi="Calibri" w:cs="Times New Roman"/>
                <w:b/>
                <w:color w:val="000099"/>
                <w:lang w:eastAsia="pl-PL"/>
              </w:rPr>
              <w:t xml:space="preserve">Oś priorytetowa </w:t>
            </w:r>
          </w:p>
        </w:tc>
        <w:tc>
          <w:tcPr>
            <w:tcW w:w="11198" w:type="dxa"/>
            <w:gridSpan w:val="3"/>
            <w:shd w:val="clear" w:color="auto" w:fill="D9D9D9"/>
            <w:vAlign w:val="center"/>
          </w:tcPr>
          <w:p w:rsidR="00697D5A" w:rsidRPr="006B6D95" w:rsidRDefault="00697D5A" w:rsidP="003C3255">
            <w:pPr>
              <w:spacing w:after="0" w:line="240" w:lineRule="auto"/>
              <w:ind w:right="1111"/>
              <w:jc w:val="both"/>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XII Wsparcie w ramach REACT-EU w województwie opolskim</w:t>
            </w:r>
          </w:p>
        </w:tc>
      </w:tr>
      <w:tr w:rsidR="00697D5A" w:rsidRPr="006B6D95" w:rsidTr="003C3255">
        <w:trPr>
          <w:trHeight w:val="272"/>
          <w:jc w:val="center"/>
        </w:trPr>
        <w:tc>
          <w:tcPr>
            <w:tcW w:w="3114" w:type="dxa"/>
            <w:gridSpan w:val="2"/>
            <w:shd w:val="clear" w:color="auto" w:fill="D9D9D9"/>
            <w:vAlign w:val="center"/>
          </w:tcPr>
          <w:p w:rsidR="00697D5A" w:rsidRPr="006B6D95" w:rsidRDefault="00697D5A" w:rsidP="003C3255">
            <w:pPr>
              <w:spacing w:after="0" w:line="240" w:lineRule="auto"/>
              <w:ind w:right="34"/>
              <w:jc w:val="both"/>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Działanie</w:t>
            </w:r>
          </w:p>
        </w:tc>
        <w:tc>
          <w:tcPr>
            <w:tcW w:w="11198" w:type="dxa"/>
            <w:gridSpan w:val="3"/>
            <w:shd w:val="clear" w:color="auto" w:fill="D9D9D9"/>
            <w:vAlign w:val="center"/>
          </w:tcPr>
          <w:p w:rsidR="00697D5A" w:rsidRPr="006B6D95" w:rsidRDefault="00697D5A" w:rsidP="003C3255">
            <w:pPr>
              <w:spacing w:after="0" w:line="240" w:lineRule="auto"/>
              <w:ind w:right="1111"/>
              <w:jc w:val="both"/>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t>
            </w:r>
          </w:p>
        </w:tc>
      </w:tr>
      <w:tr w:rsidR="00697D5A" w:rsidRPr="006B6D95" w:rsidTr="003C3255">
        <w:trPr>
          <w:trHeight w:val="275"/>
          <w:jc w:val="center"/>
        </w:trPr>
        <w:tc>
          <w:tcPr>
            <w:tcW w:w="3114" w:type="dxa"/>
            <w:gridSpan w:val="2"/>
            <w:shd w:val="clear" w:color="auto" w:fill="D9D9D9"/>
            <w:vAlign w:val="center"/>
          </w:tcPr>
          <w:p w:rsidR="00697D5A" w:rsidRPr="006B6D95" w:rsidRDefault="00697D5A" w:rsidP="003C3255">
            <w:pPr>
              <w:spacing w:after="0" w:line="240" w:lineRule="auto"/>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Poddziałanie</w:t>
            </w:r>
          </w:p>
        </w:tc>
        <w:tc>
          <w:tcPr>
            <w:tcW w:w="11198" w:type="dxa"/>
            <w:gridSpan w:val="3"/>
            <w:shd w:val="clear" w:color="auto" w:fill="D9D9D9"/>
            <w:vAlign w:val="center"/>
          </w:tcPr>
          <w:p w:rsidR="00697D5A" w:rsidRPr="006B6D95" w:rsidRDefault="00697D5A" w:rsidP="003C3255">
            <w:pPr>
              <w:spacing w:after="0" w:line="240" w:lineRule="auto"/>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12.2.1 Efektywność energetyczna w budynkach publicznych w ramach REACT-EU</w:t>
            </w:r>
          </w:p>
        </w:tc>
      </w:tr>
      <w:tr w:rsidR="00697D5A" w:rsidRPr="006B6D95" w:rsidTr="003C3255">
        <w:trPr>
          <w:trHeight w:val="1665"/>
          <w:jc w:val="center"/>
        </w:trPr>
        <w:tc>
          <w:tcPr>
            <w:tcW w:w="14312" w:type="dxa"/>
            <w:gridSpan w:val="5"/>
            <w:shd w:val="clear" w:color="auto" w:fill="CCFF66"/>
            <w:vAlign w:val="center"/>
          </w:tcPr>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Głęboka modernizacja energetyczna budynków użyteczności publicznej wraz z wymianą wyposażenia tych obiektów na energooszczędne, w tym m.in.:</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a) ocieplenie obiektu,</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b) wymiana okien, drzwi zewnętrznych oraz oświetlenia na energooszczędne,</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 xml:space="preserve">c) przebudowa systemów grzewczych (wraz z wymianą i podłączeniem do źródła ciepła), systemów wentylacji i klimatyzacji, </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d) instalacja OZE w modernizowanych energetycznie budynkach,</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e) instalacja systemów chłodzących, w tym również z OZE.</w:t>
            </w:r>
          </w:p>
        </w:tc>
      </w:tr>
      <w:tr w:rsidR="00697D5A" w:rsidRPr="006B6D95" w:rsidTr="003C3255">
        <w:trPr>
          <w:trHeight w:val="397"/>
          <w:jc w:val="center"/>
        </w:trPr>
        <w:tc>
          <w:tcPr>
            <w:tcW w:w="14312" w:type="dxa"/>
            <w:gridSpan w:val="5"/>
            <w:shd w:val="clear" w:color="auto" w:fill="CCFF66"/>
            <w:vAlign w:val="center"/>
          </w:tcPr>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Audyty energetyczne dla sektora publicznego jako element kompleksowy projektu.</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857"/>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Lokalizacja projektu</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Wsparciem mogą zostać objęte wyłącznie podmioty realizujące projekt na obszarze województwa opolskiego za wyjątkiem obszaru Aglomeracji Opolskiej.</w:t>
            </w:r>
          </w:p>
        </w:tc>
      </w:tr>
      <w:tr w:rsidR="00697D5A" w:rsidRPr="006B6D95" w:rsidTr="003C3255">
        <w:trPr>
          <w:trHeight w:val="1111"/>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2.</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Inwestycja wynikająca </w:t>
            </w:r>
            <w:r w:rsidRPr="006B6D95">
              <w:rPr>
                <w:rFonts w:ascii="Calibri" w:eastAsia="Times New Roman" w:hAnsi="Calibri" w:cs="Times New Roman"/>
              </w:rPr>
              <w:br/>
              <w:t>z Planu Gospodarki Niskoemisyjnej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Inwestycje realizowane w ramach projektu wynikają z Planu Gospodarki Niskoemisyjnej dla obszaru, na którym realizowany jest projekt.</w:t>
            </w:r>
          </w:p>
        </w:tc>
      </w:tr>
      <w:tr w:rsidR="00697D5A" w:rsidRPr="006B6D95" w:rsidTr="003C3255">
        <w:trPr>
          <w:trHeight w:val="1140"/>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3.</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Realizacja projektu w oparciu o audyt energetyczny</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Wsparciem zostaną objęte wyłącznie  podmioty realizujące inwestycje, które zostały poprzedzone przeprowadzeniem audytu energetycznego.</w:t>
            </w:r>
          </w:p>
        </w:tc>
      </w:tr>
      <w:tr w:rsidR="00697D5A" w:rsidRPr="006B6D95" w:rsidTr="003C3255">
        <w:trPr>
          <w:trHeight w:val="1883"/>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lastRenderedPageBreak/>
              <w:t>4.</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Ograniczenie emisji zanieczyszczeń</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Projekt przyczynia się do redukcji emisji gazów cieplarnianych mierzonej jako ekwiwalent CO</w:t>
            </w:r>
            <w:r w:rsidRPr="006B6D95">
              <w:rPr>
                <w:rFonts w:ascii="Calibri" w:eastAsia="Times New Roman" w:hAnsi="Calibri" w:cs="Times New Roman"/>
                <w:vertAlign w:val="subscript"/>
              </w:rPr>
              <w:t>2</w:t>
            </w:r>
            <w:r w:rsidRPr="006B6D95">
              <w:rPr>
                <w:rFonts w:ascii="Calibri" w:eastAsia="Times New Roman" w:hAnsi="Calibri" w:cs="Times New Roman"/>
              </w:rPr>
              <w:t>. Analizie poddane zostaną dane wynikające z Planu Gospodarki Niskoemisyjnej, audytu energetycznego oraz wniosku o dofinansowanie (wybór i określenie wartości docelowej innej niż zero dla wskaźnika „Szacowany roczny spadek emisji gazów cieplarnianych”).</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1611"/>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5.</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Efektywność ekonomiczna</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tc>
      </w:tr>
      <w:tr w:rsidR="00697D5A" w:rsidRPr="006B6D95" w:rsidTr="003C3255">
        <w:trPr>
          <w:trHeight w:val="1408"/>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6.</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Poprawa efektywności energetycznej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Dofinansowanie uzyskają projekty, w efekcie których osiągnięta zostanie oszczędność energii na poziomie co najmniej 25%, potwierdzona wynikami audytu energetycznego. </w:t>
            </w:r>
            <w:r>
              <w:rPr>
                <w:rFonts w:ascii="Calibri" w:eastAsia="Times New Roman" w:hAnsi="Calibri" w:cs="Times New Roman"/>
              </w:rPr>
              <w:br/>
            </w:r>
            <w:r w:rsidRPr="006B6D95">
              <w:rPr>
                <w:rFonts w:ascii="Calibri" w:eastAsia="Times New Roman" w:hAnsi="Calibri" w:cs="Times New Roman"/>
              </w:rPr>
              <w:t xml:space="preserve">W obliczeniach należy uwzględnić zapotrzebowanie na energię cieplną końcową (na potrzeby ogrzewania i przygotowania c.w.u.) i elektryczną (np. pomocniczą, związaną </w:t>
            </w:r>
            <w:r>
              <w:rPr>
                <w:rFonts w:ascii="Calibri" w:eastAsia="Times New Roman" w:hAnsi="Calibri" w:cs="Times New Roman"/>
              </w:rPr>
              <w:br/>
            </w:r>
            <w:r w:rsidRPr="006B6D95">
              <w:rPr>
                <w:rFonts w:ascii="Calibri" w:eastAsia="Times New Roman" w:hAnsi="Calibri" w:cs="Times New Roman"/>
              </w:rPr>
              <w:t>z oświetleniem).</w:t>
            </w:r>
          </w:p>
        </w:tc>
      </w:tr>
      <w:tr w:rsidR="00697D5A" w:rsidRPr="006B6D95" w:rsidTr="003C3255">
        <w:trPr>
          <w:trHeight w:val="850"/>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7.</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Redukcja emisji CO</w:t>
            </w:r>
            <w:r w:rsidRPr="006B6D95">
              <w:rPr>
                <w:rFonts w:ascii="Calibri" w:eastAsia="Times New Roman" w:hAnsi="Calibri" w:cs="Times New Roman"/>
                <w:vertAlign w:val="subscript"/>
              </w:rPr>
              <w:t>2</w:t>
            </w:r>
            <w:r w:rsidRPr="006B6D95">
              <w:rPr>
                <w:rFonts w:ascii="Calibri" w:eastAsia="Times New Roman" w:hAnsi="Calibri" w:cs="Times New Roman"/>
              </w:rPr>
              <w:t xml:space="preserve"> (dotyczy projektów, w efekcie których wymienione zostaną indywidualne źródła ciepła)</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Dofinansowanie uzyskają projekty związane z wymianą indywidualnego źródła ciepła jeśli skutkują redukcją emisji CO</w:t>
            </w:r>
            <w:r w:rsidRPr="006B6D95">
              <w:rPr>
                <w:rFonts w:ascii="Calibri" w:eastAsia="Times New Roman" w:hAnsi="Calibri" w:cs="Times New Roman"/>
                <w:vertAlign w:val="subscript"/>
              </w:rPr>
              <w:t>2</w:t>
            </w:r>
            <w:r w:rsidRPr="006B6D95">
              <w:rPr>
                <w:rFonts w:ascii="Calibri" w:eastAsia="Times New Roman" w:hAnsi="Calibri" w:cs="Times New Roman"/>
              </w:rPr>
              <w:t xml:space="preserve"> w odniesieniu do istniejących instalacji (o co najmniej 30% w przypadku zmiany spalanego paliwa).</w:t>
            </w:r>
          </w:p>
        </w:tc>
      </w:tr>
      <w:tr w:rsidR="00697D5A" w:rsidRPr="006B6D95" w:rsidTr="003C3255">
        <w:trPr>
          <w:trHeight w:val="3727"/>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lastRenderedPageBreak/>
              <w:t>8.</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Modernizacja energetyczna budynków użyteczności publicznej, w których prowadzona jest działalność lecznicza w zakresie leczenia szpitalnego (dotyczy projektów zakładających termomodernizację budynków ochrony zdrowia w zakresie leczenia szpitalnego)</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Inwestycje dotyczące modernizacji energetycznej budynków użyteczności publicznej, </w:t>
            </w:r>
            <w:r>
              <w:rPr>
                <w:rFonts w:ascii="Calibri" w:eastAsia="Times New Roman" w:hAnsi="Calibri" w:cs="Times New Roman"/>
              </w:rPr>
              <w:br/>
            </w:r>
            <w:r w:rsidRPr="006B6D95">
              <w:rPr>
                <w:rFonts w:ascii="Calibri" w:eastAsia="Times New Roman" w:hAnsi="Calibri" w:cs="Times New Roman"/>
              </w:rPr>
              <w:t>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na podstawie przeprowadzonej przez wnioskodawcę analizy projektu w kontekście właściwej mapy potrzeb, zawartej we wniosku o dofinansowanie</w:t>
            </w:r>
            <w:r>
              <w:rPr>
                <w:rFonts w:ascii="Calibri" w:eastAsia="Times New Roman" w:hAnsi="Calibri" w:cs="Times New Roman"/>
              </w:rPr>
              <w:t>.</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2745"/>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9.</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Modernizacja energetyczna budynków użyteczności publicznej, </w:t>
            </w:r>
            <w:r w:rsidRPr="006B6D95">
              <w:rPr>
                <w:rFonts w:ascii="Calibri" w:eastAsia="Times New Roman" w:hAnsi="Calibri" w:cs="Arial"/>
              </w:rPr>
              <w:t>w których prowadzona jest działalność lecznicza w zakresie POZ lub AOS</w:t>
            </w:r>
            <w:r w:rsidRPr="006B6D95">
              <w:rPr>
                <w:rFonts w:ascii="Calibri" w:eastAsia="Times New Roman" w:hAnsi="Calibri" w:cs="Times New Roman"/>
              </w:rPr>
              <w:t xml:space="preserve"> (dotyczy projektów zakładających termomodernizację budynków ochrony zdrowia w zakresie POZ lub AOS)</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Inwestycje dotyczące modernizacji energetycznej budynków użyteczności publicznej, </w:t>
            </w:r>
            <w:r>
              <w:rPr>
                <w:rFonts w:ascii="Calibri" w:eastAsia="Times New Roman" w:hAnsi="Calibri" w:cs="Times New Roman"/>
              </w:rPr>
              <w:br/>
            </w:r>
            <w:r w:rsidRPr="006B6D95">
              <w:rPr>
                <w:rFonts w:ascii="Calibri" w:eastAsia="Times New Roman" w:hAnsi="Calibri" w:cs="Times New Roman"/>
              </w:rPr>
              <w:t xml:space="preserve">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t>
            </w:r>
            <w:r>
              <w:rPr>
                <w:rFonts w:ascii="Calibri" w:eastAsia="Times New Roman" w:hAnsi="Calibri" w:cs="Times New Roman"/>
              </w:rPr>
              <w:br/>
            </w:r>
            <w:r w:rsidRPr="006B6D95">
              <w:rPr>
                <w:rFonts w:ascii="Calibri" w:eastAsia="Times New Roman" w:hAnsi="Calibri" w:cs="Times New Roman"/>
              </w:rPr>
              <w:t>w regionie.</w:t>
            </w:r>
          </w:p>
        </w:tc>
      </w:tr>
      <w:tr w:rsidR="00697D5A" w:rsidRPr="006B6D95" w:rsidTr="003C3255">
        <w:trPr>
          <w:trHeight w:val="70"/>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10.</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Zgodność wspieranych inwestycji z przepisami </w:t>
            </w:r>
            <w:r w:rsidRPr="006B6D95">
              <w:rPr>
                <w:rFonts w:ascii="Calibri" w:eastAsia="Times New Roman" w:hAnsi="Calibri" w:cs="Times New Roman"/>
              </w:rPr>
              <w:lastRenderedPageBreak/>
              <w:t xml:space="preserve">dotyczącymi emisji zanieczyszczeń </w:t>
            </w:r>
            <w:r w:rsidR="008D1FEA">
              <w:rPr>
                <w:rFonts w:ascii="Calibri" w:eastAsia="Times New Roman" w:hAnsi="Calibri" w:cs="Times New Roman"/>
              </w:rPr>
              <w:br/>
            </w:r>
            <w:r w:rsidRPr="006B6D95">
              <w:rPr>
                <w:rFonts w:ascii="Calibri" w:eastAsia="Times New Roman" w:hAnsi="Calibri" w:cs="Times New Roman"/>
              </w:rPr>
              <w:t xml:space="preserve">i efektywności energetycznej </w:t>
            </w:r>
          </w:p>
          <w:p w:rsidR="00697D5A" w:rsidRPr="006B6D95" w:rsidRDefault="00697D5A" w:rsidP="003C3255">
            <w:pPr>
              <w:spacing w:after="0" w:line="276" w:lineRule="auto"/>
              <w:rPr>
                <w:rFonts w:ascii="Calibri" w:eastAsia="Times New Roman" w:hAnsi="Calibri" w:cs="Times New Roman"/>
              </w:rPr>
            </w:pP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lastRenderedPageBreak/>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Dofinansowanie otrzymają:</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lastRenderedPageBreak/>
              <w:t xml:space="preserve">1. Projekty, w wyniku realizacji których osiągnięto co najmniej poziom oszczędności energii </w:t>
            </w:r>
            <w:r>
              <w:rPr>
                <w:rFonts w:ascii="Calibri" w:eastAsia="Times New Roman" w:hAnsi="Calibri" w:cs="Times New Roman"/>
              </w:rPr>
              <w:br/>
            </w:r>
            <w:r w:rsidRPr="006B6D95">
              <w:rPr>
                <w:rFonts w:ascii="Calibri" w:eastAsia="Times New Roman" w:hAnsi="Calibri" w:cs="Times New Roman"/>
              </w:rPr>
              <w:t>i izolacyjności cieplnej, obowiązujący od 31 grudnia 2020 r. (w przypadku budynków zajmowanych przez władze publiczne oraz będących ich własnością od 1 stycznia 2019 r.), określony w Rozporządzeniu Ministra Infrastruktury z dnia 12 kwietnia 2002 r. w sprawie warunków technicznych, jakim powinny odpowiadać budynki i ich usytuowanie (Dz.U. 2019 poz. 1065 z późn. zm.);</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2. Projekty wykorzystujące urządzenia do ogrzewania (dotyczy projektów, w efekcie których wymienione/zmodernizowane zostaną indywidualne źródła ciepła), charakteryzujące się od początku okresu programowania obowiązującym od końca 2020 r. minimalnym poziomem efektywności energetycznej i normami emisji zanieczyszczeń, które zostały określone </w:t>
            </w:r>
            <w:r>
              <w:rPr>
                <w:rFonts w:ascii="Calibri" w:eastAsia="Times New Roman" w:hAnsi="Calibri" w:cs="Times New Roman"/>
              </w:rPr>
              <w:br/>
            </w:r>
            <w:r w:rsidRPr="006B6D95">
              <w:rPr>
                <w:rFonts w:ascii="Calibri" w:eastAsia="Times New Roman" w:hAnsi="Calibri" w:cs="Times New Roman"/>
              </w:rPr>
              <w:t>w środkach wykonawczych do dyrektywy 2009/125/WE z dnia 21 października 2009 r. ustanawiającej ogólne zasady ustalania wymogów dotyczących ekoprojektu dla produktów związanych z energią.</w:t>
            </w:r>
          </w:p>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3. Projekty, w których nie przewidziano wymiany/modernizacji indywidualnego źródła ciepła </w:t>
            </w:r>
            <w:r w:rsidRPr="006B6D95">
              <w:rPr>
                <w:rFonts w:ascii="Calibri" w:eastAsia="Times New Roman" w:hAnsi="Calibri" w:cs="Times New Roman"/>
              </w:rPr>
              <w:br/>
              <w:t>– w obiekcie będącym przedmiotem termomodernizacji wykorzystuje się już urządzenia do ogrzewania, które spełniają obowiązujące normy dotyczące emisji zanieczyszczeń.</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lastRenderedPageBreak/>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682"/>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11.</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Uzasadnienie zastosowanych źródeł ciepła (dotyczy inwestycji w kotły spalające biomasę lub ewentualnie paliwa gazowe)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sidRPr="006B6D95">
              <w:rPr>
                <w:rFonts w:ascii="Calibri" w:eastAsia="Times New Roman" w:hAnsi="Calibri" w:cs="Times New Roman"/>
                <w:color w:val="000000"/>
              </w:rPr>
              <w:t xml:space="preserve">wymiany/modernizacji indywidualnego źródła ciepła na źródło opalane paliwem gazowym lub biomasą, możliwe jest wsparcie tylko takich budynków, które spełniają normy izolacyjności ciepłej. W pozostałych przypadkach, wraz z wymianą źródła ciepła konieczne </w:t>
            </w:r>
            <w:r w:rsidRPr="006B6D95">
              <w:rPr>
                <w:rFonts w:ascii="Calibri" w:eastAsia="Times New Roman" w:hAnsi="Calibri" w:cs="Times New Roman"/>
                <w:color w:val="000000"/>
              </w:rPr>
              <w:lastRenderedPageBreak/>
              <w:t>jest wykonanie termomodernizacji (rozumianej jako poprawa izolacyjności przegród budowlanych w celu zmniejszenia zapotrzebowania na energię).</w:t>
            </w:r>
          </w:p>
        </w:tc>
      </w:tr>
    </w:tbl>
    <w:p w:rsidR="00697D5A" w:rsidRDefault="00697D5A" w:rsidP="00697D5A">
      <w:pPr>
        <w:suppressAutoHyphens/>
        <w:spacing w:after="0" w:line="240" w:lineRule="auto"/>
        <w:rPr>
          <w:rFonts w:ascii="Times New Roman" w:eastAsia="Times New Roman" w:hAnsi="Times New Roman" w:cs="Times New Roman"/>
          <w:color w:val="FF0000"/>
          <w:sz w:val="20"/>
          <w:szCs w:val="20"/>
          <w:lang w:val="x-none" w:eastAsia="zh-CN"/>
        </w:rPr>
      </w:pPr>
    </w:p>
    <w:p w:rsidR="00697D5A" w:rsidRPr="006B6D95" w:rsidRDefault="00697D5A" w:rsidP="00697D5A">
      <w:pPr>
        <w:suppressAutoHyphens/>
        <w:spacing w:after="0" w:line="240" w:lineRule="auto"/>
        <w:rPr>
          <w:rFonts w:ascii="Times New Roman" w:eastAsia="Times New Roman" w:hAnsi="Times New Roman" w:cs="Times New Roman"/>
          <w:color w:val="FF0000"/>
          <w:sz w:val="20"/>
          <w:szCs w:val="20"/>
          <w:lang w:val="x-none" w:eastAsia="zh-CN"/>
        </w:rPr>
      </w:pPr>
    </w:p>
    <w:tbl>
      <w:tblPr>
        <w:tblW w:w="1432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421"/>
        <w:gridCol w:w="1701"/>
        <w:gridCol w:w="1842"/>
        <w:gridCol w:w="709"/>
        <w:gridCol w:w="1276"/>
        <w:gridCol w:w="8374"/>
      </w:tblGrid>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2977"/>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Kryterium środowiskowe</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1-4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które w największym stopniu  wpłyną na redukcję emisji CO</w:t>
            </w:r>
            <w:r w:rsidRPr="006B6D95">
              <w:rPr>
                <w:rFonts w:ascii="Calibri" w:eastAsia="Times New Roman" w:hAnsi="Calibri" w:cs="Times New Roman"/>
                <w:vertAlign w:val="subscript"/>
              </w:rPr>
              <w:t>2</w:t>
            </w:r>
            <w:r w:rsidRPr="006B6D95">
              <w:rPr>
                <w:rFonts w:ascii="Calibri" w:eastAsia="Times New Roman" w:hAnsi="Calibri" w:cs="Times New Roman"/>
              </w:rPr>
              <w:t xml:space="preserve"> (sposób pomiaru Mg CO</w:t>
            </w:r>
            <w:r w:rsidRPr="006B6D95">
              <w:rPr>
                <w:rFonts w:ascii="Calibri" w:eastAsia="Times New Roman" w:hAnsi="Calibri" w:cs="Times New Roman"/>
                <w:vertAlign w:val="subscript"/>
              </w:rPr>
              <w:t>2</w:t>
            </w:r>
            <w:r w:rsidRPr="006B6D95">
              <w:rPr>
                <w:rFonts w:ascii="Calibri" w:eastAsia="Times New Roman" w:hAnsi="Calibri" w:cs="Times New Roman"/>
              </w:rPr>
              <w:t>/rok). Ranking w oparciu o wartość wskaźnika zadeklarowanego we wniosku o dofinansowanie projektu. Odpowiednią ilość pkt przydziela się dla określonego przedziału wartości wskaźnika. Ilość przedziałów zależy od liczby</w:t>
            </w:r>
            <w:r w:rsidRPr="006B6D95" w:rsidDel="00F96974">
              <w:rPr>
                <w:rFonts w:ascii="Calibri" w:eastAsia="Times New Roman" w:hAnsi="Calibri" w:cs="Times New Roman"/>
              </w:rPr>
              <w:t xml:space="preserve"> </w:t>
            </w:r>
            <w:r w:rsidRPr="006B6D95">
              <w:rPr>
                <w:rFonts w:ascii="Calibri" w:eastAsia="Times New Roman" w:hAnsi="Calibri" w:cs="Times New Roman"/>
              </w:rPr>
              <w:t xml:space="preserve">ocenianych projektów, </w:t>
            </w:r>
            <w:r>
              <w:rPr>
                <w:rFonts w:ascii="Calibri" w:eastAsia="Times New Roman" w:hAnsi="Calibri" w:cs="Times New Roman"/>
              </w:rPr>
              <w:br/>
            </w:r>
            <w:r w:rsidRPr="006B6D95">
              <w:rPr>
                <w:rFonts w:ascii="Calibri" w:eastAsia="Times New Roman" w:hAnsi="Calibri" w:cs="Times New Roman"/>
              </w:rPr>
              <w:t>a zakwalifikowanie do konkretnego przedziału uzależnione jest od wartości wskaźnika.</w:t>
            </w:r>
          </w:p>
        </w:tc>
      </w:tr>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4583"/>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lastRenderedPageBreak/>
              <w:t>2.</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Kryterium emisyjne</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rPr>
              <w:t xml:space="preserve">Podstawą oceny będzie analiza zapotrzebowania na energię </w:t>
            </w:r>
            <w:r>
              <w:rPr>
                <w:rFonts w:ascii="Calibri" w:eastAsia="Times New Roman" w:hAnsi="Calibri" w:cs="Times New Roman"/>
              </w:rPr>
              <w:t xml:space="preserve">przed i po realizacji projektu </w:t>
            </w:r>
            <w:r>
              <w:rPr>
                <w:rFonts w:ascii="Calibri" w:eastAsia="Times New Roman" w:hAnsi="Calibri" w:cs="Times New Roman"/>
              </w:rPr>
              <w:br/>
            </w:r>
            <w:r w:rsidRPr="006B6D95">
              <w:rPr>
                <w:rFonts w:ascii="Calibri" w:eastAsia="Times New Roman" w:hAnsi="Calibri" w:cs="Times New Roman"/>
              </w:rPr>
              <w:t>w oparciu o wykonane audyty energetyczne czy analizy osiągniętych rezultatów. Poziom redukcji CO2, zostanie wyliczony wg wzoru:</w:t>
            </w:r>
          </w:p>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b/>
                <w:bCs/>
                <w:lang w:eastAsia="pl-PL"/>
              </w:rPr>
              <w:t>Stopień redukcji</w:t>
            </w:r>
            <w:r w:rsidRPr="006B6D95">
              <w:rPr>
                <w:rFonts w:ascii="Calibri" w:eastAsia="Times New Roman" w:hAnsi="Calibri" w:cs="Times New Roman"/>
                <w:lang w:eastAsia="pl-PL"/>
              </w:rPr>
              <w:t xml:space="preserve"> = (planowana redukcja emisji / pierwot</w:t>
            </w:r>
            <w:r>
              <w:rPr>
                <w:rFonts w:ascii="Calibri" w:eastAsia="Times New Roman" w:hAnsi="Calibri" w:cs="Times New Roman"/>
                <w:lang w:eastAsia="pl-PL"/>
              </w:rPr>
              <w:t xml:space="preserve">na całkowita emisja </w:t>
            </w:r>
            <w:r>
              <w:rPr>
                <w:rFonts w:ascii="Calibri" w:eastAsia="Times New Roman" w:hAnsi="Calibri" w:cs="Times New Roman"/>
                <w:lang w:eastAsia="pl-PL"/>
              </w:rPr>
              <w:br/>
              <w:t>z budynku) </w:t>
            </w:r>
            <w:r w:rsidRPr="006B6D95">
              <w:rPr>
                <w:rFonts w:ascii="Calibri" w:eastAsia="Times New Roman" w:hAnsi="Calibri" w:cs="Times New Roman"/>
                <w:lang w:eastAsia="pl-PL"/>
              </w:rPr>
              <w:t>*100  - otrzymujemy wartość procentową z której będzie wynikało w jakim stopniu planowane prace przyczyniają się do redukcji emisji z całego obiektu.</w:t>
            </w:r>
          </w:p>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rPr>
              <w:t>Wyższą punktację otrzymają projekty z większą redukcją CO2 w stosunku do stanu sprzed realizacji projektu.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Kryterium ocenia obniżenie emisji dwutlenku węgla w wyniku przeprowadzonej głębokiej modernizacji energetycznej budynku: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&lt; 30 % – 0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≥30% &lt;  40% - 1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≥40% &lt; 50% - 2 pkt.</w:t>
            </w:r>
          </w:p>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rPr>
              <w:t>≥50% - 3 pkt.</w:t>
            </w:r>
          </w:p>
        </w:tc>
      </w:tr>
      <w:tr w:rsidR="00697D5A" w:rsidRPr="006B6D95" w:rsidTr="00697D5A">
        <w:trPr>
          <w:trHeight w:val="3764"/>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3.</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Poprawa efektywności energetycznej </w:t>
            </w:r>
            <w:r w:rsidR="008D1FEA">
              <w:rPr>
                <w:rFonts w:ascii="Calibri" w:eastAsia="Times New Roman" w:hAnsi="Calibri" w:cs="Times New Roman"/>
              </w:rPr>
              <w:br/>
            </w:r>
            <w:r w:rsidRPr="006B6D95">
              <w:rPr>
                <w:rFonts w:ascii="Calibri" w:eastAsia="Times New Roman" w:hAnsi="Calibri" w:cs="Times New Roman"/>
              </w:rPr>
              <w:t>(w %)</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120" w:line="276" w:lineRule="auto"/>
              <w:jc w:val="center"/>
              <w:rPr>
                <w:rFonts w:ascii="Calibri" w:eastAsia="Times New Roman" w:hAnsi="Calibri" w:cs="Times New Roman"/>
              </w:rPr>
            </w:pPr>
            <w:r w:rsidRPr="006B6D95">
              <w:rPr>
                <w:rFonts w:ascii="Calibri" w:eastAsia="Times New Roman" w:hAnsi="Calibri" w:cs="Times New Roman"/>
              </w:rPr>
              <w:t>1-3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w których oszczędność energii wynikająca z audytu energetycznego, w odniesieniu do stanu początkowego, obliczana dla energii końcowej – X, wynosi:</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≥25% ≤  40% - 1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&gt;40% &lt; 60% - 2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≥60% - 3 pkt.</w:t>
            </w:r>
          </w:p>
        </w:tc>
      </w:tr>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lastRenderedPageBreak/>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3543"/>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4.</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Kompleksowość projektu </w:t>
            </w:r>
            <w:r>
              <w:rPr>
                <w:rFonts w:ascii="Calibri" w:eastAsia="Times New Roman" w:hAnsi="Calibri" w:cs="Times New Roman"/>
              </w:rPr>
              <w:br/>
            </w:r>
            <w:r w:rsidRPr="006B6D95">
              <w:rPr>
                <w:rFonts w:ascii="Calibri" w:eastAsia="Times New Roman" w:hAnsi="Calibri" w:cs="Times New Roman"/>
              </w:rPr>
              <w:t xml:space="preserve">w zakresie działań zwiększających efektywność energetyczną </w:t>
            </w:r>
            <w:r>
              <w:rPr>
                <w:rFonts w:ascii="Calibri" w:eastAsia="Times New Roman" w:hAnsi="Calibri" w:cs="Times New Roman"/>
              </w:rPr>
              <w:br/>
            </w:r>
            <w:r w:rsidRPr="006B6D95">
              <w:rPr>
                <w:rFonts w:ascii="Calibri" w:eastAsia="Times New Roman" w:hAnsi="Calibri" w:cs="Times New Roman"/>
              </w:rPr>
              <w:t>z jednoczesnym wykorzystaniem OZE</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1-6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polegające na głębokiej modernizacji energetycznej budynków wraz z wykorzystaniem instalacji OZE i wymianą systemów indywidualnego ogrzewania na niskoemisyjne źródła ciepła. Punktowane będą projekty dotyczące:</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ulepszenia, w wyniku którego następuje zmniejszenie zapotrzebowania na energię końcową dostarczaną do budynku na potrzeby: ogrzewania i wentylacji, przygotowania ciepłej wody użytkowej oraz chłodzenia,</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likwidacja lokalnego źródła ciepła lub wymiana źródła ciepła na wysokosprawne poprzez wykonanie przyłącza technicznego do scentralizowanego źródła ciepła, w wyniku czego następuje zmniejszenie kosztów pozyskania ciepła dostarczanego do budynku,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całkowitej lub częściowej zamiany źródeł energii na źródła odnawialne lub zastosowanie wysokosprawnej kogeneracji,</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wymiany oświetlenia na energooszczędne.</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zastosowania systemów zarządzania energią w budynku,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tworzenia „zielonych dachów” i/lub „żyjących zielonych ścian”.</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Punkty sumuje się.</w:t>
            </w:r>
          </w:p>
        </w:tc>
      </w:tr>
      <w:tr w:rsidR="00697D5A" w:rsidRPr="006B6D95" w:rsidTr="003C3255">
        <w:trPr>
          <w:trHeight w:val="708"/>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5.</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Poprawa efektywności energetycznej </w:t>
            </w:r>
            <w:r>
              <w:rPr>
                <w:rFonts w:ascii="Calibri" w:eastAsia="Times New Roman" w:hAnsi="Calibri" w:cs="Times New Roman"/>
              </w:rPr>
              <w:br/>
            </w:r>
            <w:r w:rsidRPr="006B6D95">
              <w:rPr>
                <w:rFonts w:ascii="Calibri" w:eastAsia="Times New Roman" w:hAnsi="Calibri" w:cs="Times New Roman"/>
              </w:rPr>
              <w:t>w budynkach publicznych - nakład jednostkowy</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1-4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o największym wpływie na poprawę efektywności energetycznej w budynkach publicznych przy jednocześnie jak najniższych nakładach finansowych. Wpływ będzie mierzony wg wzoru:</w:t>
            </w:r>
          </w:p>
          <w:p w:rsidR="00697D5A" w:rsidRPr="006B6D95" w:rsidRDefault="00697D5A" w:rsidP="003C3255">
            <w:pPr>
              <w:spacing w:after="0" w:line="276" w:lineRule="auto"/>
              <w:rPr>
                <w:rFonts w:ascii="Calibri" w:eastAsia="Times New Roman" w:hAnsi="Calibri" w:cs="Times New Roman"/>
                <w:sz w:val="8"/>
                <w:szCs w:val="8"/>
              </w:rPr>
            </w:pPr>
          </w:p>
          <w:p w:rsidR="00697D5A" w:rsidRPr="006B6D95" w:rsidRDefault="00697D5A" w:rsidP="003C3255">
            <w:pPr>
              <w:spacing w:after="0" w:line="276" w:lineRule="auto"/>
              <w:rPr>
                <w:rFonts w:ascii="Calibri" w:eastAsia="Times New Roman" w:hAnsi="Calibri" w:cs="Times New Roman"/>
                <w:b/>
                <w:i/>
              </w:rPr>
            </w:pPr>
            <w:r w:rsidRPr="006B6D95">
              <w:rPr>
                <w:rFonts w:ascii="Calibri" w:eastAsia="Times New Roman" w:hAnsi="Calibri" w:cs="Times New Roman"/>
                <w:b/>
              </w:rPr>
              <w:t xml:space="preserve">Nakład jednostkowy = </w:t>
            </w:r>
            <w:r w:rsidRPr="006B6D95">
              <w:rPr>
                <w:rFonts w:ascii="Calibri" w:eastAsia="Times New Roman" w:hAnsi="Calibri" w:cs="Times New Roman"/>
                <w:b/>
                <w:i/>
              </w:rPr>
              <w:t>wartość wydatków kwalifikowanych w zł/ zwiększenie efektywności energetycznej w ramach realizacji projektu wyrażone w kWh energii końcowej , zł/kWh</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Rankingowanie wg obliczonej wartości nakładu jednostkowego. Otrzymane wartości dla poszczególnych projektów zostaną zestawione ze sobą, a następnie podzielone na cztery przedziały zgodnie z wynikami obliczonego nakładu wg ww. wzoru.</w:t>
            </w:r>
            <w:r w:rsidRPr="006B6D95">
              <w:rPr>
                <w:rFonts w:ascii="Calibri" w:eastAsia="Times New Roman" w:hAnsi="Calibri" w:cs="Times New Roman"/>
                <w:b/>
              </w:rPr>
              <w:t xml:space="preserve"> Projekty o najniższej </w:t>
            </w:r>
            <w:r w:rsidRPr="006B6D95">
              <w:rPr>
                <w:rFonts w:ascii="Calibri" w:eastAsia="Times New Roman" w:hAnsi="Calibri" w:cs="Times New Roman"/>
              </w:rPr>
              <w:t>wartości wskaźnika otrzymają najwięcej punktów. Ilość przedziałów zależy od liczby</w:t>
            </w:r>
            <w:r w:rsidRPr="006B6D95" w:rsidDel="00F96974">
              <w:rPr>
                <w:rFonts w:ascii="Calibri" w:eastAsia="Times New Roman" w:hAnsi="Calibri" w:cs="Times New Roman"/>
              </w:rPr>
              <w:t xml:space="preserve"> </w:t>
            </w:r>
            <w:r w:rsidRPr="006B6D95">
              <w:rPr>
                <w:rFonts w:ascii="Calibri" w:eastAsia="Times New Roman" w:hAnsi="Calibri" w:cs="Times New Roman"/>
              </w:rPr>
              <w:t>punktów możliwych do przyznania, a zakwalifikowanie do konkretnego przedziału uzależnione jest od wartości ilościowej nakładu jednostkowego.</w:t>
            </w:r>
          </w:p>
        </w:tc>
      </w:tr>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lastRenderedPageBreak/>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1984"/>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6.</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Udział środków własnych wyższy od minimalnego</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0-4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Wkład własny wyższy od minimalnego o:</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 5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- 0 pkt</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&gt; 5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12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- 1 pkt </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&gt; 12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20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- 2 pkt </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&gt; 20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30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- 3 pkt </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 &gt; 30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- 4 pkt</w:t>
            </w:r>
          </w:p>
          <w:p w:rsidR="00697D5A" w:rsidRPr="006B6D95" w:rsidRDefault="00697D5A" w:rsidP="003C3255">
            <w:pPr>
              <w:suppressAutoHyphens/>
              <w:spacing w:after="0" w:line="276" w:lineRule="auto"/>
              <w:rPr>
                <w:rFonts w:ascii="Calibri" w:eastAsia="Times New Roman" w:hAnsi="Calibri" w:cs="Times New Roman"/>
              </w:rPr>
            </w:pP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 punkt procentowy</w:t>
            </w:r>
          </w:p>
        </w:tc>
      </w:tr>
      <w:tr w:rsidR="00697D5A" w:rsidRPr="006B6D95" w:rsidTr="003C3255">
        <w:trPr>
          <w:trHeight w:val="1984"/>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7.</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Okres zwrotu inwestycji</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Punktowane będą projekty, dla których okres, jaki jest konieczny, aby nakłady (koszty całkowite wykazane w formularzu wniosku)  poniesione na realizację projektu zostały </w:t>
            </w:r>
            <w:r>
              <w:rPr>
                <w:rFonts w:ascii="Calibri" w:eastAsia="Times New Roman" w:hAnsi="Calibri" w:cs="Times New Roman"/>
              </w:rPr>
              <w:br/>
            </w:r>
            <w:r w:rsidRPr="006B6D95">
              <w:rPr>
                <w:rFonts w:ascii="Calibri" w:eastAsia="Times New Roman" w:hAnsi="Calibri" w:cs="Times New Roman"/>
              </w:rPr>
              <w:t>w pełni pokryte korzyściami netto wygenerowanymi w wyniku realizacji projektu  (określone w audycie energetycznym), jest najkrótszy. Okres zwrotu wynoszący:</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 30  – 0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 20 ≤ 30 lat – 1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 10 ≤ 20 lat – 2 pkt</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≤10 lat – 3 pkt</w:t>
            </w:r>
          </w:p>
        </w:tc>
      </w:tr>
      <w:tr w:rsidR="00697D5A" w:rsidRPr="006B6D95" w:rsidTr="003C3255">
        <w:trPr>
          <w:trHeight w:val="992"/>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8.</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Funkcja społeczna budynków</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 lub 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Premiowane będą projekty dotyczące budynków o znaczącej funkcji społecznej, tj. budynków, w których świadczone są usługi społeczne. </w:t>
            </w:r>
          </w:p>
          <w:p w:rsidR="00697D5A" w:rsidRPr="006B6D95" w:rsidRDefault="00697D5A" w:rsidP="003C3255">
            <w:pPr>
              <w:suppressAutoHyphens/>
              <w:spacing w:before="120" w:after="0" w:line="276" w:lineRule="auto"/>
              <w:rPr>
                <w:rFonts w:ascii="Calibri" w:eastAsia="Times New Roman" w:hAnsi="Calibri" w:cs="Times New Roman"/>
              </w:rPr>
            </w:pPr>
            <w:r w:rsidRPr="006B6D95">
              <w:rPr>
                <w:rFonts w:ascii="Calibri" w:eastAsia="Times New Roman" w:hAnsi="Calibri" w:cs="Times New Roman"/>
              </w:rPr>
              <w:t xml:space="preserve">3 pkt – budynki, w których świadczone są usługi społeczne z zakresu edukacji </w:t>
            </w:r>
            <w:r>
              <w:rPr>
                <w:rFonts w:ascii="Calibri" w:eastAsia="Times New Roman" w:hAnsi="Calibri" w:cs="Times New Roman"/>
              </w:rPr>
              <w:br/>
            </w:r>
            <w:r w:rsidRPr="006B6D95">
              <w:rPr>
                <w:rFonts w:ascii="Calibri" w:eastAsia="Times New Roman" w:hAnsi="Calibri" w:cs="Times New Roman"/>
              </w:rPr>
              <w:t>i wychowania, ochrony zdrowia, pomocy i opieki społecznej, resocjalizacji, kultury, usługi zatrudnieniowe.</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1 pkt – pozostałe budynki publiczne.</w:t>
            </w:r>
          </w:p>
        </w:tc>
      </w:tr>
      <w:tr w:rsidR="00697D5A" w:rsidRPr="006B6D95" w:rsidTr="003C3255">
        <w:trPr>
          <w:trHeight w:val="992"/>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9.</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Wsparcie udzielane przez przedsiębiorstwa usług </w:t>
            </w:r>
            <w:r w:rsidRPr="006B6D95">
              <w:rPr>
                <w:rFonts w:ascii="Calibri" w:eastAsia="Times New Roman" w:hAnsi="Calibri" w:cs="Times New Roman"/>
              </w:rPr>
              <w:lastRenderedPageBreak/>
              <w:t>energetycznych (ESCO)</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lastRenderedPageBreak/>
              <w:t xml:space="preserve">Wniosek wraz </w:t>
            </w:r>
            <w:r>
              <w:rPr>
                <w:rFonts w:ascii="Calibri" w:eastAsia="Times New Roman" w:hAnsi="Calibri" w:cs="Times New Roman"/>
              </w:rPr>
              <w:br/>
            </w:r>
            <w:r w:rsidRPr="006B6D95">
              <w:rPr>
                <w:rFonts w:ascii="Calibri" w:eastAsia="Times New Roman" w:hAnsi="Calibri" w:cs="Times New Roman"/>
              </w:rPr>
              <w:t>z załącznikami</w:t>
            </w:r>
            <w:r w:rsidRPr="006B6D95" w:rsidDel="001D3580">
              <w:rPr>
                <w:rFonts w:ascii="Calibri" w:eastAsia="Times New Roman" w:hAnsi="Calibri" w:cs="Times New Roman"/>
              </w:rPr>
              <w:t xml:space="preserve"> </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 lub 5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Premiowane będą projekty realizujące przedsięwzięcie przy udziale przedsiębiorstw usług energetycznych.</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5 pkt - projekty realizujące przedsięwzięcie przy udziale ESCO;</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0 pkt – pozostałe projekty.</w:t>
            </w:r>
          </w:p>
        </w:tc>
      </w:tr>
    </w:tbl>
    <w:p w:rsidR="0094714A" w:rsidRDefault="0094714A"/>
    <w:sectPr w:rsidR="0094714A" w:rsidSect="00697D5A">
      <w:headerReference w:type="default" r:id="rId7"/>
      <w:pgSz w:w="16838" w:h="11906" w:orient="landscape"/>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51" w:rsidRDefault="00CE2F51" w:rsidP="00CE2F51">
      <w:pPr>
        <w:spacing w:after="0" w:line="240" w:lineRule="auto"/>
      </w:pPr>
      <w:r>
        <w:separator/>
      </w:r>
    </w:p>
  </w:endnote>
  <w:endnote w:type="continuationSeparator" w:id="0">
    <w:p w:rsidR="00CE2F51" w:rsidRDefault="00CE2F51" w:rsidP="00CE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51" w:rsidRDefault="00CE2F51" w:rsidP="00CE2F51">
      <w:pPr>
        <w:spacing w:after="0" w:line="240" w:lineRule="auto"/>
      </w:pPr>
      <w:r>
        <w:separator/>
      </w:r>
    </w:p>
  </w:footnote>
  <w:footnote w:type="continuationSeparator" w:id="0">
    <w:p w:rsidR="00CE2F51" w:rsidRDefault="00CE2F51" w:rsidP="00CE2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51" w:rsidRDefault="00CE2F51" w:rsidP="00CE2F51">
    <w:pPr>
      <w:tabs>
        <w:tab w:val="center" w:pos="4536"/>
        <w:tab w:val="right" w:pos="9072"/>
      </w:tabs>
      <w:spacing w:after="60" w:line="240" w:lineRule="auto"/>
      <w:jc w:val="right"/>
      <w:rPr>
        <w:rFonts w:ascii="Calibri" w:eastAsia="Times New Roman" w:hAnsi="Calibri" w:cs="Times New Roman"/>
        <w:i/>
        <w:sz w:val="20"/>
        <w:szCs w:val="20"/>
      </w:rPr>
    </w:pPr>
    <w:r>
      <w:rPr>
        <w:rFonts w:ascii="Calibri" w:eastAsia="Times New Roman" w:hAnsi="Calibri" w:cs="Times New Roman"/>
        <w:i/>
        <w:sz w:val="20"/>
        <w:szCs w:val="20"/>
      </w:rPr>
      <w:t>Załącznik do Uchwały Nr 282</w:t>
    </w:r>
    <w:r>
      <w:rPr>
        <w:rFonts w:ascii="Calibri" w:eastAsia="Times New Roman" w:hAnsi="Calibri" w:cs="Times New Roman"/>
        <w:i/>
        <w:sz w:val="20"/>
        <w:szCs w:val="20"/>
      </w:rPr>
      <w:t>/2021 KM RPO WO 2014-2020</w:t>
    </w:r>
  </w:p>
  <w:p w:rsidR="00CE2F51" w:rsidRDefault="00CE2F51" w:rsidP="00CE2F51">
    <w:pPr>
      <w:tabs>
        <w:tab w:val="center" w:pos="4536"/>
        <w:tab w:val="right" w:pos="9072"/>
      </w:tabs>
      <w:spacing w:after="60" w:line="240" w:lineRule="auto"/>
      <w:jc w:val="right"/>
      <w:rPr>
        <w:rFonts w:ascii="Calibri" w:eastAsia="Times New Roman" w:hAnsi="Calibri" w:cs="Times New Roman"/>
        <w:sz w:val="20"/>
        <w:szCs w:val="20"/>
      </w:rPr>
    </w:pPr>
    <w:r>
      <w:rPr>
        <w:rFonts w:ascii="Calibri" w:eastAsia="Times New Roman" w:hAnsi="Calibri" w:cs="Times New Roman"/>
        <w:i/>
        <w:sz w:val="20"/>
        <w:szCs w:val="20"/>
      </w:rPr>
      <w:t xml:space="preserve">z dnia </w:t>
    </w:r>
    <w:r>
      <w:rPr>
        <w:rFonts w:ascii="Calibri" w:eastAsia="Times New Roman" w:hAnsi="Calibri" w:cs="Times New Roman"/>
        <w:i/>
        <w:sz w:val="20"/>
        <w:szCs w:val="20"/>
      </w:rPr>
      <w:t>14 grudnia</w:t>
    </w:r>
    <w:r>
      <w:rPr>
        <w:rFonts w:ascii="Calibri" w:eastAsia="Times New Roman" w:hAnsi="Calibri" w:cs="Times New Roman"/>
        <w:i/>
        <w:sz w:val="20"/>
        <w:szCs w:val="20"/>
      </w:rPr>
      <w:t xml:space="preserve"> 2021 r.</w:t>
    </w:r>
  </w:p>
  <w:p w:rsidR="00CE2F51" w:rsidRDefault="00CE2F5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5A"/>
    <w:rsid w:val="00697D5A"/>
    <w:rsid w:val="008D1FEA"/>
    <w:rsid w:val="0094714A"/>
    <w:rsid w:val="00CE2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3FC86-4B47-4A2B-9598-92833031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7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7D5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CE2F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F51"/>
  </w:style>
  <w:style w:type="paragraph" w:styleId="Stopka">
    <w:name w:val="footer"/>
    <w:basedOn w:val="Normalny"/>
    <w:link w:val="StopkaZnak"/>
    <w:uiPriority w:val="99"/>
    <w:unhideWhenUsed/>
    <w:rsid w:val="00CE2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F51"/>
  </w:style>
  <w:style w:type="paragraph" w:styleId="Tekstdymka">
    <w:name w:val="Balloon Text"/>
    <w:basedOn w:val="Normalny"/>
    <w:link w:val="TekstdymkaZnak"/>
    <w:uiPriority w:val="99"/>
    <w:semiHidden/>
    <w:unhideWhenUsed/>
    <w:rsid w:val="00CE2F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1939</Words>
  <Characters>11640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Fedynyszyn</dc:creator>
  <cp:keywords/>
  <dc:description/>
  <cp:lastModifiedBy>Barbara Łuczywo</cp:lastModifiedBy>
  <cp:revision>3</cp:revision>
  <cp:lastPrinted>2021-12-17T08:08:00Z</cp:lastPrinted>
  <dcterms:created xsi:type="dcterms:W3CDTF">2021-12-14T14:27:00Z</dcterms:created>
  <dcterms:modified xsi:type="dcterms:W3CDTF">2021-12-17T08:13:00Z</dcterms:modified>
</cp:coreProperties>
</file>