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34F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C37BFA1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</w:p>
    <w:p w14:paraId="11BF6CEA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7C21649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A84734E" w14:textId="77777777" w:rsidR="00021EBB" w:rsidRPr="00001596" w:rsidRDefault="00021EBB" w:rsidP="00021EBB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001596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</w:p>
    <w:p w14:paraId="46486614" w14:textId="1DB04F18" w:rsidR="00021EBB" w:rsidRPr="00F8033B" w:rsidRDefault="00021EBB" w:rsidP="00021EBB">
      <w:pPr>
        <w:jc w:val="center"/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</w:pPr>
      <w:r w:rsidRPr="00001596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dla </w:t>
      </w:r>
      <w:r w:rsidRPr="00F8033B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Poddziałania 9.1.</w:t>
      </w:r>
      <w:r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5</w:t>
      </w:r>
      <w:r w:rsidRPr="00F8033B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 </w:t>
      </w:r>
      <w:r w:rsidRPr="00021EBB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Program pomocy stypendialnej</w:t>
      </w:r>
      <w:r w:rsidRPr="00F8033B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 </w:t>
      </w:r>
    </w:p>
    <w:p w14:paraId="536A3AD4" w14:textId="6280F916" w:rsidR="00FB7ED0" w:rsidRPr="00136D60" w:rsidRDefault="00021EBB" w:rsidP="00021EBB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F8033B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w ramach RPO WO 2014-2020</w:t>
      </w:r>
    </w:p>
    <w:p w14:paraId="334E28F9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2A8930DB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>Opole, sierpień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2015 r.</w:t>
      </w: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7D94E035" w14:textId="77777777" w:rsidR="00FB7ED0" w:rsidRDefault="00FB7ED0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37FB40BD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lastRenderedPageBreak/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73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272"/>
        <w:gridCol w:w="1134"/>
        <w:gridCol w:w="1248"/>
        <w:gridCol w:w="28"/>
        <w:gridCol w:w="1389"/>
        <w:gridCol w:w="28"/>
        <w:gridCol w:w="1390"/>
        <w:gridCol w:w="28"/>
        <w:gridCol w:w="1846"/>
        <w:gridCol w:w="5664"/>
      </w:tblGrid>
      <w:tr w:rsidR="00C37A8F" w:rsidRPr="00BE71DE" w14:paraId="10F0E22F" w14:textId="77777777" w:rsidTr="00021EBB">
        <w:trPr>
          <w:trHeight w:val="829"/>
          <w:tblHeader/>
          <w:jc w:val="center"/>
        </w:trPr>
        <w:tc>
          <w:tcPr>
            <w:tcW w:w="70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27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7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6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E52F1A">
        <w:trPr>
          <w:trHeight w:val="521"/>
          <w:jc w:val="center"/>
        </w:trPr>
        <w:tc>
          <w:tcPr>
            <w:tcW w:w="15730" w:type="dxa"/>
            <w:gridSpan w:val="11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021EBB">
        <w:trPr>
          <w:jc w:val="center"/>
        </w:trPr>
        <w:tc>
          <w:tcPr>
            <w:tcW w:w="703" w:type="dxa"/>
            <w:tcBorders>
              <w:top w:val="single" w:sz="12" w:space="0" w:color="92D050"/>
            </w:tcBorders>
            <w:vAlign w:val="center"/>
          </w:tcPr>
          <w:p w14:paraId="3E209C4C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1.</w:t>
            </w:r>
          </w:p>
        </w:tc>
        <w:tc>
          <w:tcPr>
            <w:tcW w:w="2272" w:type="dxa"/>
            <w:tcBorders>
              <w:top w:val="single" w:sz="12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4" w:type="dxa"/>
            <w:gridSpan w:val="2"/>
            <w:tcBorders>
              <w:top w:val="single" w:sz="12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4" w:type="dxa"/>
            <w:tcBorders>
              <w:top w:val="single" w:sz="12" w:space="0" w:color="92D050"/>
            </w:tcBorders>
            <w:vAlign w:val="center"/>
          </w:tcPr>
          <w:p w14:paraId="131D0B41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 xml:space="preserve">bądź inne udogodnienia (tj. usunięcie barier w dostępie, </w:t>
            </w:r>
            <w:r w:rsidR="00803AA7" w:rsidRPr="00136D60">
              <w:br/>
            </w:r>
            <w:r w:rsidRPr="00136D60">
              <w:t>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021EBB">
        <w:trPr>
          <w:jc w:val="center"/>
        </w:trPr>
        <w:tc>
          <w:tcPr>
            <w:tcW w:w="703" w:type="dxa"/>
            <w:tcBorders>
              <w:top w:val="single" w:sz="12" w:space="0" w:color="92D050"/>
            </w:tcBorders>
            <w:vAlign w:val="center"/>
          </w:tcPr>
          <w:p w14:paraId="48ED0E24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2.</w:t>
            </w:r>
          </w:p>
        </w:tc>
        <w:tc>
          <w:tcPr>
            <w:tcW w:w="2272" w:type="dxa"/>
            <w:tcBorders>
              <w:top w:val="single" w:sz="12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4" w:type="dxa"/>
            <w:gridSpan w:val="2"/>
            <w:tcBorders>
              <w:top w:val="single" w:sz="12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4" w:type="dxa"/>
            <w:tcBorders>
              <w:top w:val="single" w:sz="12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 xml:space="preserve">publicznych, ale również np. w POIŚ przy okazji wdrażania inteligentnych systemów </w:t>
            </w:r>
            <w:r w:rsidRPr="00136D60">
              <w:lastRenderedPageBreak/>
              <w:t>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021EBB">
        <w:trPr>
          <w:trHeight w:val="5524"/>
          <w:jc w:val="center"/>
        </w:trPr>
        <w:tc>
          <w:tcPr>
            <w:tcW w:w="703" w:type="dxa"/>
            <w:tcBorders>
              <w:top w:val="single" w:sz="12" w:space="0" w:color="92D050"/>
            </w:tcBorders>
            <w:vAlign w:val="center"/>
          </w:tcPr>
          <w:p w14:paraId="055059F3" w14:textId="77777777" w:rsidR="00997070" w:rsidRPr="00D02C92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lastRenderedPageBreak/>
              <w:t>3.</w:t>
            </w:r>
          </w:p>
        </w:tc>
        <w:tc>
          <w:tcPr>
            <w:tcW w:w="2272" w:type="dxa"/>
            <w:tcBorders>
              <w:top w:val="single" w:sz="12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4" w:type="dxa"/>
            <w:gridSpan w:val="2"/>
            <w:tcBorders>
              <w:top w:val="single" w:sz="12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4" w:type="dxa"/>
            <w:tcBorders>
              <w:top w:val="single" w:sz="12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3709ECA0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>mówiące, drukarki materiałów 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8777E6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769FB6C8" w14:textId="77777777" w:rsidR="00FB7ED0" w:rsidRDefault="00FB7ED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340B05" w14:textId="77777777" w:rsidR="00FB7ED0" w:rsidRDefault="00FB7ED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2F979C1A" w14:textId="77777777" w:rsidR="00FB7ED0" w:rsidRDefault="00FB7ED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64C70C1" w14:textId="77777777" w:rsidR="00FB7ED0" w:rsidRDefault="00FB7ED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D8E77C1" w14:textId="77777777" w:rsidR="00FB7ED0" w:rsidRDefault="00FB7ED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30F94A3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7C60224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E52F1A" w:rsidRPr="00C93A1D" w14:paraId="122D2C03" w14:textId="77777777" w:rsidTr="0013609F">
        <w:trPr>
          <w:trHeight w:val="394"/>
          <w:jc w:val="center"/>
        </w:trPr>
        <w:tc>
          <w:tcPr>
            <w:tcW w:w="15730" w:type="dxa"/>
            <w:gridSpan w:val="11"/>
            <w:shd w:val="clear" w:color="auto" w:fill="auto"/>
            <w:vAlign w:val="center"/>
          </w:tcPr>
          <w:tbl>
            <w:tblPr>
              <w:tblStyle w:val="Tabela-Siatka"/>
              <w:tblW w:w="15730" w:type="dxa"/>
              <w:jc w:val="center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0"/>
            </w:tblGrid>
            <w:tr w:rsidR="00E52F1A" w:rsidRPr="00C93A1D" w14:paraId="7BC071CF" w14:textId="77777777" w:rsidTr="00EE473B">
              <w:trPr>
                <w:trHeight w:val="394"/>
                <w:jc w:val="center"/>
              </w:trPr>
              <w:tc>
                <w:tcPr>
                  <w:tcW w:w="157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D9D9D9" w:themeFill="background1" w:themeFillShade="D9"/>
                  <w:vAlign w:val="center"/>
                </w:tcPr>
                <w:p w14:paraId="0A6C6737" w14:textId="77777777" w:rsidR="00E52F1A" w:rsidRPr="00C93A1D" w:rsidRDefault="00E52F1A" w:rsidP="00E52F1A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i/>
                      <w:color w:val="0033CC"/>
                    </w:rPr>
                    <w:lastRenderedPageBreak/>
                    <w:t>Oś priorytetowa IX</w:t>
                  </w:r>
                  <w:r w:rsidRPr="002C69A3">
                    <w:rPr>
                      <w:i/>
                      <w:color w:val="0033CC"/>
                    </w:rPr>
                    <w:t xml:space="preserve">  </w:t>
                  </w:r>
                  <w:r>
                    <w:rPr>
                      <w:b/>
                      <w:i/>
                      <w:color w:val="0033CC"/>
                    </w:rPr>
                    <w:t>Wysoka jakość edukacji</w:t>
                  </w:r>
                </w:p>
              </w:tc>
            </w:tr>
            <w:tr w:rsidR="00E52F1A" w14:paraId="0CCE68A8" w14:textId="77777777" w:rsidTr="00EE473B">
              <w:trPr>
                <w:trHeight w:val="394"/>
                <w:jc w:val="center"/>
              </w:trPr>
              <w:tc>
                <w:tcPr>
                  <w:tcW w:w="157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EAF1DD" w:themeFill="accent3" w:themeFillTint="33"/>
                  <w:vAlign w:val="center"/>
                </w:tcPr>
                <w:p w14:paraId="20DB0152" w14:textId="77777777" w:rsidR="00E52F1A" w:rsidRDefault="00E52F1A" w:rsidP="00E52F1A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33CC"/>
                    </w:rPr>
                  </w:pPr>
                  <w:r w:rsidRPr="00886496">
                    <w:rPr>
                      <w:i/>
                      <w:color w:val="0033CC"/>
                    </w:rPr>
                    <w:t xml:space="preserve">Działanie 9.1 </w:t>
                  </w:r>
                  <w:r w:rsidRPr="002B32D6">
                    <w:rPr>
                      <w:b/>
                      <w:i/>
                      <w:color w:val="0033CC"/>
                    </w:rPr>
                    <w:t>Rozwój edukacji</w:t>
                  </w:r>
                </w:p>
              </w:tc>
            </w:tr>
            <w:tr w:rsidR="00E52F1A" w:rsidRPr="00C93A1D" w14:paraId="1E090B46" w14:textId="77777777" w:rsidTr="00EE473B">
              <w:trPr>
                <w:trHeight w:val="394"/>
                <w:jc w:val="center"/>
              </w:trPr>
              <w:tc>
                <w:tcPr>
                  <w:tcW w:w="157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EAF1DD" w:themeFill="accent3" w:themeFillTint="33"/>
                  <w:vAlign w:val="center"/>
                </w:tcPr>
                <w:p w14:paraId="65919B8B" w14:textId="77777777" w:rsidR="00E52F1A" w:rsidRPr="00C93A1D" w:rsidRDefault="00E52F1A" w:rsidP="00E52F1A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i/>
                      <w:color w:val="0033CC"/>
                    </w:rPr>
                    <w:t>Poddziałanie 9.1.5 Programy pomocy stypendialnej</w:t>
                  </w:r>
                </w:p>
              </w:tc>
            </w:tr>
          </w:tbl>
          <w:p w14:paraId="07599170" w14:textId="77777777" w:rsidR="00E52F1A" w:rsidRPr="00356D8C" w:rsidRDefault="00E52F1A" w:rsidP="004253A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tbl>
      <w:tblPr>
        <w:tblStyle w:val="Tabela-Siatka1"/>
        <w:tblW w:w="15734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1275"/>
        <w:gridCol w:w="1418"/>
        <w:gridCol w:w="1417"/>
        <w:gridCol w:w="1843"/>
        <w:gridCol w:w="5669"/>
      </w:tblGrid>
      <w:tr w:rsidR="00D76C1A" w:rsidRPr="00C93A1D" w14:paraId="5381AF89" w14:textId="77777777" w:rsidTr="00356414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14:paraId="735FB468" w14:textId="1F636B33" w:rsidR="00D76C1A" w:rsidRPr="0012109B" w:rsidRDefault="00C132BE" w:rsidP="00D76C1A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D76C1A">
              <w:rPr>
                <w:color w:val="17365D" w:themeColor="text2" w:themeShade="BF"/>
              </w:rPr>
              <w:t>.</w:t>
            </w:r>
          </w:p>
        </w:tc>
        <w:tc>
          <w:tcPr>
            <w:tcW w:w="241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98EFF2" w14:textId="77777777" w:rsidR="00D76C1A" w:rsidRPr="00EE473B" w:rsidRDefault="00D76C1A" w:rsidP="00D76C1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EE473B">
              <w:rPr>
                <w:rFonts w:cs="Calibri"/>
                <w:i/>
                <w:sz w:val="20"/>
                <w:szCs w:val="20"/>
              </w:rPr>
              <w:t>Liczba uczniów realizują</w:t>
            </w:r>
            <w:r>
              <w:rPr>
                <w:rFonts w:cs="Calibri"/>
                <w:i/>
                <w:sz w:val="20"/>
                <w:szCs w:val="20"/>
              </w:rPr>
              <w:t xml:space="preserve">cych indywidualny plan rozwoju </w:t>
            </w:r>
            <w:r w:rsidRPr="00EE473B">
              <w:rPr>
                <w:rFonts w:cs="Calibri"/>
                <w:i/>
                <w:sz w:val="20"/>
                <w:szCs w:val="20"/>
              </w:rPr>
              <w:t>w ramach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B39DBA0" w14:textId="77777777" w:rsidR="00D76C1A" w:rsidRPr="00FE558E" w:rsidRDefault="00D76C1A" w:rsidP="00D76C1A">
            <w:pPr>
              <w:jc w:val="center"/>
              <w:rPr>
                <w:sz w:val="18"/>
                <w:szCs w:val="18"/>
              </w:rPr>
            </w:pPr>
            <w:r w:rsidRPr="009763D1">
              <w:rPr>
                <w:sz w:val="18"/>
                <w:szCs w:val="18"/>
              </w:rPr>
              <w:t>os.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B5242" w14:textId="77777777" w:rsidR="00D76C1A" w:rsidRDefault="00D76C1A" w:rsidP="00D7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F6C3F" w14:textId="77777777" w:rsidR="00D76C1A" w:rsidRPr="00EE473B" w:rsidRDefault="00D76C1A" w:rsidP="00D76C1A">
            <w:pPr>
              <w:ind w:right="-206"/>
              <w:jc w:val="center"/>
              <w:rPr>
                <w:sz w:val="20"/>
                <w:szCs w:val="20"/>
              </w:rPr>
            </w:pPr>
            <w:r w:rsidRPr="00EE473B">
              <w:rPr>
                <w:sz w:val="20"/>
                <w:szCs w:val="20"/>
              </w:rPr>
              <w:t>obligatoryjny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85E31" w14:textId="77777777" w:rsidR="00D76C1A" w:rsidRPr="00D133A3" w:rsidRDefault="00D76C1A" w:rsidP="00D76C1A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EE473B">
              <w:rPr>
                <w:sz w:val="20"/>
                <w:szCs w:val="20"/>
              </w:rPr>
              <w:t>specyficzny</w:t>
            </w:r>
            <w:r w:rsidRPr="00D133A3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DF24536" w14:textId="29DEDCF9" w:rsidR="00D76C1A" w:rsidRDefault="00D76C1A" w:rsidP="00D76C1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8844D73" w14:textId="77777777" w:rsidR="00D76C1A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uczniów szczególnie uzdolnionych (szkół gimnazjalnych </w:t>
            </w:r>
            <w:r>
              <w:rPr>
                <w:rFonts w:cs="Arial"/>
                <w:sz w:val="20"/>
                <w:szCs w:val="20"/>
              </w:rPr>
              <w:br/>
              <w:t xml:space="preserve">i ponadgimnazjalnych kształcenia ogólnego) głównie w zakresie kierunków </w:t>
            </w:r>
            <w:proofErr w:type="spellStart"/>
            <w:r>
              <w:rPr>
                <w:rFonts w:cs="Arial"/>
                <w:sz w:val="20"/>
                <w:szCs w:val="20"/>
              </w:rPr>
              <w:t>matematyczno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przyrodniczych i technicznych napotykających na bariery finansowe w swoim rozwoju edukacyjnym objętych wsparciem bezpośrednim w ramach programu w postaci przyznania stypendium edukacyjnego.</w:t>
            </w:r>
          </w:p>
          <w:p w14:paraId="669C17E8" w14:textId="77777777" w:rsidR="00D76C1A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Stypendium przekazane jest na cele edukacyjne wyznaczone do osiągniecia w czasie jego otrzymywania zgodnie z indywidualnym planem rozwoju edukacyjnego ucznia (m.in. koszty dotyczące przygotowań do konkursów, zakup podręczników i pomocy dydaktycznych, zakwaterowanie w internacie, koszt zajęć dydaktycznych).</w:t>
            </w:r>
          </w:p>
          <w:p w14:paraId="2255E011" w14:textId="43A36FAB" w:rsidR="00D76C1A" w:rsidRPr="00C93A1D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Uczestnik wsparcia bezpośredniego to osoba, dla której można zidentyfikować i uzyskać dane osobowe niezbędne do określenia wspólnych wskaźników </w:t>
            </w:r>
            <w:r w:rsidRPr="005B4431">
              <w:rPr>
                <w:rFonts w:cs="Arial"/>
                <w:sz w:val="20"/>
                <w:szCs w:val="20"/>
              </w:rPr>
              <w:t xml:space="preserve">produktu </w:t>
            </w:r>
            <w:r w:rsidR="005B4431" w:rsidRPr="005B4431">
              <w:rPr>
                <w:rFonts w:cs="Arial"/>
                <w:sz w:val="20"/>
                <w:szCs w:val="20"/>
              </w:rPr>
              <w:t>(</w:t>
            </w:r>
            <w:r w:rsidR="005B4431">
              <w:rPr>
                <w:rFonts w:cs="Arial"/>
                <w:sz w:val="20"/>
                <w:szCs w:val="20"/>
              </w:rPr>
              <w:t xml:space="preserve">m.in. </w:t>
            </w:r>
            <w:r>
              <w:rPr>
                <w:rFonts w:cs="Arial"/>
                <w:sz w:val="20"/>
                <w:szCs w:val="20"/>
              </w:rPr>
              <w:t>płeć status zatrudnienia, wiek i wykształcenia) i dla którego planowane jest poniesienie określonego wydatku.</w:t>
            </w:r>
          </w:p>
        </w:tc>
      </w:tr>
      <w:tr w:rsidR="00D76C1A" w:rsidRPr="00021EBB" w14:paraId="65A6C614" w14:textId="77777777" w:rsidTr="005E3B62">
        <w:trPr>
          <w:trHeight w:val="4700"/>
        </w:trPr>
        <w:tc>
          <w:tcPr>
            <w:tcW w:w="567" w:type="dxa"/>
            <w:shd w:val="clear" w:color="auto" w:fill="auto"/>
            <w:vAlign w:val="center"/>
          </w:tcPr>
          <w:p w14:paraId="3137FFED" w14:textId="5A186A4C" w:rsidR="00D76C1A" w:rsidRPr="007C74A6" w:rsidRDefault="00C132BE" w:rsidP="00D76C1A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lastRenderedPageBreak/>
              <w:t>2</w:t>
            </w:r>
            <w:r w:rsidR="00D76C1A" w:rsidRPr="007C74A6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C61E2D1" w14:textId="77777777" w:rsidR="00D76C1A" w:rsidRPr="007C74A6" w:rsidRDefault="00D76C1A" w:rsidP="00D76C1A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0"/>
                <w:szCs w:val="20"/>
                <w:lang w:eastAsia="pl-PL"/>
              </w:rPr>
            </w:pPr>
            <w:r w:rsidRPr="007C74A6">
              <w:rPr>
                <w:rFonts w:cs="Calibri"/>
                <w:i/>
                <w:color w:val="000000"/>
                <w:sz w:val="20"/>
                <w:szCs w:val="20"/>
              </w:rPr>
              <w:t>Liczba osób pochodzących z obszarów wiejskich</w:t>
            </w:r>
            <w:r w:rsidRPr="007C74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2473CD9" w14:textId="77777777" w:rsidR="00D76C1A" w:rsidRPr="007C74A6" w:rsidRDefault="00D76C1A" w:rsidP="00D76C1A">
            <w:pPr>
              <w:jc w:val="center"/>
              <w:rPr>
                <w:sz w:val="18"/>
                <w:szCs w:val="18"/>
              </w:rPr>
            </w:pPr>
            <w:r w:rsidRPr="007C74A6">
              <w:rPr>
                <w:sz w:val="18"/>
                <w:szCs w:val="18"/>
              </w:rPr>
              <w:t>os.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63143" w14:textId="77777777" w:rsidR="00D76C1A" w:rsidRPr="007C74A6" w:rsidRDefault="00D76C1A" w:rsidP="00D76C1A">
            <w:pPr>
              <w:jc w:val="center"/>
              <w:rPr>
                <w:sz w:val="20"/>
                <w:szCs w:val="20"/>
              </w:rPr>
            </w:pPr>
            <w:r w:rsidRPr="007C74A6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CCEC7" w14:textId="77777777" w:rsidR="00D76C1A" w:rsidRPr="007C74A6" w:rsidRDefault="00D76C1A" w:rsidP="00D76C1A">
            <w:pPr>
              <w:ind w:right="-206"/>
              <w:jc w:val="center"/>
              <w:rPr>
                <w:sz w:val="20"/>
                <w:szCs w:val="20"/>
              </w:rPr>
            </w:pPr>
            <w:r w:rsidRPr="007C74A6">
              <w:rPr>
                <w:sz w:val="20"/>
                <w:szCs w:val="20"/>
              </w:rPr>
              <w:t>obligatoryjny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5704D" w14:textId="77777777" w:rsidR="00D76C1A" w:rsidRPr="007C74A6" w:rsidRDefault="00D76C1A" w:rsidP="00D76C1A">
            <w:pPr>
              <w:ind w:right="-206"/>
              <w:jc w:val="center"/>
              <w:rPr>
                <w:sz w:val="20"/>
                <w:szCs w:val="20"/>
              </w:rPr>
            </w:pPr>
            <w:r w:rsidRPr="007C74A6">
              <w:rPr>
                <w:sz w:val="20"/>
                <w:szCs w:val="20"/>
              </w:rPr>
              <w:t>specyficzny</w:t>
            </w:r>
          </w:p>
        </w:tc>
        <w:tc>
          <w:tcPr>
            <w:tcW w:w="1843" w:type="dxa"/>
            <w:tcBorders>
              <w:top w:val="single" w:sz="6" w:space="0" w:color="92D050"/>
              <w:bottom w:val="single" w:sz="6" w:space="0" w:color="92D050"/>
            </w:tcBorders>
            <w:vAlign w:val="center"/>
          </w:tcPr>
          <w:p w14:paraId="6F5202CD" w14:textId="78066040" w:rsidR="00D76C1A" w:rsidRDefault="00D76C1A" w:rsidP="00D76C1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C74A6">
              <w:rPr>
                <w:rFonts w:eastAsia="Calibri" w:cs="Calibri"/>
                <w:sz w:val="18"/>
                <w:szCs w:val="18"/>
              </w:rPr>
              <w:t>Wskaźnik z Ram wykonania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523F760" w14:textId="77777777" w:rsidR="00D76C1A" w:rsidRPr="0002784D" w:rsidRDefault="00D76C1A" w:rsidP="00D0243B">
            <w:pPr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Osoby pochodzące z obszarów wiejskich należy rozumieć jako osoby przebywające na obszarach słabo zaludnionych zgodnie ze stopniem urbanizacji (DEGURBA kategoria 3). Obszary słabo zaludnione to obszary, na których więcej niż 50% populacji zamieszkuje tereny wiejskie. Dane w ramach wskaźnika będą wykazane tylko raz w 2017 r.</w:t>
            </w:r>
          </w:p>
          <w:p w14:paraId="4FD5CDD4" w14:textId="77777777" w:rsidR="00D76C1A" w:rsidRPr="0002784D" w:rsidRDefault="00D76C1A" w:rsidP="00D0243B">
            <w:pPr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Uczestnik może charakteryzować się kilkoma cechami wskazującymi na szczególną sytuację. </w:t>
            </w:r>
          </w:p>
          <w:p w14:paraId="58462172" w14:textId="5756B898" w:rsidR="00D76C1A" w:rsidRPr="0002784D" w:rsidRDefault="00D76C1A" w:rsidP="00D0243B">
            <w:pPr>
              <w:ind w:left="34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Dane będą gromadzone na podstawie </w:t>
            </w:r>
            <w:proofErr w:type="spellStart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Local</w:t>
            </w:r>
            <w:proofErr w:type="spellEnd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Administrative</w:t>
            </w:r>
            <w:proofErr w:type="spellEnd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Unit </w:t>
            </w:r>
            <w:proofErr w:type="spellStart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level</w:t>
            </w:r>
            <w:proofErr w:type="spellEnd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 of LAU 2 (lokalna administracja/gminy). Kategoria 3 DEGURBY powinna być określana na podstawie:</w:t>
            </w:r>
            <w:r w:rsidR="009839E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http://ec.europa.eu/eurostat/ramon/miscellaneous/index.cfm?TargetUrl=DSP_DEGURBA  tabela z nagłówkiem "dla roku odniesienia 2012". </w:t>
            </w:r>
          </w:p>
          <w:p w14:paraId="38426198" w14:textId="65631AD1" w:rsidR="00D76C1A" w:rsidRPr="005E3B62" w:rsidRDefault="00D76C1A" w:rsidP="005E3B62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proofErr w:type="spellStart"/>
            <w:r w:rsidRPr="0002784D">
              <w:rPr>
                <w:rFonts w:eastAsia="Times New Roman" w:cs="Calibri"/>
                <w:sz w:val="20"/>
                <w:szCs w:val="20"/>
                <w:lang w:val="en-US" w:eastAsia="pl-PL"/>
              </w:rPr>
              <w:t>Źródło</w:t>
            </w:r>
            <w:proofErr w:type="spellEnd"/>
            <w:r w:rsidRPr="0002784D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: </w:t>
            </w:r>
            <w:hyperlink r:id="rId8" w:history="1">
              <w:r w:rsidRPr="0002784D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 w:eastAsia="pl-PL"/>
                </w:rPr>
                <w:t>http://epp.eurostat.ec.europa.eu/portal/page/portal/degree_urbanisation/introduction</w:t>
              </w:r>
            </w:hyperlink>
            <w:r w:rsidRPr="0002784D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hyperlink r:id="rId9" w:history="1">
              <w:r w:rsidRPr="0002784D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 w:eastAsia="pl-PL"/>
                </w:rPr>
                <w:t>http://ec.europa.eu/eurostat/ramon/documents/DEGURBA/DEGURBA_Methodology_DG_REGIO.zip</w:t>
              </w:r>
            </w:hyperlink>
            <w:r w:rsidRPr="0002784D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 (DEGURBA methodology)</w:t>
            </w:r>
            <w:r w:rsidR="005E3B62">
              <w:rPr>
                <w:rFonts w:eastAsia="Times New Roman" w:cs="Calibri"/>
                <w:sz w:val="20"/>
                <w:szCs w:val="20"/>
                <w:lang w:val="en-US" w:eastAsia="pl-PL"/>
              </w:rPr>
              <w:t>.</w:t>
            </w:r>
            <w:r w:rsidRPr="0002784D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D76C1A" w:rsidRPr="00C93A1D" w14:paraId="7E9711DD" w14:textId="77777777" w:rsidTr="00356414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14:paraId="4A09E081" w14:textId="75B2C537" w:rsidR="00D76C1A" w:rsidRPr="0012109B" w:rsidRDefault="00D76C1A" w:rsidP="00C132BE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2109B">
              <w:rPr>
                <w:b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7F69CA3" w14:textId="37090D19" w:rsidR="00D76C1A" w:rsidRPr="00EE473B" w:rsidRDefault="00D76C1A" w:rsidP="00697B05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EE473B">
              <w:rPr>
                <w:i/>
                <w:sz w:val="20"/>
                <w:szCs w:val="20"/>
                <w:lang w:eastAsia="pl-PL"/>
              </w:rPr>
              <w:t xml:space="preserve">Liczba </w:t>
            </w:r>
            <w:r w:rsidRPr="007434DF">
              <w:rPr>
                <w:i/>
                <w:sz w:val="20"/>
                <w:szCs w:val="20"/>
                <w:lang w:eastAsia="pl-PL"/>
              </w:rPr>
              <w:t xml:space="preserve">uczniów, którzy nabyli kompetencje kluczowe po opuszczeniu programu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AE40902" w14:textId="77777777" w:rsidR="00D76C1A" w:rsidRPr="00070D5E" w:rsidRDefault="00D76C1A" w:rsidP="00D76C1A">
            <w:pPr>
              <w:jc w:val="center"/>
              <w:rPr>
                <w:sz w:val="18"/>
                <w:szCs w:val="18"/>
              </w:rPr>
            </w:pPr>
            <w:r w:rsidRPr="005335A4">
              <w:rPr>
                <w:sz w:val="18"/>
                <w:szCs w:val="18"/>
              </w:rPr>
              <w:t>os.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3A6BDE" w14:textId="77777777" w:rsidR="00D76C1A" w:rsidRDefault="00D76C1A" w:rsidP="00D7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8EAD5" w14:textId="77777777" w:rsidR="00D76C1A" w:rsidRPr="00EE473B" w:rsidRDefault="00D76C1A" w:rsidP="00D76C1A">
            <w:pPr>
              <w:ind w:right="-206"/>
              <w:jc w:val="center"/>
              <w:rPr>
                <w:sz w:val="20"/>
                <w:szCs w:val="20"/>
              </w:rPr>
            </w:pPr>
            <w:r w:rsidRPr="00EE473B">
              <w:rPr>
                <w:sz w:val="20"/>
                <w:szCs w:val="20"/>
              </w:rPr>
              <w:t>obligatoryjny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65B649" w14:textId="77777777" w:rsidR="00D76C1A" w:rsidRPr="00D133A3" w:rsidRDefault="00D76C1A" w:rsidP="00D76C1A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913791">
              <w:rPr>
                <w:sz w:val="20"/>
                <w:szCs w:val="20"/>
              </w:rPr>
              <w:t>kluczowy</w:t>
            </w:r>
            <w:r w:rsidRPr="00D133A3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A0EDE3E" w14:textId="7E6F1D83" w:rsidR="00D76C1A" w:rsidRDefault="00D76C1A" w:rsidP="006D5DE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B13E8D5" w14:textId="11F3B7D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 xml:space="preserve">Liczba uczniów szkół (podstawowych, gimnazjalnych </w:t>
            </w:r>
            <w:r w:rsidR="00A55E30"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i ponadgimnazjalnych), którzy dzięki wsparciu z EFS nabyli</w:t>
            </w:r>
          </w:p>
          <w:p w14:paraId="65D7E4D4" w14:textId="4DE0750B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 xml:space="preserve">kompetencje kluczowe w zakresie określonym w </w:t>
            </w:r>
            <w:r w:rsidRPr="00723356">
              <w:rPr>
                <w:rFonts w:cs="Arial"/>
                <w:i/>
                <w:iCs/>
                <w:sz w:val="20"/>
                <w:szCs w:val="20"/>
              </w:rPr>
              <w:t xml:space="preserve">Wytycznych </w:t>
            </w:r>
            <w:r w:rsidR="00A55E3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23356">
              <w:rPr>
                <w:rFonts w:cs="Arial"/>
                <w:i/>
                <w:iCs/>
                <w:sz w:val="20"/>
                <w:szCs w:val="20"/>
              </w:rPr>
              <w:t>w zakresie zasad realizacji przedsięwzięć z udziałem</w:t>
            </w:r>
          </w:p>
          <w:p w14:paraId="267294B9" w14:textId="36F6FAD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23356">
              <w:rPr>
                <w:rFonts w:cs="Arial"/>
                <w:i/>
                <w:iCs/>
                <w:sz w:val="20"/>
                <w:szCs w:val="20"/>
              </w:rPr>
              <w:t xml:space="preserve">środków Europejskiego Funduszu Społecznego na lata 2014-2020 </w:t>
            </w:r>
            <w:r w:rsidR="00A55E3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23356">
              <w:rPr>
                <w:rFonts w:cs="Arial"/>
                <w:i/>
                <w:iCs/>
                <w:sz w:val="20"/>
                <w:szCs w:val="20"/>
              </w:rPr>
              <w:t>w obszarze edukacji.</w:t>
            </w:r>
          </w:p>
          <w:p w14:paraId="14C052C7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Fakt nabycia kompetencji odbywa się w oparciu o jednolite kryteria wypracowane na poziomie krajowym w ramach</w:t>
            </w:r>
          </w:p>
          <w:p w14:paraId="31346067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następujących etapów:</w:t>
            </w:r>
          </w:p>
          <w:p w14:paraId="41632D87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 xml:space="preserve">a) ETAP I – Zakres – zdefiniowanie w ramach wniosku </w:t>
            </w:r>
            <w:r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o dofinansowanie lub w regulaminie konkursu grupy docelowej do</w:t>
            </w:r>
          </w:p>
          <w:p w14:paraId="14D67348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objęcia wsparciem oraz wybranie obszaru interwencji EFS, który będzie poddany ocenie,</w:t>
            </w:r>
          </w:p>
          <w:p w14:paraId="02113F77" w14:textId="492A8DE8" w:rsidR="00D76C1A" w:rsidRPr="00723356" w:rsidRDefault="006257BD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b) </w:t>
            </w:r>
            <w:r w:rsidR="00D76C1A" w:rsidRPr="00723356">
              <w:rPr>
                <w:rFonts w:cs="Arial"/>
                <w:sz w:val="20"/>
                <w:szCs w:val="20"/>
              </w:rPr>
              <w:t xml:space="preserve">ETAP II – Wzorzec – zdefiniowanie we wniosku </w:t>
            </w:r>
            <w:r w:rsidR="00D76C1A">
              <w:rPr>
                <w:rFonts w:cs="Arial"/>
                <w:sz w:val="20"/>
                <w:szCs w:val="20"/>
              </w:rPr>
              <w:br/>
            </w:r>
            <w:r w:rsidR="00D76C1A" w:rsidRPr="00723356">
              <w:rPr>
                <w:rFonts w:cs="Arial"/>
                <w:sz w:val="20"/>
                <w:szCs w:val="20"/>
              </w:rPr>
              <w:t>o dofinansowanie lub w regulaminie konkursu standardu wymagań, tj.</w:t>
            </w:r>
            <w:r w:rsidR="00D76C1A">
              <w:rPr>
                <w:rFonts w:cs="Arial"/>
                <w:sz w:val="20"/>
                <w:szCs w:val="20"/>
              </w:rPr>
              <w:t xml:space="preserve"> </w:t>
            </w:r>
            <w:r w:rsidR="00D76C1A" w:rsidRPr="00723356">
              <w:rPr>
                <w:rFonts w:cs="Arial"/>
                <w:sz w:val="20"/>
                <w:szCs w:val="20"/>
              </w:rPr>
              <w:t xml:space="preserve">efektów uczenia się, które osiągną uczestnicy </w:t>
            </w:r>
            <w:r w:rsidR="00D76C1A">
              <w:rPr>
                <w:rFonts w:cs="Arial"/>
                <w:sz w:val="20"/>
                <w:szCs w:val="20"/>
              </w:rPr>
              <w:br/>
            </w:r>
            <w:r w:rsidR="00D76C1A" w:rsidRPr="00723356">
              <w:rPr>
                <w:rFonts w:cs="Arial"/>
                <w:sz w:val="20"/>
                <w:szCs w:val="20"/>
              </w:rPr>
              <w:t>w wyniku przeprowadzonych działań projektowych,</w:t>
            </w:r>
          </w:p>
          <w:p w14:paraId="6ABC7572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lastRenderedPageBreak/>
              <w:t>c) ETAP III – Ocena – przeprowadzenie weryfikacji na podstawie opracowanych kryteriów oceny po zakończeniu</w:t>
            </w:r>
          </w:p>
          <w:p w14:paraId="5AF27F9D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wsparcia udzielanego danej osobie,</w:t>
            </w:r>
          </w:p>
          <w:p w14:paraId="24169BC7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d) ETAP IV – Porównanie – porównanie uzyskanych wyników etapu III (ocena) z przyjętymi wymaganiami (określonymi</w:t>
            </w:r>
          </w:p>
          <w:p w14:paraId="1262F0CC" w14:textId="77777777" w:rsidR="00D76C1A" w:rsidRPr="00723356" w:rsidRDefault="00D76C1A" w:rsidP="00D76C1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na etapie II efektami uczenia się) po zakończeniu wsparcia udzielanego danej osobie.</w:t>
            </w:r>
          </w:p>
          <w:p w14:paraId="3770D48E" w14:textId="49EBAB90" w:rsidR="00D76C1A" w:rsidRPr="00C93A1D" w:rsidRDefault="00D76C1A" w:rsidP="0032013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Kompetencja to wyodrębn</w:t>
            </w:r>
            <w:r>
              <w:rPr>
                <w:rFonts w:cs="Arial"/>
                <w:sz w:val="20"/>
                <w:szCs w:val="20"/>
              </w:rPr>
              <w:t>iony zestaw efektów uczenia się</w:t>
            </w:r>
            <w:r w:rsidRPr="00723356">
              <w:rPr>
                <w:rFonts w:cs="Arial"/>
                <w:sz w:val="20"/>
                <w:szCs w:val="20"/>
              </w:rPr>
              <w:t>/ kształcenia. Opis kompetencji zawiera jasno określone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3356">
              <w:rPr>
                <w:rFonts w:cs="Arial"/>
                <w:sz w:val="20"/>
                <w:szCs w:val="20"/>
              </w:rPr>
              <w:t xml:space="preserve">warunki, które powinien spełniać uczestnik projektu ubiegający się </w:t>
            </w:r>
            <w:r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o nabycie kompetencji, tj. wyczerpującą informację o</w:t>
            </w:r>
            <w:r w:rsidR="00320130">
              <w:rPr>
                <w:rFonts w:cs="Arial"/>
                <w:sz w:val="20"/>
                <w:szCs w:val="20"/>
              </w:rPr>
              <w:t xml:space="preserve"> </w:t>
            </w:r>
            <w:r w:rsidRPr="00723356">
              <w:rPr>
                <w:rFonts w:cs="Arial"/>
                <w:sz w:val="20"/>
                <w:szCs w:val="20"/>
              </w:rPr>
              <w:t>efektach uczenia się dla danej kompetencji oraz kryteria i metody ich weryfikacji. Wykazywać należy wyłącznie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3356">
              <w:rPr>
                <w:rFonts w:cs="Arial"/>
                <w:sz w:val="20"/>
                <w:szCs w:val="20"/>
              </w:rPr>
              <w:t>kompetencje osiągnięte w wyniku interwencji Europejskiego Funduszu Społecznego.</w:t>
            </w:r>
          </w:p>
        </w:tc>
      </w:tr>
    </w:tbl>
    <w:p w14:paraId="2CB61CC5" w14:textId="1CE3384B" w:rsidR="00102FB7" w:rsidRPr="00326841" w:rsidRDefault="00102FB7" w:rsidP="00857ECE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7C74A6"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F16A" w14:textId="77777777" w:rsidR="002B32D6" w:rsidRDefault="002B32D6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2B32D6" w:rsidRDefault="002B32D6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2B32D6" w:rsidRDefault="002B32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E2B7A3" w14:textId="77777777" w:rsidR="002B32D6" w:rsidRDefault="002B32D6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EA45" w14:textId="77777777" w:rsidR="002B32D6" w:rsidRDefault="002B32D6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2B32D6" w:rsidRDefault="002B32D6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9EC5" w14:textId="03050EAF" w:rsidR="002B32D6" w:rsidRPr="00021EBB" w:rsidRDefault="00021EBB" w:rsidP="00021EBB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lang w:eastAsia="pl-PL"/>
      </w:rPr>
    </w:pPr>
    <w:r w:rsidRPr="00001596">
      <w:rPr>
        <w:rFonts w:eastAsiaTheme="minorEastAsia"/>
        <w:i/>
        <w:iCs/>
        <w:lang w:eastAsia="pl-PL"/>
      </w:rPr>
      <w:t xml:space="preserve">Załącznik  nr </w:t>
    </w:r>
    <w:r>
      <w:rPr>
        <w:rFonts w:eastAsiaTheme="minorEastAsia"/>
        <w:i/>
        <w:iCs/>
        <w:lang w:eastAsia="pl-PL"/>
      </w:rPr>
      <w:t>5</w:t>
    </w:r>
    <w:r w:rsidR="002374DF">
      <w:rPr>
        <w:rFonts w:eastAsiaTheme="minorEastAsia"/>
        <w:i/>
        <w:iCs/>
        <w:lang w:eastAsia="pl-PL"/>
      </w:rPr>
      <w:t xml:space="preserve"> do P</w:t>
    </w:r>
    <w:r>
      <w:rPr>
        <w:rFonts w:eastAsiaTheme="minorEastAsia"/>
        <w:i/>
        <w:iCs/>
        <w:lang w:eastAsia="pl-PL"/>
      </w:rPr>
      <w:t>oza</w:t>
    </w:r>
    <w:r w:rsidRPr="00001596">
      <w:rPr>
        <w:rFonts w:eastAsiaTheme="minorEastAsia"/>
        <w:i/>
        <w:iCs/>
        <w:lang w:eastAsia="pl-PL"/>
      </w:rPr>
      <w:t>konkurs</w:t>
    </w:r>
    <w:r>
      <w:rPr>
        <w:rFonts w:eastAsiaTheme="minorEastAsia"/>
        <w:i/>
        <w:iCs/>
        <w:lang w:eastAsia="pl-PL"/>
      </w:rPr>
      <w:t>owej procedury wyboru</w:t>
    </w:r>
    <w:r w:rsidRPr="00001596">
      <w:rPr>
        <w:rFonts w:eastAsiaTheme="minorEastAsia"/>
        <w:i/>
        <w:iCs/>
        <w:lang w:eastAsia="pl-PL"/>
      </w:rPr>
      <w:t xml:space="preserve"> projektów </w:t>
    </w:r>
    <w:r>
      <w:rPr>
        <w:rFonts w:eastAsiaTheme="minorEastAsia"/>
        <w:i/>
        <w:iCs/>
        <w:lang w:eastAsia="pl-PL"/>
      </w:rPr>
      <w:t>złożonych w ramach Osi IX Wysoka jakość edukacji</w:t>
    </w:r>
    <w:r w:rsidRPr="00001596">
      <w:rPr>
        <w:rFonts w:eastAsiaTheme="minorEastAsia"/>
        <w:i/>
        <w:iCs/>
        <w:lang w:eastAsia="pl-PL"/>
      </w:rPr>
      <w:t xml:space="preserve"> </w:t>
    </w:r>
    <w:r w:rsidRPr="00001596">
      <w:rPr>
        <w:rFonts w:eastAsiaTheme="minorEastAsia"/>
        <w:i/>
        <w:iCs/>
        <w:lang w:eastAsia="pl-PL"/>
      </w:rPr>
      <w:br/>
      <w:t xml:space="preserve">dla </w:t>
    </w:r>
    <w:r>
      <w:rPr>
        <w:rFonts w:eastAsiaTheme="minorEastAsia"/>
        <w:i/>
        <w:iCs/>
        <w:lang w:eastAsia="pl-PL"/>
      </w:rPr>
      <w:t>Poddziałania</w:t>
    </w:r>
    <w:r w:rsidRPr="00001596">
      <w:rPr>
        <w:rFonts w:eastAsiaTheme="minorEastAsia"/>
        <w:i/>
        <w:iCs/>
        <w:lang w:eastAsia="pl-PL"/>
      </w:rPr>
      <w:t xml:space="preserve"> </w:t>
    </w:r>
    <w:r>
      <w:rPr>
        <w:rFonts w:eastAsiaTheme="minorEastAsia"/>
        <w:i/>
        <w:iCs/>
        <w:lang w:eastAsia="pl-PL"/>
      </w:rPr>
      <w:t>9.1.5</w:t>
    </w:r>
    <w:r w:rsidRPr="00001596">
      <w:rPr>
        <w:rFonts w:eastAsiaTheme="minorEastAsia"/>
        <w:i/>
        <w:iCs/>
        <w:lang w:eastAsia="pl-PL"/>
      </w:rPr>
      <w:t xml:space="preserve"> </w:t>
    </w:r>
    <w:r w:rsidRPr="00021EBB">
      <w:rPr>
        <w:rFonts w:eastAsiaTheme="minorEastAsia"/>
        <w:i/>
        <w:iCs/>
        <w:lang w:eastAsia="pl-PL"/>
      </w:rPr>
      <w:t xml:space="preserve">Program pomocy stypendialnej </w:t>
    </w:r>
    <w:r w:rsidRPr="00001596">
      <w:rPr>
        <w:rFonts w:eastAsiaTheme="minorEastAsia"/>
        <w:i/>
        <w:iCs/>
        <w:lang w:eastAsia="pl-PL"/>
      </w:rPr>
      <w:t>w ramach RPO WO 2014-2020</w:t>
    </w:r>
  </w:p>
  <w:p w14:paraId="4C77B598" w14:textId="77777777" w:rsidR="002B32D6" w:rsidRDefault="002B3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C79BA"/>
    <w:multiLevelType w:val="hybridMultilevel"/>
    <w:tmpl w:val="00ECDBFA"/>
    <w:lvl w:ilvl="0" w:tplc="C1B603A8">
      <w:start w:val="2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B62EE"/>
    <w:multiLevelType w:val="hybridMultilevel"/>
    <w:tmpl w:val="2AD6AA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553A"/>
    <w:multiLevelType w:val="hybridMultilevel"/>
    <w:tmpl w:val="C10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086"/>
    <w:multiLevelType w:val="hybridMultilevel"/>
    <w:tmpl w:val="C36EE816"/>
    <w:lvl w:ilvl="0" w:tplc="B0BCA7B2">
      <w:start w:val="4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4E5A6A"/>
    <w:multiLevelType w:val="hybridMultilevel"/>
    <w:tmpl w:val="AE7402A2"/>
    <w:lvl w:ilvl="0" w:tplc="A81482A6">
      <w:start w:val="3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DA0E7F"/>
    <w:multiLevelType w:val="hybridMultilevel"/>
    <w:tmpl w:val="03263494"/>
    <w:lvl w:ilvl="0" w:tplc="2FC4D428">
      <w:start w:val="6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D3616"/>
    <w:multiLevelType w:val="hybridMultilevel"/>
    <w:tmpl w:val="7DBACCF0"/>
    <w:lvl w:ilvl="0" w:tplc="CCD8211C">
      <w:start w:val="3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6F2C50"/>
    <w:multiLevelType w:val="hybridMultilevel"/>
    <w:tmpl w:val="441C7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43"/>
  </w:num>
  <w:num w:numId="3">
    <w:abstractNumId w:val="22"/>
  </w:num>
  <w:num w:numId="4">
    <w:abstractNumId w:val="40"/>
  </w:num>
  <w:num w:numId="5">
    <w:abstractNumId w:val="18"/>
  </w:num>
  <w:num w:numId="6">
    <w:abstractNumId w:val="39"/>
  </w:num>
  <w:num w:numId="7">
    <w:abstractNumId w:val="27"/>
  </w:num>
  <w:num w:numId="8">
    <w:abstractNumId w:val="33"/>
  </w:num>
  <w:num w:numId="9">
    <w:abstractNumId w:val="19"/>
  </w:num>
  <w:num w:numId="10">
    <w:abstractNumId w:val="16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41"/>
  </w:num>
  <w:num w:numId="16">
    <w:abstractNumId w:val="34"/>
  </w:num>
  <w:num w:numId="17">
    <w:abstractNumId w:val="1"/>
  </w:num>
  <w:num w:numId="18">
    <w:abstractNumId w:val="8"/>
  </w:num>
  <w:num w:numId="19">
    <w:abstractNumId w:val="35"/>
  </w:num>
  <w:num w:numId="20">
    <w:abstractNumId w:val="15"/>
  </w:num>
  <w:num w:numId="21">
    <w:abstractNumId w:val="28"/>
  </w:num>
  <w:num w:numId="22">
    <w:abstractNumId w:val="23"/>
  </w:num>
  <w:num w:numId="23">
    <w:abstractNumId w:val="44"/>
  </w:num>
  <w:num w:numId="24">
    <w:abstractNumId w:val="3"/>
  </w:num>
  <w:num w:numId="25">
    <w:abstractNumId w:val="24"/>
  </w:num>
  <w:num w:numId="26">
    <w:abstractNumId w:val="21"/>
  </w:num>
  <w:num w:numId="27">
    <w:abstractNumId w:val="36"/>
  </w:num>
  <w:num w:numId="28">
    <w:abstractNumId w:val="32"/>
  </w:num>
  <w:num w:numId="29">
    <w:abstractNumId w:val="10"/>
  </w:num>
  <w:num w:numId="30">
    <w:abstractNumId w:val="0"/>
  </w:num>
  <w:num w:numId="31">
    <w:abstractNumId w:val="30"/>
  </w:num>
  <w:num w:numId="32">
    <w:abstractNumId w:val="14"/>
  </w:num>
  <w:num w:numId="33">
    <w:abstractNumId w:val="29"/>
  </w:num>
  <w:num w:numId="34">
    <w:abstractNumId w:val="42"/>
  </w:num>
  <w:num w:numId="35">
    <w:abstractNumId w:val="6"/>
  </w:num>
  <w:num w:numId="36">
    <w:abstractNumId w:val="5"/>
  </w:num>
  <w:num w:numId="37">
    <w:abstractNumId w:val="20"/>
  </w:num>
  <w:num w:numId="38">
    <w:abstractNumId w:val="38"/>
  </w:num>
  <w:num w:numId="39">
    <w:abstractNumId w:val="26"/>
  </w:num>
  <w:num w:numId="40">
    <w:abstractNumId w:val="12"/>
  </w:num>
  <w:num w:numId="41">
    <w:abstractNumId w:val="7"/>
  </w:num>
  <w:num w:numId="42">
    <w:abstractNumId w:val="17"/>
  </w:num>
  <w:num w:numId="43">
    <w:abstractNumId w:val="45"/>
  </w:num>
  <w:num w:numId="44">
    <w:abstractNumId w:val="4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1EBB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109B"/>
    <w:rsid w:val="00125111"/>
    <w:rsid w:val="00125597"/>
    <w:rsid w:val="00131B88"/>
    <w:rsid w:val="00136D60"/>
    <w:rsid w:val="001460B1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C6C77"/>
    <w:rsid w:val="001D103E"/>
    <w:rsid w:val="001D2DFD"/>
    <w:rsid w:val="001D330B"/>
    <w:rsid w:val="001D353F"/>
    <w:rsid w:val="001D3621"/>
    <w:rsid w:val="001D7CC3"/>
    <w:rsid w:val="001E383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B51"/>
    <w:rsid w:val="00233FAE"/>
    <w:rsid w:val="0023430F"/>
    <w:rsid w:val="002374D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32D6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4CE"/>
    <w:rsid w:val="00306C54"/>
    <w:rsid w:val="00314703"/>
    <w:rsid w:val="00316A82"/>
    <w:rsid w:val="003178FB"/>
    <w:rsid w:val="00317964"/>
    <w:rsid w:val="00320130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414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41C2"/>
    <w:rsid w:val="005156EF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4431"/>
    <w:rsid w:val="005B504A"/>
    <w:rsid w:val="005C01D2"/>
    <w:rsid w:val="005D5F43"/>
    <w:rsid w:val="005E3B62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57BD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97B0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5DE7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5901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C74A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1A0E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57ECE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496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76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839E5"/>
    <w:rsid w:val="00991562"/>
    <w:rsid w:val="00992F45"/>
    <w:rsid w:val="00993E65"/>
    <w:rsid w:val="0099519F"/>
    <w:rsid w:val="00997070"/>
    <w:rsid w:val="00997A34"/>
    <w:rsid w:val="009A1C80"/>
    <w:rsid w:val="009B1AF2"/>
    <w:rsid w:val="009B1C1D"/>
    <w:rsid w:val="009B5198"/>
    <w:rsid w:val="009B6505"/>
    <w:rsid w:val="009C4F1B"/>
    <w:rsid w:val="009C6492"/>
    <w:rsid w:val="009D26E9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7E09"/>
    <w:rsid w:val="00A406FE"/>
    <w:rsid w:val="00A4517A"/>
    <w:rsid w:val="00A55E0F"/>
    <w:rsid w:val="00A55E30"/>
    <w:rsid w:val="00A56DCC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32BE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08CD"/>
    <w:rsid w:val="00CF1602"/>
    <w:rsid w:val="00CF558C"/>
    <w:rsid w:val="00D01141"/>
    <w:rsid w:val="00D0243B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76C1A"/>
    <w:rsid w:val="00D80AAE"/>
    <w:rsid w:val="00D822A7"/>
    <w:rsid w:val="00D8458B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2F1A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B7ED0"/>
    <w:rsid w:val="00FC01D2"/>
    <w:rsid w:val="00FC4736"/>
    <w:rsid w:val="00FC4B31"/>
    <w:rsid w:val="00FC4C51"/>
    <w:rsid w:val="00FC63DC"/>
    <w:rsid w:val="00FD0483"/>
    <w:rsid w:val="00FD1A2C"/>
    <w:rsid w:val="00FD3BF5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degree_urbanisation/introdu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ramon/documents/DEGURBA/DEGURBA_Methodology_DG_REGIO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64B8-67E1-474B-900B-518153A8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K. Skonieczka</cp:lastModifiedBy>
  <cp:revision>5</cp:revision>
  <cp:lastPrinted>2015-08-19T12:53:00Z</cp:lastPrinted>
  <dcterms:created xsi:type="dcterms:W3CDTF">2015-10-19T10:00:00Z</dcterms:created>
  <dcterms:modified xsi:type="dcterms:W3CDTF">2015-10-26T13:44:00Z</dcterms:modified>
</cp:coreProperties>
</file>