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1005"/>
        <w:gridCol w:w="3344"/>
        <w:gridCol w:w="1683"/>
        <w:gridCol w:w="1401"/>
        <w:gridCol w:w="5892"/>
      </w:tblGrid>
      <w:tr w:rsidR="00335CBC" w:rsidRPr="00335CBC" w:rsidTr="00631438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lastRenderedPageBreak/>
              <w:br w:type="page"/>
            </w: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jelita grubego</w:t>
            </w:r>
          </w:p>
        </w:tc>
      </w:tr>
      <w:tr w:rsidR="00335CBC" w:rsidRPr="00335CBC" w:rsidTr="00631438">
        <w:trPr>
          <w:trHeight w:val="36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335CBC" w:rsidRPr="00335CBC" w:rsidTr="00631438">
        <w:trPr>
          <w:trHeight w:val="485"/>
          <w:jc w:val="center"/>
        </w:trPr>
        <w:tc>
          <w:tcPr>
            <w:tcW w:w="226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58" w:type="pct"/>
            <w:gridSpan w:val="2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255"/>
          <w:jc w:val="center"/>
        </w:trPr>
        <w:tc>
          <w:tcPr>
            <w:tcW w:w="226" w:type="pct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8" w:type="pct"/>
            <w:gridSpan w:val="2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335CBC" w:rsidRPr="00335CBC" w:rsidTr="00631438">
        <w:trPr>
          <w:trHeight w:val="992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335CBC" w:rsidRPr="00335CBC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zgodny z wymaganiami ustalonymi w Programie profilaktyki jelita grubego.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 Programem profilaktyki jelita grubego, pn. </w:t>
            </w:r>
            <w:r w:rsidRPr="00335CBC">
              <w:rPr>
                <w:rFonts w:ascii="Calibri" w:eastAsia="Calibri" w:hAnsi="Calibri" w:cs="Times New Roman"/>
                <w:bCs/>
                <w:i/>
                <w:sz w:val="16"/>
                <w:szCs w:val="16"/>
              </w:rPr>
              <w:t>Program badań przesiewowych raka jelita grubego, w zakresie wykonywania badań kolonoskopowych w systemie oportunistycznym na lata 2016 - 2018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, co oznacza, że przewidziane w projekcie działania są realizowane wyłącznie w systemie oportunistycznym.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Program profilaktyki jelita grubego jest załącznikiem do regulaminu konkursu.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Zgodność z Programem profilaktyki jelita grubego opracowanym na poziomie kraju odnosi się do: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wieku uczestników tj. – osoby 50-65 lat niezależnie od wywiadu rodzinnego – osoby 40-49 lat, które mają krewnego pierwszego stopnia, u którego rozpoznano raka jelita grubego – osoby 25-49 lat z rodziny z zespołem Lyncha (tj. z rodzin, w których wystąpił dziedziczny rak jelita grubego niezwiązany z polipowatością – HNPCC). W tej grupie osób konieczne jest potwierdzenie rozpoznania przynależności do rodziny z zespołem Lyncha z poradni genetycznej na podstawie spełnienia tzw. kryteriów amsterdamskich i ewentualnego badania genetycznego. Z wyłączeniem osób, u których wystąpiły </w:t>
            </w:r>
            <w:r w:rsidRPr="00335CB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objawy kliniczne sugerujące istnienie raka </w:t>
            </w:r>
            <w:r w:rsidRPr="00335CBC">
              <w:rPr>
                <w:rFonts w:ascii="Calibri" w:eastAsia="Times New Roman" w:hAnsi="Calibri" w:cs="Arial"/>
                <w:bCs/>
                <w:sz w:val="16"/>
                <w:szCs w:val="16"/>
              </w:rPr>
              <w:lastRenderedPageBreak/>
              <w:t xml:space="preserve">jelita grubego oraz osób, które w ostatnich 10 latach miały badanie </w:t>
            </w:r>
            <w:proofErr w:type="spellStart"/>
            <w:r w:rsidRPr="00335CBC">
              <w:rPr>
                <w:rFonts w:ascii="Calibri" w:eastAsia="Times New Roman" w:hAnsi="Calibri" w:cs="Arial"/>
                <w:bCs/>
                <w:sz w:val="16"/>
                <w:szCs w:val="16"/>
              </w:rPr>
              <w:t>kolonoskopowe</w:t>
            </w:r>
            <w:proofErr w:type="spellEnd"/>
            <w:r w:rsidRPr="00335CB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(poza pacjentami z zespołem Lyncha),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 wymagań dot. personelu wykonującego badania, w tym świadczenia usług w oparciu o m.in. </w:t>
            </w:r>
            <w:proofErr w:type="spellStart"/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Evidence</w:t>
            </w:r>
            <w:proofErr w:type="spellEnd"/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Based</w:t>
            </w:r>
            <w:proofErr w:type="spellEnd"/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Medicine</w:t>
            </w:r>
            <w:proofErr w:type="spellEnd"/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wyposażenia w sprzęt i aparaturę,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obsługi Systemu Informatycznego Programu Badań Przesiewowych (SI-PBP),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systematycznego uzupełniania bazy danych SI-PBP,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wymagań dotyczących liczby wykonanych badań w ciągu roku,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wymogu, iż oferta powinna zawierać pozytywną opinię wojewódzkiego lub krajowego konsultanta w dziedzinie gastroenterologii o spełnieniu wymagań stawianych oferentom i możliwości realizacji zadania (dotyczy podmiotów po raz pierwszy realizujących Program profilaktyki jelita grubego),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zapisów dotyczących organizacji realizacji przesiewowych badań kolonoskopowych,</w:t>
            </w:r>
          </w:p>
          <w:p w:rsidR="00335CBC" w:rsidRPr="00335CBC" w:rsidRDefault="00335CBC" w:rsidP="00335C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zasad realizacji badań w znieczuleniu/sedacji w ramach Programu badań przesiewowych raka jelita grubego z wyłączeniem wymogu dotyczącego procentu osób poddawanych badaniu w znieczuleniu.</w:t>
            </w:r>
          </w:p>
          <w:p w:rsidR="00335CBC" w:rsidRPr="00335CBC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przeprowadzenie 100% badań kolonoskopowych w znieczuleniu/ sedacji.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Za kolonoskopię w znieczuleniu lub sedacji uznaje się badanie,  w trakcie którego podawane są leki mające na celu zmniejszenie dyskomfortu pacjenta (np. leki sedatywne i przeciwbólowe),a pacjent jest monitorowany przez przeszkoloną osobę z udziałem sprzętu monitorującego. 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Wyjątek stanowią sytuacje, gdy zaistnieją przeciwwskazania medyczne do wykonania znieczulenia lub sedacji.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Tr="00631438">
        <w:trPr>
          <w:trHeight w:val="567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Del="009D2627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z danego badania profilaktycznego. </w:t>
            </w:r>
          </w:p>
        </w:tc>
        <w:tc>
          <w:tcPr>
            <w:tcW w:w="603" w:type="pct"/>
            <w:vAlign w:val="center"/>
          </w:tcPr>
          <w:p w:rsidR="00335CBC" w:rsidRPr="00335CBC" w:rsidDel="009D2627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Del="009D2627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danym badaniem profilaktycznym wyłącznie jeden raz. Wyjątek stanowią uzasadnione przypadki medyczne stanowiące przesłankę dla ponownego przeprowadzenia badania.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Poprzez uzasadnione przypadki medyczne rozumiane są sytuacje, w których:</w:t>
            </w:r>
          </w:p>
          <w:p w:rsidR="00335CBC" w:rsidRPr="00335CBC" w:rsidRDefault="00335CBC" w:rsidP="00335CB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:rsidR="00335CBC" w:rsidRPr="00335CBC" w:rsidRDefault="00335CBC" w:rsidP="00335CB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:rsidR="00335CBC" w:rsidRPr="00335CBC" w:rsidRDefault="00335CBC" w:rsidP="00335CB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  <w:p w:rsidR="00335CBC" w:rsidRPr="00335CBC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Del="009D2627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 Projekt realizowany jest w oparciu o analizę epidemiologiczną przeprowadzoną dla danego terytorium i grup docelowych</w:t>
            </w:r>
          </w:p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335CBC" w:rsidRPr="00335CBC" w:rsidRDefault="00335CBC" w:rsidP="00335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335CBC" w:rsidRPr="00335CBC" w:rsidRDefault="00335CBC" w:rsidP="00335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335CBC" w:rsidRPr="00335CBC" w:rsidRDefault="00335CBC" w:rsidP="00335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335CBC" w:rsidRPr="00335CBC" w:rsidRDefault="00335CBC" w:rsidP="00335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335CBC" w:rsidRPr="00335CBC" w:rsidRDefault="00335CBC" w:rsidP="00335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Analiza powinna zostać opracowana przez wnioskodawcę na podstawie ogólnodostępnych danych.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 (jeśli dotyczy).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Dot.</w:t>
            </w:r>
            <w:r w:rsidRPr="00335CBC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podmiotów posiadających umowę z Ministerstwem Zdrowia (MZ)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 przypadku realizacji działań w projekcie przez podmioty posiadające umowę z MZ na realizację badań kolonoskopowych w ramach </w:t>
            </w:r>
            <w:r w:rsidRPr="00335CBC">
              <w:rPr>
                <w:rFonts w:ascii="Calibri" w:eastAsia="Calibri" w:hAnsi="Calibri" w:cs="Arial"/>
                <w:bCs/>
                <w:i/>
                <w:iCs/>
                <w:color w:val="000000"/>
                <w:sz w:val="16"/>
                <w:szCs w:val="16"/>
              </w:rPr>
              <w:t>Programu badań przesiewowych raka jelita grubego, w zakresie wykonywania badań kolonoskopowych w systemie oportunistycznym na lata 2016 - 2018</w:t>
            </w:r>
            <w:r w:rsidRPr="00335CBC">
              <w:rPr>
                <w:rFonts w:ascii="Calibri" w:eastAsia="Calibri" w:hAnsi="Calibri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środki EFS służą realizacji dodatkowych badań diagnostycznych i przyczyniają się do zwiększenia liczby badań diagnostycznych przeprowadzanych przez ten podmiot.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335CBC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publicznych, 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o instytutach badawczych, 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335CBC" w:rsidRPr="00335CBC" w:rsidRDefault="00335CBC" w:rsidP="00335C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wojskowe – w zakresie, w jakim wykonują działalność leczniczą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Usługi świadczone w projekcie realizowane są wyłącznie na rzecz osób pracujących, uczących się lub posiadających miejsce zamieszkania na obszarze gminy/gmin wskazanych jako „biała plama” w zakresie profilaktyki raka jelita grubego.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Działania w projekcie realizowane są wyłącznie na rzecz osób pracujących, uczących się lub posiadających miejsce zamieszkania na obszarze gminy/gmin wskazanych jako „biała plama” w zakresie profilaktyki raka jelita grubego.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Wykaz terenów o szczególnie niskiej zgłaszalności stanowi załącznik do regulaminu konkursu.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335CBC" w:rsidRPr="00335CBC" w:rsidRDefault="00335CBC" w:rsidP="00335CBC">
      <w:pPr>
        <w:rPr>
          <w:rFonts w:ascii="Calibri" w:eastAsia="Calibri" w:hAnsi="Calibri" w:cs="Times New Roman"/>
          <w:b/>
          <w:sz w:val="20"/>
          <w:szCs w:val="20"/>
        </w:rPr>
      </w:pPr>
    </w:p>
    <w:p w:rsidR="00335CBC" w:rsidRPr="00335CBC" w:rsidRDefault="00335CBC" w:rsidP="00335CBC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"/>
        <w:gridCol w:w="4206"/>
        <w:gridCol w:w="1685"/>
        <w:gridCol w:w="701"/>
        <w:gridCol w:w="981"/>
        <w:gridCol w:w="5919"/>
      </w:tblGrid>
      <w:tr w:rsidR="00335CBC" w:rsidRPr="00335CBC" w:rsidTr="00631438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335CBC" w:rsidRPr="00335CBC" w:rsidTr="00631438">
        <w:trPr>
          <w:trHeight w:val="254"/>
          <w:jc w:val="center"/>
        </w:trPr>
        <w:tc>
          <w:tcPr>
            <w:tcW w:w="172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5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8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69"/>
          <w:jc w:val="center"/>
        </w:trPr>
        <w:tc>
          <w:tcPr>
            <w:tcW w:w="172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8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preferuje świadczenie usług dla osób zamieszkałych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2118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335CBC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335CBC" w:rsidRPr="00335CBC" w:rsidTr="00631438">
        <w:trPr>
          <w:trHeight w:val="539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118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działania, przyczyniające się do większej wykrywalności chorób nowotworowych. Stąd do badań pracowniczych możliwe jest włączenie </w:t>
            </w:r>
            <w:proofErr w:type="spellStart"/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kolonoskopii</w:t>
            </w:r>
            <w:proofErr w:type="spellEnd"/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- projekt nie zakłada włączenia badań profilaktycznych do badań pracowniczych w co najmniej 50%.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Badania profilaktyczne, o których mowa powyżej nie są obowiązkowe - o ich realizacji ostatecznie decyduje pacjent. Podczas wizyty lekarz odpowiedzialny za przeprowadzenie badań pracowniczych zobowiązany jest poinformować pracownika o możliwości wykonania dodatkowych badań profilaktycznych. W przypadku zgody, lekarz medycyny pracy wystawia skierowanie. Włączenie badań profilaktycznych do badań pracowniczych w ramach projektu w sposób wymierny będzie wpływać na: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 i ekonomicznych diagnostyki i profilaktyki nowotworowej.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Działania z zakresu medycyny pracy, do których realizacji zobowiązany jest pracodawca na podstawie przepisów rozdziału VI ustawy z dnia 26 czerwca 1947 r. – Kodeks pracy  oraz ustawy z dnia 27 czerwca 1997r. o służbie medycyny pracy.</w:t>
            </w:r>
          </w:p>
        </w:tc>
      </w:tr>
      <w:tr w:rsidR="00335CBC" w:rsidRPr="00335CBC" w:rsidTr="00631438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i posiadającą co najmniej dwuletnie doświadczenie w zakresie działań profilaktycznych z zakresu nowotworu jelita grubego.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1 pkt – projekt realizowany w partnerstwie z jedną organizacją pozarządową reprezentującą interesy pacjentów i posiadającą co najmniej dwuletnie doświadczenie w zakresie działań profilaktycznych z zakresu nowotworu jelita grubego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jelita grubego.</w:t>
            </w:r>
          </w:p>
        </w:tc>
      </w:tr>
      <w:tr w:rsidR="00335CBC" w:rsidRPr="00335CBC" w:rsidTr="00631438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 i zrzeszającym podmioty świadczące usługi w zakresie POZ. </w:t>
            </w:r>
          </w:p>
          <w:p w:rsidR="00335CBC" w:rsidRPr="00335CBC" w:rsidRDefault="00335CBC" w:rsidP="00335CB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iCs/>
                <w:sz w:val="16"/>
                <w:szCs w:val="16"/>
              </w:rPr>
            </w:pP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</w:t>
            </w:r>
            <w:r w:rsidRPr="00335CBC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  pkt –  projekt realizowany w partnerstwie z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partnerem społecznym reprezentującym interesy i zrzeszającym podmioty świadczące usługi w zakresie POZ</w:t>
            </w: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 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zakłada współpracę z co najmniej jednym podmiotem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właściwym dyrektorem OW NFZ.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21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Strategii  na 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(SOR) i dotyczy miast powyżej 20 tys. mieszkańców z wyłączeniem miast wojewódzkich oraz miast z liczbą ludności 15-20 tys. mieszkańców będących stolicami powiatów. Lista miast średnich   wskazana jest 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opracowanego na potrzeby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na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stanowi załącznik do regulaminu konkursu.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zakłada objęcia wsparciem miast średnich, w  tym 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wybrano to samo miasto.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Badania przesiewowe w kierunku wczesnego wykrywania raka jelita grubego wykonywane są w lokalizacji znajdującej się na terytorium powiatu, który stanowi tzw. „białą plamę” przez podmioty wykonujące działalność leczniczą, które obecnie nie realizują świadczeń zdrowotnych  w zakresie </w:t>
            </w:r>
            <w:proofErr w:type="spellStart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kolonoskopii</w:t>
            </w:r>
            <w:proofErr w:type="spellEnd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finansowanych ze środków publicznych, w tym środków europejskich na tym terytorium.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4 pkt</w:t>
            </w:r>
          </w:p>
        </w:tc>
        <w:tc>
          <w:tcPr>
            <w:tcW w:w="21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Preferuje się projekty, w ramach których będą wykonywane badania przesiewowe w kierunku wczesnego wykrywania raka jelita grubego w lokalizacji  znajdującej się na terytorium powiatu, który stanowi tzw. „białą plamę” przez podmioty wykonujące działalność leczniczą, które obecnie nie realizują świadczeń zdrowotnych  w zakresie </w:t>
            </w:r>
            <w:proofErr w:type="spellStart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kolonoskopii</w:t>
            </w:r>
            <w:proofErr w:type="spellEnd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finansowanych ze środków publicznych, w tym środków europejskich na tym terytorium.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Wykaz terenów o szczególnie niskiej zgłaszalności stanowi załącznik do regulaminu konkursu.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– badania przesiewowe, o których mowa powyżej nie są wykonywane przez podmioty wykonujące działalność leczniczą, które obecnie nie realizują świadczeń zdrowotnych  w zakresie </w:t>
            </w:r>
            <w:proofErr w:type="spellStart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kolonoskopii</w:t>
            </w:r>
            <w:proofErr w:type="spellEnd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finansowanych ze środków publicznych, w tym środków europejskich na terytorium powiatu, który stanowi tzw. „białą plamę”;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4 pkt - badania przesiewowe, o których mowa powyżej wykonywane są przez podmioty wykonujące działalność leczniczą, które obecnie nie realizują świadczeń zdrowotnych  w zakresie </w:t>
            </w:r>
            <w:proofErr w:type="spellStart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kolonoskopii</w:t>
            </w:r>
            <w:proofErr w:type="spellEnd"/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finansowanych ze środków publicznych, w tym środków europejskich na tym na terytorium powiatu, który stanowi tzw. „białą plamę”.</w:t>
            </w:r>
          </w:p>
        </w:tc>
      </w:tr>
    </w:tbl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1005"/>
        <w:gridCol w:w="3344"/>
        <w:gridCol w:w="1683"/>
        <w:gridCol w:w="1401"/>
        <w:gridCol w:w="5892"/>
      </w:tblGrid>
      <w:tr w:rsidR="00335CBC" w:rsidRPr="00335CBC" w:rsidTr="00631438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 xml:space="preserve">Profilaktyka raka piersi </w:t>
            </w:r>
          </w:p>
        </w:tc>
      </w:tr>
      <w:tr w:rsidR="00335CBC" w:rsidRPr="00335CBC" w:rsidTr="00631438">
        <w:trPr>
          <w:trHeight w:val="36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335CBC" w:rsidRPr="00335CBC" w:rsidTr="00631438">
        <w:trPr>
          <w:trHeight w:val="485"/>
          <w:jc w:val="center"/>
        </w:trPr>
        <w:tc>
          <w:tcPr>
            <w:tcW w:w="226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58" w:type="pct"/>
            <w:gridSpan w:val="2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255"/>
          <w:jc w:val="center"/>
        </w:trPr>
        <w:tc>
          <w:tcPr>
            <w:tcW w:w="226" w:type="pct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8" w:type="pct"/>
            <w:gridSpan w:val="2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335CBC" w:rsidRPr="00335CBC" w:rsidTr="00631438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Zwiększenie zgłaszalności na badania realizowane  w ramach </w:t>
            </w:r>
            <w:r w:rsidRPr="00335CBC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, przez podmioty posiadające umowę z Narodowym Funduszem Zdrowia w ramach ww. programu.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Działania realizowane w ramach projektu będą służyły zwiększeniu zgłaszalności do udziału w świadczeniach zdrowotnych realizowanych w ramach </w:t>
            </w:r>
            <w:r w:rsidRPr="00335CBC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</w:p>
        </w:tc>
      </w:tr>
      <w:tr w:rsidR="00335CBC" w:rsidRPr="00335CBC" w:rsidTr="00631438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mammograficznych.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mammograficznych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335CBC" w:rsidRPr="00335CBC" w:rsidRDefault="00335CBC" w:rsidP="00335CBC">
            <w:pPr>
              <w:numPr>
                <w:ilvl w:val="0"/>
                <w:numId w:val="21"/>
              </w:numPr>
              <w:spacing w:after="0" w:line="240" w:lineRule="auto"/>
              <w:ind w:left="337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335CBC" w:rsidRPr="00335CBC" w:rsidRDefault="00335CBC" w:rsidP="00335CBC">
            <w:pPr>
              <w:numPr>
                <w:ilvl w:val="0"/>
                <w:numId w:val="21"/>
              </w:numPr>
              <w:spacing w:after="0" w:line="240" w:lineRule="auto"/>
              <w:ind w:left="337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335CBC" w:rsidRPr="00335CBC" w:rsidRDefault="00335CBC" w:rsidP="00335CBC">
            <w:pPr>
              <w:numPr>
                <w:ilvl w:val="0"/>
                <w:numId w:val="21"/>
              </w:numPr>
              <w:spacing w:after="0" w:line="240" w:lineRule="auto"/>
              <w:ind w:left="337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335CBC" w:rsidRPr="00335CBC" w:rsidRDefault="00335CBC" w:rsidP="00335CBC">
            <w:pPr>
              <w:numPr>
                <w:ilvl w:val="0"/>
                <w:numId w:val="21"/>
              </w:numPr>
              <w:spacing w:after="0" w:line="240" w:lineRule="auto"/>
              <w:ind w:left="337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335CBC" w:rsidRPr="00335CBC" w:rsidRDefault="00335CBC" w:rsidP="00335CBC">
            <w:pPr>
              <w:numPr>
                <w:ilvl w:val="0"/>
                <w:numId w:val="21"/>
              </w:numPr>
              <w:spacing w:after="0" w:line="240" w:lineRule="auto"/>
              <w:ind w:left="337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Analiza powinna zostać opracowana przez wnioskodawcę na podstawie ogólnodostępnych danych.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Wnioskodawca składa nie więcej niż jeden wniosek o dofinansowanie projektu.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Dany podmiot może złożyć nie więcej niż jeden wniosek  o dofinansowanie projektu– niezależnie czy jako wnioskodawca czy partner projektu.</w:t>
            </w:r>
          </w:p>
        </w:tc>
      </w:tr>
    </w:tbl>
    <w:p w:rsidR="00335CBC" w:rsidRPr="00335CBC" w:rsidRDefault="00335CBC" w:rsidP="00335CBC">
      <w:pPr>
        <w:rPr>
          <w:rFonts w:ascii="Calibri" w:eastAsia="Calibri" w:hAnsi="Calibri" w:cs="Times New Roman"/>
          <w:b/>
          <w:sz w:val="20"/>
          <w:szCs w:val="20"/>
        </w:rPr>
      </w:pPr>
    </w:p>
    <w:p w:rsidR="00335CBC" w:rsidRPr="00335CBC" w:rsidRDefault="00335CBC" w:rsidP="00335CBC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"/>
        <w:gridCol w:w="4206"/>
        <w:gridCol w:w="1685"/>
        <w:gridCol w:w="701"/>
        <w:gridCol w:w="981"/>
        <w:gridCol w:w="5919"/>
      </w:tblGrid>
      <w:tr w:rsidR="00335CBC" w:rsidRPr="00335CBC" w:rsidTr="00631438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335CBC" w:rsidRPr="00335CBC" w:rsidTr="00631438">
        <w:trPr>
          <w:trHeight w:val="254"/>
          <w:jc w:val="center"/>
        </w:trPr>
        <w:tc>
          <w:tcPr>
            <w:tcW w:w="172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5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8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69"/>
          <w:jc w:val="center"/>
        </w:trPr>
        <w:tc>
          <w:tcPr>
            <w:tcW w:w="172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8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preferuje świadczenie usług dla osób zamieszkałych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2118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335CBC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335CBC" w:rsidRPr="00335CBC" w:rsidTr="00631438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i posiadającą co najmniej dwuletnie doświadczenie w zakresie działań profilaktycznych z zakresu nowotworu piersi.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1 pkt – projekt realizowany w partnerstwie z jedną organizacją pozarządową reprezentującą interesy pacjentów i posiadającą co najmniej dwuletnie doświadczenie w zakresie działań profilaktycznych z zakresu nowotworu piersi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piersi.</w:t>
            </w:r>
          </w:p>
        </w:tc>
      </w:tr>
      <w:tr w:rsidR="00335CBC" w:rsidRPr="00335CBC" w:rsidTr="00631438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 i zrzeszającym podmioty świadczące usługi w zakresie POZ. </w:t>
            </w:r>
          </w:p>
          <w:p w:rsidR="00335CBC" w:rsidRPr="00335CBC" w:rsidRDefault="00335CBC" w:rsidP="00335CB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iCs/>
                <w:sz w:val="16"/>
                <w:szCs w:val="16"/>
              </w:rPr>
            </w:pP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</w:t>
            </w:r>
            <w:r w:rsidRPr="00335CBC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  pkt –  projekt realizowany w partnerstwie z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partnerem społecznym reprezentującym interesy i zrzeszającym podmioty świadczące usługi w zakresie POZ</w:t>
            </w: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</w:tc>
      </w:tr>
      <w:tr w:rsidR="00335CBC" w:rsidRPr="00335CBC" w:rsidTr="00631438">
        <w:trPr>
          <w:trHeight w:val="310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20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Projekt zakłada świadczenie usług dla osób z terenów o zdiagnozowanym niskim poziomie zgłaszalności na badania. </w:t>
            </w:r>
          </w:p>
        </w:tc>
        <w:tc>
          <w:tcPr>
            <w:tcW w:w="603" w:type="pct"/>
            <w:tcBorders>
              <w:bottom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251" w:type="pct"/>
            <w:tcBorders>
              <w:bottom w:val="single" w:sz="6" w:space="0" w:color="A8D08D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bottom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0,3 lub 5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2118" w:type="pct"/>
            <w:tcBorders>
              <w:bottom w:val="single" w:sz="6" w:space="0" w:color="A8D08D"/>
            </w:tcBorders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Preferencja dotyczy udzielania świadczeń zdrowotnych dla osób zamieszkałych na terenach o szczególnie niskim poziomie zgłaszalności na badania w zakresie profilaktyki raka piersi wskazanych jako „białe plamy” przez Centralny Ośrodek Koordynujący przy Centrum Onkologii - Instytut im. Marii Skłodowskiej - Curie,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0 pkt – objęcie wsparciem do 20% osób z populacji z terenów wskazanych jako "białe plamy",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3 pkt –  objęcie wsparciem więcej niż 20%, a mniej niż 40% osób z populacji z terenów wskazanych jako "białe plamy",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5 pkt - objęcie wsparciem co najmniej 40% osób z populacji z terenów wskazanych jako "białe plamy".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Wykaz terenów o szczególnie niskiej zgłaszalności stanowić będzie załącznik do regulaminu konkursu.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 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zakłada współpracę z co najmniej jednym podmiotem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właściwym dyrektorem OW NFZ.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35CBC" w:rsidRDefault="00335CBC" w:rsidP="00335CBC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211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Strategii  na 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(SOR)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opracowanego na potrzeby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na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stanowi załącznik do regulaminu konkursu.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zakłada objęcia wsparciem miast średnich, w  tym 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spośród miast wskazanych 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wybrano to samo miasto.</w:t>
            </w:r>
          </w:p>
        </w:tc>
      </w:tr>
    </w:tbl>
    <w:p w:rsidR="00335CBC" w:rsidRPr="00335CBC" w:rsidRDefault="00335CBC" w:rsidP="00335CBC">
      <w:pPr>
        <w:rPr>
          <w:rFonts w:ascii="Calibri" w:eastAsia="Calibri" w:hAnsi="Calibri" w:cs="Times New Roman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335CBC" w:rsidRPr="00335CBC" w:rsidRDefault="00335CBC" w:rsidP="00335CBC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139"/>
        <w:gridCol w:w="3355"/>
        <w:gridCol w:w="1683"/>
        <w:gridCol w:w="1401"/>
        <w:gridCol w:w="5892"/>
      </w:tblGrid>
      <w:tr w:rsidR="00335CBC" w:rsidRPr="00335CBC" w:rsidTr="00631438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szyjki macicy</w:t>
            </w:r>
          </w:p>
        </w:tc>
      </w:tr>
      <w:tr w:rsidR="00335CBC" w:rsidRPr="00335CBC" w:rsidTr="00631438">
        <w:trPr>
          <w:trHeight w:val="485"/>
          <w:jc w:val="center"/>
        </w:trPr>
        <w:tc>
          <w:tcPr>
            <w:tcW w:w="5000" w:type="pct"/>
            <w:gridSpan w:val="6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335CBC" w:rsidRPr="00335CBC" w:rsidTr="00631438">
        <w:trPr>
          <w:trHeight w:val="485"/>
          <w:jc w:val="center"/>
        </w:trPr>
        <w:tc>
          <w:tcPr>
            <w:tcW w:w="174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10" w:type="pct"/>
            <w:gridSpan w:val="2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255"/>
          <w:jc w:val="center"/>
        </w:trPr>
        <w:tc>
          <w:tcPr>
            <w:tcW w:w="174" w:type="pct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10" w:type="pct"/>
            <w:gridSpan w:val="2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335CBC" w:rsidRPr="00335CBC" w:rsidTr="00631438">
        <w:trPr>
          <w:trHeight w:val="992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Tr="00631438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Test, którym wykonywane będzie badanie wykrywa co najmniej 2 najczęstsze genotypy wirusa HPV.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dotyczące profilaktyki obejmuje 2 najczęstsze genotypy wysokiego ryzyka tj. typ 16 i 18.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Kobiety zakażone </w:t>
            </w:r>
            <w:r w:rsidRPr="00335CBC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genotypami HPV 16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 i </w:t>
            </w:r>
            <w:r w:rsidRPr="00335CBC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HPV 18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 są obarczone największym ryzykiem raka szyjki macicy (70 % wszystkich </w:t>
            </w:r>
            <w:proofErr w:type="spellStart"/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zachorowań</w:t>
            </w:r>
            <w:proofErr w:type="spellEnd"/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 na nowotwory szyjki macicy jest spowodowane tymi typami wirusa). 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Jednocześnie w ramach projektu nie ma możliwości sfinansowania badania cytologicznego.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Tr="00631438">
        <w:trPr>
          <w:trHeight w:val="567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Del="009D2627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 z testu na wykrycie wirusa HPV. </w:t>
            </w:r>
          </w:p>
        </w:tc>
        <w:tc>
          <w:tcPr>
            <w:tcW w:w="603" w:type="pct"/>
            <w:vAlign w:val="center"/>
          </w:tcPr>
          <w:p w:rsidR="00335CBC" w:rsidRPr="00335CBC" w:rsidDel="009D2627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Del="009D2627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testem na wykrycie wirusa HPV wyłącznie jeden raz. Wyjątek stanowią uzasadnione przypadki  medyczne stanowiące przesłankę dla ponownego przeprowadzenia badania.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Poprzez uzasadnione przypadki medyczne rozumiane są sytuacje,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 których:</w:t>
            </w:r>
          </w:p>
          <w:p w:rsidR="00335CBC" w:rsidRPr="00335CBC" w:rsidRDefault="00335CBC" w:rsidP="00335C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:rsidR="00335CBC" w:rsidRPr="00335CBC" w:rsidRDefault="00335CBC" w:rsidP="00335C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:rsidR="00335CBC" w:rsidRPr="00335CBC" w:rsidRDefault="00335CBC" w:rsidP="00335CB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  <w:p w:rsidR="00335CBC" w:rsidRPr="00335CBC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Del="009D2627" w:rsidRDefault="00335CBC" w:rsidP="00335CB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Tr="00631438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Del="006112F1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cytologicznych.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cytologicznych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Tr="00631438">
        <w:trPr>
          <w:trHeight w:val="314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wykwalifikowany personel.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FF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lekarza specjalistę położnictwa i ginekologii lub lekarza ze specjalizacją I stopnia w zakresie położnictwa i ginekologii, lub lekarza w trakcie specjalizacji z położnictwa i ginekologii (lekarz, który ukończył co najmniej drugi rok specjalizacji) lub położną.. Personel świadczy usługi m.in. w oparciu o </w:t>
            </w:r>
            <w:proofErr w:type="spellStart"/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Evidence</w:t>
            </w:r>
            <w:proofErr w:type="spellEnd"/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Medicine</w:t>
            </w:r>
            <w:proofErr w:type="spellEnd"/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Ponadto w przypadku wyniku pozytywnego przeprowadzona jest konsultacja lekarska oraz ponowne badanie po 12 miesiącach.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335CBC" w:rsidRPr="00335CBC" w:rsidRDefault="00335CBC" w:rsidP="00335CB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335CBC" w:rsidRPr="00335CBC" w:rsidRDefault="00335CBC" w:rsidP="00335CB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335CBC" w:rsidRPr="00335CBC" w:rsidRDefault="00335CBC" w:rsidP="00335CB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335CBC" w:rsidRPr="00335CBC" w:rsidRDefault="00335CBC" w:rsidP="00335CB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335CBC" w:rsidRPr="00335CBC" w:rsidRDefault="00335CBC" w:rsidP="00335CB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(RPZ)lub danego projektu służącego realizacji RPZ 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335CBC">
        <w:trPr>
          <w:trHeight w:val="566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programem zdrowotnym.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oraz zatwierdzeniu przez Ministerstwo Zdrowia dzięki czemu założone w nim działania można uznać za skuteczne, bezpieczne i efektywne i uzasadnione.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 właściwym programem polityki zdrowotnej, który jest załącznikiem do regulaminu konkursu.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Kryterium nie dotyczy w sytuacji braku odpowiedniego regionalnego programu zdrowotnego.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335CBC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publicznych,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instytuty badawcze, o których mowa w art. 3 ustawy z dnia 30 kwietnia 2010 r. o instytutach badawczych,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335CBC" w:rsidRPr="00335CBC" w:rsidRDefault="00335CBC" w:rsidP="00335CB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skoncentrowany jest na wsparciu osób pracujących, uczących się lub posiadających miejsce zamieszkania na obszarze gminy/gmin wskazanych jako „biała plama” w zakresie profilaktyki raka szyjki macicy, które stanowią 30 % wszystkich uczestników projektu.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Działania realizowane w projekcie skoncentrowane są na wsparciu osób pracujących, uczących się lub posiadających miejsce zamieszkania na obszarze gminy/gmin wskazanych jako „biała plama” w zakresie profilaktyki raka szyjki macicy.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Wykaz terenów o szczególnie niskiej zgłaszalności stanowi  załącznik do regulaminu konkursu.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Minimalny odsetek uczestników projektu będących osobami pracującymi, uczącymi się lub posiadającymi miejsce zamieszkania na obszarze gminy/gmin wskazanych jako „biała plama” w zakresie profilaktyki raka szyjki macicy wynosi 30% wszystkich uczestników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335CBC" w:rsidRPr="00335CBC" w:rsidRDefault="00335CBC" w:rsidP="00335CBC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4368"/>
        <w:gridCol w:w="1683"/>
        <w:gridCol w:w="617"/>
        <w:gridCol w:w="949"/>
        <w:gridCol w:w="5889"/>
      </w:tblGrid>
      <w:tr w:rsidR="00335CBC" w:rsidRPr="00335CBC" w:rsidTr="00631438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335CBC" w:rsidRPr="00335CBC" w:rsidTr="00631438">
        <w:trPr>
          <w:trHeight w:val="254"/>
          <w:jc w:val="center"/>
        </w:trPr>
        <w:tc>
          <w:tcPr>
            <w:tcW w:w="161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65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2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40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0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69"/>
          <w:jc w:val="center"/>
        </w:trPr>
        <w:tc>
          <w:tcPr>
            <w:tcW w:w="161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5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40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0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preferuje świadczenie usług dla osób zamieszkałych 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2110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335CBC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(liczone w stosunku do wszystkich uczestników projektu).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(liczone w stosunku do wszystkich uczestników projektu).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(liczone w stosunku do wszystkich uczestników projektu).</w:t>
            </w:r>
          </w:p>
        </w:tc>
      </w:tr>
      <w:tr w:rsidR="00335CBC" w:rsidRPr="00335CBC" w:rsidTr="00631438">
        <w:trPr>
          <w:trHeight w:val="539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110" w:type="pct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Preferowane będą działania, przyczyniające się do większej wykrywalności chorób nowotworowych. Stąd do badań pracowniczych możliwe jest włączenie wykonania testu na wykrycie wirusa HPV.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0 pkt - projekt nie zakłada włączenia badań profilaktycznych do badań pracowniczych.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Badania profilaktyczne, o których mowa powyżej nie są 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>obowiązkowe - o ich realizacji ostatecznie decyduje pacjent. Podczas wizyty lekarz odpowiedzialny za przeprowadzenie badań pracowniczych zobowiązany jest poinformować pracownika   o możliwości wykonania dodatkowych badań profilaktycznych.  W przypadku zgody, lekarz medycyny pracy wystawia skierowanie. Włączenie badań profilaktycznych do badań pracowniczych w ramach projektu w sposób wymierny będzie wpływać na: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 i ekonomicznych diagnostyki i profilaktyki nowotworowej.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Działania z zakresu medycyny pracy, do których realizacji zobowiązany jest pracodawca na podstawie przepisów rozdziału VI ustawy z dnia 26 czerwca 1947 r. – Kodeks pracy oraz ustawy z dnia 27 czerwca 1997r. o służbie medycyny pracy. </w:t>
            </w:r>
          </w:p>
        </w:tc>
      </w:tr>
      <w:tr w:rsidR="00335CBC" w:rsidRPr="00335CBC" w:rsidTr="00631438">
        <w:trPr>
          <w:trHeight w:val="539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preferowane jest łączenie badania wykrywania wirusa HPV z badaniem cytologicznym.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2</w:t>
            </w: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 xml:space="preserve"> pkt</w:t>
            </w:r>
          </w:p>
        </w:tc>
        <w:tc>
          <w:tcPr>
            <w:tcW w:w="2110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Projekt wpływa na podnoszenie jakości usług oraz zwiększenie wykrywalności nowotworów poprzez wprowadzenie dodatkowych badań cytologicznych, przy czym koszty badania cytologicznego nie są kosztami kwalifikowalnymi w ramach projektu, mogą one stanowić jedynie wkład własny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.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0 pkt – projekt nie zakłada przeprowadzania badań cytologicznych jako uzupełnienia do badań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2 pkt – projekt zakłada wykonanie całości badań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 w połączeniu z badaniami cytologicznymi.</w:t>
            </w:r>
          </w:p>
        </w:tc>
      </w:tr>
      <w:tr w:rsidR="00335CBC" w:rsidRPr="00335CBC" w:rsidTr="00631438">
        <w:trPr>
          <w:trHeight w:val="567"/>
          <w:jc w:val="center"/>
        </w:trPr>
        <w:tc>
          <w:tcPr>
            <w:tcW w:w="16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0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 i posiadającą co najmniej dwuletnie doświadczenie w zakresie działań profilaktycznych z zakresu nowotworu szyjki macicy.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z zakresu nowotworu szyjki macicy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2  pkt –  projekt realizowany jest z dwoma lub więcej organizacjami pozarządowymi reprezentującymi interesy pacjentów i posiadającymi co najmniej dwuletnie doświadczenie w zakresie działań profilaktycznych z zakresu nowotworu szyjki macicy. 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4" w:space="0" w:color="92D050"/>
              <w:bottom w:val="single" w:sz="6" w:space="0" w:color="A8D08D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 z co najmniej dwoma lub więcej przedsięwzięciami współfinansowanymi ze środków UE, krajowych lub innych źródeł.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Projekt przewiduje partnerstwo z partnerem społecznym reprezentującym interesy  i zrzeszającym podmioty świadczące usługi w zakresie POZ.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partnerem społecznym reprezentującym interesy i zrzeszającym podmioty świadczące usługi    w zakresie POZ</w:t>
            </w:r>
            <w:r w:rsidRPr="00335CBC">
              <w:rPr>
                <w:rFonts w:ascii="Calibri" w:eastAsia="Calibri" w:hAnsi="Calibri" w:cs="Arial"/>
                <w:iCs/>
                <w:color w:val="548ED5"/>
                <w:sz w:val="16"/>
                <w:szCs w:val="16"/>
              </w:rPr>
              <w:t>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leczniczym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leczniczym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przewiduje realizację wsparcia również w godzinach popołudniowych i wieczornych oraz w soboty.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Preferowane będą projekty zakładające realizację wsparcia również w godzinach popołudniowych i wieczornych oraz w soboty.  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0 pkt – projekt nie zakłada realizacji wsparcia również w godzinach popołudniowych i wieczornych oraz w soboty.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1 pkt - projekt zakłada realizację wsparcia również w godzinach popołudniowych i wieczornych.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2 pkt - projekt zakłada realizację wsparcia również w godzinach popołudniowych i wieczornych oraz w soboty.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21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Strategii  na 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(SOR) i dotyczy miast powyżej 20 tys. mieszkańców z wyłączeniem miast wojewódzkich oraz miast z liczbą ludności 15-20 tys. mieszkańców będących stolicami powiatów. Lista miast średnich   wskazana jest 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opracowanego na potrzeby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na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stanowi załącznik do regulaminu konkursu.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zakłada objęcia wsparciem miast średnich, w  tym 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wybrano to samo miasto.</w:t>
            </w:r>
          </w:p>
        </w:tc>
      </w:tr>
    </w:tbl>
    <w:p w:rsidR="00335CBC" w:rsidRPr="00335CBC" w:rsidRDefault="00335CBC" w:rsidP="00335CBC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335CBC" w:rsidRPr="00335CBC" w:rsidRDefault="00335CBC" w:rsidP="00335CBC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1265"/>
        <w:gridCol w:w="3227"/>
        <w:gridCol w:w="1682"/>
        <w:gridCol w:w="1402"/>
        <w:gridCol w:w="5931"/>
      </w:tblGrid>
      <w:tr w:rsidR="00335CBC" w:rsidRPr="00335CBC" w:rsidTr="00631438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Rehabilitacja medyczna ułatwiająca powrót do pracy</w:t>
            </w:r>
          </w:p>
        </w:tc>
      </w:tr>
      <w:tr w:rsidR="00335CBC" w:rsidRPr="00335CBC" w:rsidTr="00631438">
        <w:trPr>
          <w:trHeight w:val="48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335CBC" w:rsidRPr="00335CBC" w:rsidTr="00631438">
        <w:trPr>
          <w:trHeight w:val="485"/>
          <w:jc w:val="center"/>
        </w:trPr>
        <w:tc>
          <w:tcPr>
            <w:tcW w:w="174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05" w:type="pct"/>
            <w:gridSpan w:val="2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255"/>
          <w:jc w:val="center"/>
        </w:trPr>
        <w:tc>
          <w:tcPr>
            <w:tcW w:w="174" w:type="pct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05" w:type="pct"/>
            <w:gridSpan w:val="2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1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1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9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335CBC" w:rsidRPr="00335CBC" w:rsidTr="00631438">
        <w:trPr>
          <w:trHeight w:val="992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9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Działania o charakterze informacyjno/edukacyjnym stanowią nie więcej niż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20 % wartości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 promocyjnych projektu wchodzących do katalogu kosztów pośrednich.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551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9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335CBC" w:rsidRPr="00335CBC" w:rsidRDefault="00335CBC" w:rsidP="00335C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335CBC" w:rsidRPr="00335CBC" w:rsidRDefault="00335CBC" w:rsidP="00335C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335CBC" w:rsidRPr="00335CBC" w:rsidRDefault="00335CBC" w:rsidP="00335C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335CBC" w:rsidRPr="00335CBC" w:rsidRDefault="00335CBC" w:rsidP="00335C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335CBC" w:rsidRPr="00335CBC" w:rsidRDefault="00335CBC" w:rsidP="00335C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335CBC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566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Świadczenia rehabilitacyjne są realizowane zgodnie </w:t>
            </w:r>
            <w:r w:rsidRPr="00335CBC">
              <w:rPr>
                <w:rFonts w:ascii="Calibri" w:eastAsia="Calibri" w:hAnsi="Calibri" w:cs="Calibri"/>
                <w:sz w:val="16"/>
                <w:szCs w:val="16"/>
              </w:rPr>
              <w:br/>
              <w:t>z przepisami dla świadczeń opieki zdrowotnej finansowanych ze środków publicznych.</w:t>
            </w:r>
          </w:p>
        </w:tc>
        <w:tc>
          <w:tcPr>
            <w:tcW w:w="60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Świadczenia rehabilitacyjne muszą być realizowane zgodnie   z przepisami wydanymi na podstawie art. 146 ust 1 pkt 1 i 3 z ustawy z dnia 27 sierpnia 2004r. o świadczeniach opieki zdrowotnej finansowanych ze środków publicznych, w szczególności zarządzenia                nr 80/2013/DSOZ Prezesa Narodowego Funduszu Zdrowia z dnia 16 grudnia 2013r.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br/>
              <w:t>w sprawie określenia warunków zawierania i realizacji umów w rodzaju rehabilitacja lecznicza.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314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60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 lub danego projektu służącego realizacji RPZ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77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</w:t>
            </w:r>
          </w:p>
        </w:tc>
        <w:tc>
          <w:tcPr>
            <w:tcW w:w="60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  i Taryfikacji 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 i efektywne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i uzasadnione.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Działania realizowane w projekcie przez wnioskodawcę oraz ewentualnych partnerów są zgodne z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1913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1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335CBC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</w:t>
            </w: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instytutach badawczych,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</w:t>
            </w: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</w:t>
            </w: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Kościoła Katolickiego  w Rzeczypospolitej Polskiej, </w:t>
            </w: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innych kościołów i związków wyznaniowych oraz </w:t>
            </w: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gwarancjach wolności sumienia i wyznania, </w:t>
            </w:r>
          </w:p>
          <w:p w:rsidR="00335CBC" w:rsidRPr="00335CBC" w:rsidRDefault="00335CBC" w:rsidP="00335C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wart. 5 ww. ustawy.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335CBC" w:rsidRPr="00335CBC" w:rsidRDefault="00335CBC" w:rsidP="00335CBC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4207"/>
        <w:gridCol w:w="1685"/>
        <w:gridCol w:w="700"/>
        <w:gridCol w:w="982"/>
        <w:gridCol w:w="5931"/>
      </w:tblGrid>
      <w:tr w:rsidR="00335CBC" w:rsidRPr="00335CBC" w:rsidTr="00631438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335CBC" w:rsidRPr="00335CBC" w:rsidTr="00631438">
        <w:trPr>
          <w:trHeight w:val="254"/>
          <w:jc w:val="center"/>
        </w:trPr>
        <w:tc>
          <w:tcPr>
            <w:tcW w:w="175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3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69"/>
          <w:jc w:val="center"/>
        </w:trPr>
        <w:tc>
          <w:tcPr>
            <w:tcW w:w="175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3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9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335CBC" w:rsidRPr="00335CBC" w:rsidTr="00631438">
        <w:trPr>
          <w:trHeight w:val="42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335CBC" w:rsidRPr="00335CBC" w:rsidTr="00631438">
        <w:trPr>
          <w:trHeight w:val="834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Projekt preferuje osoby pracujące zagrożone przedwczesnym opuszczeniem rynku pracy  z powodu czynników zdrowotnych wywołanych warunkami pracy.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0,1 lub 2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Wskazania zdrowotne określa na podstawie wywiadu lekarz specjalista, który po stwierdzeniu zaistnienia potrzeby oraz zdiagnozowania korelacji pomiędzy schorzeniami, a warunkami pracy kieruje daną osobę na rehabilitację.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Preferowanie tej grupy docelowej wynika z faktu, iż dostępne usługi medyczne w ramach NFZ są niewystarczające, a brak możliwości skorzystania z rehabilitacji medycznej 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w okresie trwania regionalnego programu zdrowotnego (RPZ) lub danego projektu służącego realizacji RPZ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, ogranicza możliwość szybkiej reakcji, co w bezpośredni sposób przyczynia się do pogorszania stanu zdrowia, a tym samym do zwiększenia liczby osób, które przedwcześnie opuszczają rynek pracy.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0 pkt – osoby z  grupy preferowanej stanowią poniżej 50% (liczone  w stosunku do wszystkich uczestników projektu)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1 pkt – osoby z grupy preferowanej stanowią co najmniej 50% (liczone w stosunku do wszystkich uczestników projektu)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2 pkt – osoby z grupy preferowanej stanowią powyżej 80% (liczone w stosunku do wszystkich uczestników projektu).</w:t>
            </w:r>
          </w:p>
        </w:tc>
      </w:tr>
      <w:tr w:rsidR="00335CBC" w:rsidRPr="00335CBC" w:rsidTr="00631438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Grupą docelową są osoby pracujące i/lub osoby bezrobotne.</w:t>
            </w:r>
          </w:p>
        </w:tc>
        <w:tc>
          <w:tcPr>
            <w:tcW w:w="602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0, 2 pkt 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pracującej zgodna z definicją zawartą w dokumencie IZ RPO WO 2014-2020 pn. Lista wskaźników na poziomie projektu RPO WO 2014-2020. Zakres EFS.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bezrobotnej zgodna z definicją zawartą w dokumencie IZ RPO WO 2014-2020 pn. Lista wskaźników na poziomie projektu RPO WO 2014-2020. Zakres EFS.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Uczestnikiem projektu może zostać osoba, w przypadku której lekarz specjalista uzna, że dzięki rehabilitacji medycznej będzie ona w stanie kontynuować pracę lub podjąć zatrudnienie.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0 pkt - projekt nie jest skierowany w całości do osób pracujących i/lub bezrobotnych,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 pkt - projekt jest w całości skierowany do osób pracujących i/lub bezrobotnych.</w:t>
            </w:r>
          </w:p>
        </w:tc>
      </w:tr>
      <w:tr w:rsidR="00335CBC" w:rsidRPr="00335CBC" w:rsidTr="00631438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>Projekt przewiduje partnerstwo z partnerem społecznym reprezentującym interesy i zrzeszającym podmioty świadczące usługi w zakresie POZ.</w:t>
            </w:r>
          </w:p>
        </w:tc>
        <w:tc>
          <w:tcPr>
            <w:tcW w:w="602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) reprezentujący interesy i zrzeszający placówki podstawowej opieki zdrowotnej rozumiane zgodnie z definicją zawartą w ustawie z dnia 15 kwietnia 2011 r. </w:t>
            </w: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>o działalności leczniczej.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w zakresie POZ</w:t>
            </w: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335CBC" w:rsidRPr="00335CBC" w:rsidTr="00631438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602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>Wnioskodawca musi wykazać we wniosku o dofinansowanie zasadność współpracy z jednostką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335CBC" w:rsidRPr="00335CBC" w:rsidTr="00631438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602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 1, lub 2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i posiadającą co najmniej dwuletnie doświadczenie w zakresie rehabilitacji medycznej, w tym kardiologicznej i neurologicznej, zgodnie z zakresem właściwego Regionalnego Programu Zdrowotnego.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rehabilitacji medycznej.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rehabilitacji medycznej.</w:t>
            </w:r>
          </w:p>
        </w:tc>
      </w:tr>
      <w:tr w:rsidR="00335CBC" w:rsidRPr="00335CBC" w:rsidTr="00631438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35CBC" w:rsidRDefault="00335CBC" w:rsidP="00335CBC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21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Strategii  na 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(SOR) i dotyczy miast powyżej 20 tys. mieszkańców z wyłączeniem miast wojewódzkich oraz miast z liczbą ludności 15-20 tys. mieszkańców będących stolicami powiatów. Lista miast średnich   wskazana jest 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opracowanego na potrzeby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na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stanowi załącznik do regulaminu konkursu.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zakłada objęcia wsparciem miast średnich, w  tym 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wybrano to samo miasto.</w:t>
            </w:r>
          </w:p>
        </w:tc>
      </w:tr>
    </w:tbl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335CBC" w:rsidRPr="00335CBC" w:rsidRDefault="00335CBC" w:rsidP="00335CBC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335CBC" w:rsidRPr="00335CBC" w:rsidRDefault="00335CBC" w:rsidP="00335CBC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335CBC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"/>
        <w:gridCol w:w="1128"/>
        <w:gridCol w:w="3363"/>
        <w:gridCol w:w="1683"/>
        <w:gridCol w:w="1401"/>
        <w:gridCol w:w="5892"/>
      </w:tblGrid>
      <w:tr w:rsidR="00335CBC" w:rsidRPr="00335CBC" w:rsidTr="00631438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 xml:space="preserve">Przeciwdziałanie wykluczeniu z rynku pracy osób w wieku aktywności zawodowej dzięki realizacji </w:t>
            </w:r>
          </w:p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programów zdrowotnych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  <w:t>E</w:t>
            </w:r>
            <w:r w:rsidRPr="00335CBC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t>liminowanie zdrowotnych czynników ryzyka w miejscu pracy</w:t>
            </w:r>
          </w:p>
        </w:tc>
      </w:tr>
      <w:tr w:rsidR="00335CBC" w:rsidRPr="00335CBC" w:rsidTr="00631438">
        <w:trPr>
          <w:trHeight w:val="31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335CBC" w:rsidRPr="00335CBC" w:rsidTr="00631438">
        <w:trPr>
          <w:trHeight w:val="485"/>
          <w:jc w:val="center"/>
        </w:trPr>
        <w:tc>
          <w:tcPr>
            <w:tcW w:w="175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09" w:type="pct"/>
            <w:gridSpan w:val="2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631438">
        <w:trPr>
          <w:trHeight w:val="255"/>
          <w:jc w:val="center"/>
        </w:trPr>
        <w:tc>
          <w:tcPr>
            <w:tcW w:w="175" w:type="pct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09" w:type="pct"/>
            <w:gridSpan w:val="2"/>
            <w:shd w:val="clear" w:color="auto" w:fill="D9D9D9"/>
            <w:noWrap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335CBC" w:rsidRPr="00335CBC" w:rsidRDefault="00335CBC" w:rsidP="00335CBC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335CBC" w:rsidRPr="00335CBC" w:rsidTr="00631438">
        <w:trPr>
          <w:trHeight w:val="992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Koszty działań informacyjno/promocyjnych poniesione w ramach kosztów bezpośrednich stanowią nie więcej niż poziom wskazany  w odpowiednim regionalnym programie polityki zdrowotnej/regulaminie konkursu.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6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obowiązkowych badań z zakresu medycyny pracy.</w:t>
            </w:r>
          </w:p>
        </w:tc>
        <w:tc>
          <w:tcPr>
            <w:tcW w:w="603" w:type="pct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Pracodawca na podstawie przepisów rozdziału VI ustawy z dnia 26 czerwca 1974 r. Kodeks pracy oraz ustawy z dnia 27 czerwca 1997 r. o służbie medycyny pracy  zobowiązany jest zapewnić pracownikom, na swój koszt, profilaktyczną opiekę lekarską, tj. m.in. wstępne, okresowe i kontrolne badania lekarskie. Działania realizowane w ramach projektu wykraczają poza zakres ww. badań.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566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i efektywne i uzasadnione.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konkursu, a usługi zdrowotne są realizowane w oparciu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proofErr w:type="spellStart"/>
            <w:r w:rsidRPr="00335CBC">
              <w:rPr>
                <w:rFonts w:ascii="Calibri" w:eastAsia="Calibri" w:hAnsi="Calibri" w:cs="Arial"/>
                <w:sz w:val="16"/>
                <w:szCs w:val="16"/>
              </w:rPr>
              <w:t>Evidence</w:t>
            </w:r>
            <w:proofErr w:type="spellEnd"/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35CBC">
              <w:rPr>
                <w:rFonts w:ascii="Calibri" w:eastAsia="Calibri" w:hAnsi="Calibri" w:cs="Arial"/>
                <w:sz w:val="16"/>
                <w:szCs w:val="16"/>
              </w:rPr>
              <w:t>Based</w:t>
            </w:r>
            <w:proofErr w:type="spellEnd"/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335CBC">
              <w:rPr>
                <w:rFonts w:ascii="Calibri" w:eastAsia="Calibri" w:hAnsi="Calibri" w:cs="Arial"/>
                <w:sz w:val="16"/>
                <w:szCs w:val="16"/>
              </w:rPr>
              <w:t>Medicine</w:t>
            </w:r>
            <w:proofErr w:type="spellEnd"/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Kryterium nie dotyczy w sytuacji braku odpowiedniego regionalnego programu zdrowotnego.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5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Projekt realizowany jest w oparciu o analizę występowania niekorzystnych czynników zdrowotnych w miejscu pracy.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występowania niekorzystnych czynników zdrowotnych w miejscu pracy.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5" w:type="pct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Wsparcie pracodawcy w opracowaniu i wdrożeniu rozwiązań organizacyjnych przyczyniających się do eliminacji zidentyfikowanych zagrożeń dla zdrowia. 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realizacji działań mających na celu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opracowanie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wdrożenie rozwiązań organizacyjnych w zakładzie pracy przyczyniających się do eliminacji zidentyfikowanych zagrożeń dla zdrowia pracowników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50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50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335CBC" w:rsidRPr="00335CBC" w:rsidDel="009E20A5" w:rsidTr="00631438">
        <w:trPr>
          <w:trHeight w:val="930"/>
          <w:jc w:val="center"/>
        </w:trPr>
        <w:tc>
          <w:tcPr>
            <w:tcW w:w="175" w:type="pct"/>
            <w:tcBorders>
              <w:top w:val="single" w:sz="4" w:space="0" w:color="92D050"/>
            </w:tcBorders>
            <w:shd w:val="clear" w:color="auto" w:fill="FFFFFF"/>
            <w:noWrap/>
            <w:vAlign w:val="center"/>
          </w:tcPr>
          <w:p w:rsidR="00335CBC" w:rsidRPr="00335CBC" w:rsidDel="009E20A5" w:rsidRDefault="00335CBC" w:rsidP="00335CBC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 (jeśli dotyczy).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z dnia 15 kwietnia 2011 r. </w:t>
            </w: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o działalności leczniczej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samodzielne publiczne zakłady opieki zdrowotnej, 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instytuty badawcze, o których mowa w art. 3 ustawy z dnia 30 kwietnia 2010 r.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o instytutach badawczych, 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fundacje i stowarzyszenia, których celem statutowym jest wykonywanie zadań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335CBC" w:rsidRPr="00335CBC" w:rsidRDefault="00335CBC" w:rsidP="00335CBC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jednostki wojskowe – w zakresie, w jakim wykonują działalność leczniczą.</w:t>
            </w:r>
          </w:p>
          <w:p w:rsidR="00335CBC" w:rsidRPr="00335CBC" w:rsidRDefault="00335CBC" w:rsidP="00335CBC">
            <w:pPr>
              <w:spacing w:after="0" w:line="240" w:lineRule="auto"/>
              <w:ind w:left="357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  <w:p w:rsidR="00335CBC" w:rsidRPr="00335CBC" w:rsidRDefault="00335CBC" w:rsidP="00335CBC">
            <w:pPr>
              <w:spacing w:after="0" w:line="240" w:lineRule="auto"/>
              <w:ind w:left="357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335CBC" w:rsidRPr="00335CBC" w:rsidRDefault="00335CBC" w:rsidP="00335CBC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335CBC" w:rsidRPr="00335CBC" w:rsidRDefault="00335CBC" w:rsidP="00335CBC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335CBC" w:rsidRPr="00335CBC" w:rsidRDefault="00335CBC" w:rsidP="00335CBC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273"/>
        <w:gridCol w:w="1681"/>
        <w:gridCol w:w="615"/>
        <w:gridCol w:w="948"/>
        <w:gridCol w:w="5904"/>
      </w:tblGrid>
      <w:tr w:rsidR="00335CBC" w:rsidRPr="00335CBC" w:rsidTr="00631438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335CBC" w:rsidRPr="00335CBC" w:rsidTr="00335CBC">
        <w:trPr>
          <w:trHeight w:val="254"/>
          <w:jc w:val="center"/>
        </w:trPr>
        <w:tc>
          <w:tcPr>
            <w:tcW w:w="201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28" w:type="pct"/>
            <w:shd w:val="clear" w:color="auto" w:fill="BFBFBF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20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39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35CBC" w:rsidRPr="00335CBC" w:rsidTr="00335CBC">
        <w:trPr>
          <w:trHeight w:val="69"/>
          <w:jc w:val="center"/>
        </w:trPr>
        <w:tc>
          <w:tcPr>
            <w:tcW w:w="201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8" w:type="pct"/>
            <w:shd w:val="clear" w:color="auto" w:fill="D9D9D9"/>
            <w:noWrap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1" w:type="pct"/>
            <w:shd w:val="clear" w:color="auto" w:fill="D9D9D9"/>
            <w:vAlign w:val="center"/>
          </w:tcPr>
          <w:p w:rsidR="00335CBC" w:rsidRPr="00335CBC" w:rsidRDefault="00335CBC" w:rsidP="00335CB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335CBC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335CBC" w:rsidRPr="00335CBC" w:rsidTr="00335CBC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335CBC" w:rsidRPr="00335CBC" w:rsidRDefault="00335CBC" w:rsidP="00335C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335CBC" w:rsidRPr="00335CBC" w:rsidRDefault="00335CBC" w:rsidP="00335CBC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335CBC" w:rsidRPr="00335CBC" w:rsidRDefault="00335CBC" w:rsidP="00335CBC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335CBC" w:rsidRPr="00335CBC" w:rsidTr="00335CBC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Projekt przewiduje działania konsolidacyjne lub inne formy współpracy podmiotów wykonujących działalność leczniczą.</w:t>
            </w: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0 lub 2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Preferencje dla projektów przewidujących działania konsolidacyjne lub działania dotyczące współpracy podmiotów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>Jego celem jest wybór projektów opartych na partnerstwie, które może stanowić podwaliny pod dalszą współpracę również po zakończeniu realizacji projektu.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0 pkt – projekt nie przewiduje działań konsolidacyjnych lub działań dotyczących współpracy podmiotów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2 pkt – projekt przewiduje działania konsolidacyjne lub działania dotyczące współpracy podmiotów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335CBC" w:rsidRPr="00335CBC" w:rsidTr="00335CBC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i zrzeszającym podmioty świadczące usługi w zakresie POZ (jeśli dotyczy). </w:t>
            </w:r>
          </w:p>
          <w:p w:rsidR="00335CBC" w:rsidRPr="00335CBC" w:rsidRDefault="00335CBC" w:rsidP="00335CB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Partner społeczny (organizacja pozarządowa, związek pracodawców, związek pracowników) reprezentujący interesy i zrzeszający placówki podstawowej opieki zdrowotnej rozumiane zgodnie z definicją zawartą w ustawie z dnia 15 kwietnia 2011 r. </w:t>
            </w:r>
            <w:r w:rsidRPr="00335CBC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 xml:space="preserve">o działalności leczniczej. 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  w zakresie POZ</w:t>
            </w: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:rsidR="00335CBC" w:rsidRPr="00335CBC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335CBC" w:rsidRPr="00335CBC" w:rsidTr="00335CBC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:rsidR="00335CBC" w:rsidRPr="00335CBC" w:rsidRDefault="00335CBC" w:rsidP="00335C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 (jeśli dotyczy).</w:t>
            </w: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z Płatnikiem.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:rsidR="00335CBC" w:rsidRPr="00335CBC" w:rsidRDefault="00335CBC" w:rsidP="00335CB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współpracy </w:t>
            </w:r>
            <w:r w:rsidRPr="00335CBC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>z jednostką</w:t>
            </w:r>
            <w:r w:rsidRPr="00335CBC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335CBC" w:rsidRPr="00335CBC" w:rsidDel="008F3CE4" w:rsidTr="00335CBC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:rsidR="00335CBC" w:rsidRPr="00335CBC" w:rsidDel="008F3CE4" w:rsidRDefault="00335CBC" w:rsidP="00335C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Del="008F3CE4" w:rsidRDefault="00335CBC" w:rsidP="00335CB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jest realizowany w partnerstwie pomiędzy podmiotem wykonującym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działalność leczniczą  </w:t>
            </w:r>
            <w:r w:rsidRPr="00335CBC">
              <w:rPr>
                <w:rFonts w:ascii="Calibri" w:eastAsia="Calibri" w:hAnsi="Calibri" w:cs="Arial"/>
                <w:color w:val="000000"/>
                <w:sz w:val="16"/>
                <w:szCs w:val="16"/>
              </w:rPr>
              <w:t>a organizacjami pozarządowymi (jeśli dotyczy).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Del="008F3CE4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Del="008F3CE4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Del="008F3CE4" w:rsidRDefault="00335CBC" w:rsidP="003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bCs/>
                <w:sz w:val="16"/>
                <w:szCs w:val="16"/>
              </w:rPr>
              <w:t>0, 1, 2 lub 3 pkt.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35CBC" w:rsidRPr="00335CBC" w:rsidRDefault="00335CBC" w:rsidP="00335CB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pozarządową, w tym w szczególności reprezentującą interesy pacjentów i posiadającą co najmniej dwuletnie doświadczenie w eliminowania szkodliwych czynników ryzyka w miejscu pracy. 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1 pkt – projekt realizowany w partnerstwie z co najmniej jedną organizacją pozarządową niereprezentującą interesów pacjentów  i nieposiadającą co najmniej dwuletniego doświadczenia w eliminowania szkodliwych czynników ryzyka w miejscu pracy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2  pkt –  projekt realizowany z co najmniej jedną organizacją pozarządową reprezentującą interesy pacjentów i posiadającą co najmniej dwuletnie doświadczenie w eliminowania szkodliwych czynników ryzyka w miejscu pracy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:rsidR="00335CBC" w:rsidRPr="00335CBC" w:rsidDel="008F3CE4" w:rsidRDefault="00335CBC" w:rsidP="00335CB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musi wykazać we wniosku o dofinansowanie zasadność zawiązania </w:t>
            </w:r>
            <w:r w:rsidRPr="00335CBC">
              <w:rPr>
                <w:rFonts w:ascii="Calibri" w:eastAsia="Calibri" w:hAnsi="Calibri" w:cs="Times New Roman"/>
                <w:sz w:val="16"/>
                <w:szCs w:val="16"/>
              </w:rPr>
              <w:br/>
              <w:t>w projekcie ww. partnerstw.</w:t>
            </w:r>
          </w:p>
        </w:tc>
      </w:tr>
      <w:tr w:rsidR="00335CBC" w:rsidRPr="00335CBC" w:rsidDel="008F3CE4" w:rsidTr="00335CBC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:rsidR="00335CBC" w:rsidRPr="00335CBC" w:rsidDel="008F3CE4" w:rsidRDefault="00335CBC" w:rsidP="00335CBC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335CBC" w:rsidRPr="00335CBC" w:rsidRDefault="00335CBC" w:rsidP="00335CBC">
            <w:pPr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Default="00335CBC" w:rsidP="00335CBC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335CBC" w:rsidRPr="00335CBC" w:rsidRDefault="00335CBC" w:rsidP="00335CBC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Strategii  na 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(SOR) i dotyczy miast powyżej 20 tys. mieszkańców z wyłączeniem miast wojewódzkich oraz miast z liczbą ludności 15-20 tys. mieszkańców będących stolicami powiatów. Lista miast średnich   wskazana jest 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opracowanego na potrzeby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na rzecz Odpowiedzialnego Rozwoju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stanowi załącznik do regulaminu konkursu.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zakłada objęcia wsparciem miast średnich, w  tym 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spośród miast wskazanych w załączniku nr 1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Delimitacja miast średnich tracących funkcje społeczno-gospodarcze.</w:t>
            </w:r>
          </w:p>
          <w:p w:rsidR="00335CBC" w:rsidRPr="00335CBC" w:rsidRDefault="00335CBC" w:rsidP="00335CBC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 za wyjątkiem sytuacji, gdy z listy miast wskazanych w załączniku nr 1 oraz listy miast wskazanych w załączniku nr 2 do dokumentu pn. </w:t>
            </w:r>
            <w:r w:rsidRPr="00335CBC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335CBC">
              <w:rPr>
                <w:rFonts w:ascii="Calibri" w:eastAsia="Times New Roman" w:hAnsi="Calibri" w:cs="Times New Roman"/>
                <w:sz w:val="16"/>
                <w:szCs w:val="16"/>
              </w:rPr>
              <w:t>wybrano to samo miasto.</w:t>
            </w:r>
          </w:p>
        </w:tc>
      </w:tr>
    </w:tbl>
    <w:p w:rsidR="007B0621" w:rsidRPr="00335CBC" w:rsidRDefault="007B0621" w:rsidP="00335CBC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sectPr w:rsidR="007B0621" w:rsidRPr="00335CBC" w:rsidSect="00335CB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2F" w:rsidRDefault="00D97B2F" w:rsidP="00D97B2F">
      <w:pPr>
        <w:spacing w:after="0" w:line="240" w:lineRule="auto"/>
      </w:pPr>
      <w:r>
        <w:separator/>
      </w:r>
    </w:p>
  </w:endnote>
  <w:endnote w:type="continuationSeparator" w:id="0">
    <w:p w:rsidR="00D97B2F" w:rsidRDefault="00D97B2F" w:rsidP="00D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2F" w:rsidRDefault="00D97B2F" w:rsidP="00D97B2F">
      <w:pPr>
        <w:spacing w:after="0" w:line="240" w:lineRule="auto"/>
      </w:pPr>
      <w:r>
        <w:separator/>
      </w:r>
    </w:p>
  </w:footnote>
  <w:footnote w:type="continuationSeparator" w:id="0">
    <w:p w:rsidR="00D97B2F" w:rsidRDefault="00D97B2F" w:rsidP="00D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2F" w:rsidRDefault="00D97B2F" w:rsidP="00D97B2F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172</w:t>
    </w:r>
    <w:r>
      <w:rPr>
        <w:i/>
        <w:sz w:val="20"/>
        <w:szCs w:val="20"/>
      </w:rPr>
      <w:t>/2018 KM RPO WO 2014-2020</w:t>
    </w:r>
  </w:p>
  <w:p w:rsidR="00D97B2F" w:rsidRDefault="00D97B2F" w:rsidP="00D97B2F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D97B2F" w:rsidRDefault="00D97B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36C8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BE6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71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0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199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18A3"/>
    <w:multiLevelType w:val="hybridMultilevel"/>
    <w:tmpl w:val="A4C24966"/>
    <w:lvl w:ilvl="0" w:tplc="37E24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7CC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44D3"/>
    <w:multiLevelType w:val="hybridMultilevel"/>
    <w:tmpl w:val="B0FEA496"/>
    <w:lvl w:ilvl="0" w:tplc="B9A6C2D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E3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E589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37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30C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1B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C76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774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B4BD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03B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A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61A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E108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1B7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437D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B8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869C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E2BE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41A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22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C64C3"/>
    <w:multiLevelType w:val="hybridMultilevel"/>
    <w:tmpl w:val="910CEF30"/>
    <w:lvl w:ilvl="0" w:tplc="98581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56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7717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B2B8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B258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91005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3"/>
  </w:num>
  <w:num w:numId="4">
    <w:abstractNumId w:val="46"/>
  </w:num>
  <w:num w:numId="5">
    <w:abstractNumId w:val="41"/>
  </w:num>
  <w:num w:numId="6">
    <w:abstractNumId w:val="21"/>
  </w:num>
  <w:num w:numId="7">
    <w:abstractNumId w:val="1"/>
  </w:num>
  <w:num w:numId="8">
    <w:abstractNumId w:val="11"/>
  </w:num>
  <w:num w:numId="9">
    <w:abstractNumId w:val="47"/>
  </w:num>
  <w:num w:numId="10">
    <w:abstractNumId w:val="49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39"/>
  </w:num>
  <w:num w:numId="16">
    <w:abstractNumId w:val="20"/>
  </w:num>
  <w:num w:numId="17">
    <w:abstractNumId w:val="4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12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50"/>
  </w:num>
  <w:num w:numId="26">
    <w:abstractNumId w:val="14"/>
  </w:num>
  <w:num w:numId="27">
    <w:abstractNumId w:val="44"/>
  </w:num>
  <w:num w:numId="28">
    <w:abstractNumId w:val="29"/>
  </w:num>
  <w:num w:numId="29">
    <w:abstractNumId w:val="16"/>
  </w:num>
  <w:num w:numId="30">
    <w:abstractNumId w:val="19"/>
  </w:num>
  <w:num w:numId="31">
    <w:abstractNumId w:val="30"/>
  </w:num>
  <w:num w:numId="32">
    <w:abstractNumId w:val="27"/>
  </w:num>
  <w:num w:numId="33">
    <w:abstractNumId w:val="18"/>
  </w:num>
  <w:num w:numId="34">
    <w:abstractNumId w:val="22"/>
  </w:num>
  <w:num w:numId="35">
    <w:abstractNumId w:val="24"/>
  </w:num>
  <w:num w:numId="36">
    <w:abstractNumId w:val="25"/>
  </w:num>
  <w:num w:numId="37">
    <w:abstractNumId w:val="31"/>
  </w:num>
  <w:num w:numId="38">
    <w:abstractNumId w:val="40"/>
  </w:num>
  <w:num w:numId="39">
    <w:abstractNumId w:val="23"/>
  </w:num>
  <w:num w:numId="40">
    <w:abstractNumId w:val="10"/>
  </w:num>
  <w:num w:numId="41">
    <w:abstractNumId w:val="45"/>
  </w:num>
  <w:num w:numId="42">
    <w:abstractNumId w:val="6"/>
  </w:num>
  <w:num w:numId="43">
    <w:abstractNumId w:val="32"/>
  </w:num>
  <w:num w:numId="44">
    <w:abstractNumId w:val="43"/>
  </w:num>
  <w:num w:numId="45">
    <w:abstractNumId w:val="36"/>
  </w:num>
  <w:num w:numId="46">
    <w:abstractNumId w:val="34"/>
  </w:num>
  <w:num w:numId="47">
    <w:abstractNumId w:val="17"/>
  </w:num>
  <w:num w:numId="48">
    <w:abstractNumId w:val="8"/>
  </w:num>
  <w:num w:numId="49">
    <w:abstractNumId w:val="15"/>
  </w:num>
  <w:num w:numId="50">
    <w:abstractNumId w:val="2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C"/>
    <w:rsid w:val="00335CBC"/>
    <w:rsid w:val="007B0621"/>
    <w:rsid w:val="00D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33C8-0420-4DCD-8135-2B19827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35CB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5C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335CBC"/>
  </w:style>
  <w:style w:type="paragraph" w:styleId="Tekstdymka">
    <w:name w:val="Balloon Text"/>
    <w:basedOn w:val="Normalny"/>
    <w:link w:val="TekstdymkaZnak"/>
    <w:uiPriority w:val="99"/>
    <w:semiHidden/>
    <w:rsid w:val="00335C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CB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335CB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335CBC"/>
    <w:pPr>
      <w:tabs>
        <w:tab w:val="right" w:leader="dot" w:pos="9060"/>
      </w:tabs>
      <w:spacing w:after="0" w:line="240" w:lineRule="auto"/>
      <w:jc w:val="both"/>
    </w:pPr>
    <w:rPr>
      <w:rFonts w:ascii="Calibri" w:eastAsia="Times New Roman" w:hAnsi="Calibri" w:cs="Times New Roman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35C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35C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35C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35CB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35C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335CBC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qFormat/>
    <w:rsid w:val="00335CBC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335CBC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335CBC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semiHidden/>
    <w:rsid w:val="00335C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5CBC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CB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5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B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335C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CB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CB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CBC"/>
    <w:rPr>
      <w:vertAlign w:val="superscript"/>
    </w:rPr>
  </w:style>
  <w:style w:type="paragraph" w:styleId="Poprawka">
    <w:name w:val="Revision"/>
    <w:hidden/>
    <w:uiPriority w:val="99"/>
    <w:semiHidden/>
    <w:rsid w:val="00335CB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335CB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5CBC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5CBC"/>
    <w:rPr>
      <w:rFonts w:ascii="Consolas" w:eastAsia="Times New Roman" w:hAnsi="Consolas" w:cs="Times New Roman"/>
      <w:sz w:val="20"/>
      <w:szCs w:val="20"/>
    </w:rPr>
  </w:style>
  <w:style w:type="paragraph" w:styleId="Bezodstpw">
    <w:name w:val="No Spacing"/>
    <w:uiPriority w:val="1"/>
    <w:qFormat/>
    <w:rsid w:val="00335C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335CB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Zakotwiczenieprzypisudolnego">
    <w:name w:val="Zakotwiczenie przypisu dolnego"/>
    <w:rsid w:val="00335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11953</Words>
  <Characters>71721</Characters>
  <Application>Microsoft Office Word</Application>
  <DocSecurity>0</DocSecurity>
  <Lines>597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2018-04-17T11:06:00Z</dcterms:created>
  <dcterms:modified xsi:type="dcterms:W3CDTF">2018-04-26T11:42:00Z</dcterms:modified>
</cp:coreProperties>
</file>