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E665FC" w:rsidRP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E665FC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E665FC" w:rsidRP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E665FC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E665FC" w:rsidRPr="00E665FC" w:rsidRDefault="00E665FC" w:rsidP="00E665FC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E665FC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E665FC" w:rsidRPr="00E665FC" w:rsidRDefault="00E665FC" w:rsidP="00E665FC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E665FC" w:rsidRPr="00E665FC" w:rsidRDefault="00E665FC" w:rsidP="00E665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E665FC" w:rsidRPr="00E665FC" w:rsidRDefault="00E665FC" w:rsidP="00E665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E665FC" w:rsidRPr="00E665FC" w:rsidRDefault="00E665FC" w:rsidP="00E665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E665FC" w:rsidRDefault="00E665FC" w:rsidP="00E665FC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9305FA" w:rsidRPr="00E665FC" w:rsidRDefault="009305FA" w:rsidP="00E665FC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  <w:sectPr w:rsidR="009305FA" w:rsidRPr="00E665FC" w:rsidSect="00150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5"/>
        <w:gridCol w:w="2835"/>
        <w:gridCol w:w="2127"/>
        <w:gridCol w:w="6667"/>
      </w:tblGrid>
      <w:tr w:rsidR="00E665FC" w:rsidRPr="00E665FC" w:rsidTr="00C629A1">
        <w:trPr>
          <w:trHeight w:val="318"/>
          <w:jc w:val="center"/>
        </w:trPr>
        <w:tc>
          <w:tcPr>
            <w:tcW w:w="3397" w:type="dxa"/>
            <w:gridSpan w:val="2"/>
            <w:noWrap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lastRenderedPageBreak/>
              <w:t>Oś priorytetowa</w:t>
            </w:r>
          </w:p>
        </w:tc>
        <w:tc>
          <w:tcPr>
            <w:tcW w:w="11629" w:type="dxa"/>
            <w:gridSpan w:val="3"/>
            <w:shd w:val="clear" w:color="auto" w:fill="FFFFFF"/>
            <w:noWrap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 xml:space="preserve">IX </w:t>
            </w:r>
            <w:r w:rsidRPr="00E665FC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Wysoka jakość edukacji</w:t>
            </w:r>
          </w:p>
        </w:tc>
      </w:tr>
      <w:tr w:rsidR="00E665FC" w:rsidRPr="00E665FC" w:rsidTr="00C629A1">
        <w:trPr>
          <w:trHeight w:val="318"/>
          <w:jc w:val="center"/>
        </w:trPr>
        <w:tc>
          <w:tcPr>
            <w:tcW w:w="3397" w:type="dxa"/>
            <w:gridSpan w:val="2"/>
            <w:noWrap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E665FC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E665FC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11629" w:type="dxa"/>
            <w:gridSpan w:val="3"/>
            <w:shd w:val="clear" w:color="auto" w:fill="FFFFFF"/>
            <w:noWrap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9.1 Rozwój edukacji</w:t>
            </w:r>
          </w:p>
        </w:tc>
      </w:tr>
      <w:tr w:rsidR="00E665FC" w:rsidRPr="00E665FC" w:rsidTr="00C629A1">
        <w:trPr>
          <w:trHeight w:val="318"/>
          <w:jc w:val="center"/>
        </w:trPr>
        <w:tc>
          <w:tcPr>
            <w:tcW w:w="3397" w:type="dxa"/>
            <w:gridSpan w:val="2"/>
            <w:noWrap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Poddziałanie</w:t>
            </w:r>
          </w:p>
        </w:tc>
        <w:tc>
          <w:tcPr>
            <w:tcW w:w="11629" w:type="dxa"/>
            <w:gridSpan w:val="3"/>
            <w:shd w:val="clear" w:color="auto" w:fill="FFFFFF"/>
          </w:tcPr>
          <w:p w:rsidR="00E665FC" w:rsidRPr="00E665FC" w:rsidRDefault="00E665FC" w:rsidP="00E665FC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9.1.3 Wsparcie edukacji przedszkolnej</w:t>
            </w:r>
          </w:p>
        </w:tc>
      </w:tr>
      <w:tr w:rsidR="000F14CE" w:rsidRPr="000F48AD" w:rsidTr="00AB22E6">
        <w:trPr>
          <w:trHeight w:val="318"/>
          <w:jc w:val="center"/>
        </w:trPr>
        <w:tc>
          <w:tcPr>
            <w:tcW w:w="15026" w:type="dxa"/>
            <w:gridSpan w:val="5"/>
            <w:shd w:val="clear" w:color="auto" w:fill="A6A6A6"/>
            <w:noWrap/>
            <w:vAlign w:val="center"/>
          </w:tcPr>
          <w:p w:rsidR="000F14CE" w:rsidRPr="000F48AD" w:rsidRDefault="000F14CE" w:rsidP="0015058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0F48AD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C629A1" w:rsidRPr="00E665FC" w:rsidTr="00C629A1">
        <w:trPr>
          <w:trHeight w:val="573"/>
          <w:jc w:val="center"/>
        </w:trPr>
        <w:tc>
          <w:tcPr>
            <w:tcW w:w="562" w:type="dxa"/>
            <w:shd w:val="clear" w:color="auto" w:fill="BFBFBF"/>
            <w:noWrap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2835" w:type="dxa"/>
            <w:shd w:val="clear" w:color="auto" w:fill="BFBFBF"/>
            <w:noWrap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Charakter kryterium</w:t>
            </w: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br/>
              <w:t>W/B</w:t>
            </w:r>
          </w:p>
        </w:tc>
        <w:tc>
          <w:tcPr>
            <w:tcW w:w="6667" w:type="dxa"/>
            <w:shd w:val="clear" w:color="auto" w:fill="BFBFBF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C629A1" w:rsidRPr="00E665FC" w:rsidTr="00C629A1">
        <w:trPr>
          <w:trHeight w:val="277"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/>
            <w:noWrap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6667" w:type="dxa"/>
            <w:shd w:val="clear" w:color="auto" w:fill="D9D9D9"/>
            <w:vAlign w:val="center"/>
          </w:tcPr>
          <w:p w:rsidR="00C629A1" w:rsidRPr="00E665FC" w:rsidRDefault="00C629A1" w:rsidP="00A669A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Ograniczenie terytorialne realizacji projektu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 o dofinansowanie</w:t>
            </w:r>
            <w:r w:rsidRPr="00E665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Ze wsparcia wyłączone (i) są: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- ośrodki wychowania przedszkolnego  (OWP) z terenu Aglomeracji Opolskiej,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- dzieci w wieku przedszkolnym wyżej wymienionych ośrodków wychowania przedszkolnego i  ich rodzice/opiekunowie, 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- nauczyciele wyżej wymienionych ośrodków wychowania przedszkolnego </w:t>
            </w: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przypadku projektów zakładających tworzenie nowych miejsc wychowania przedszkolnego będą one finansowane wyłącznie, jeżeli zostanie zagwarantowana trwałość </w:t>
            </w:r>
            <w:r w:rsidRPr="00E665F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utworzonych w ramach projektu miejsc wychowania przedszkolnego, przez okres co najmniej 2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lat</w:t>
            </w:r>
            <w:r w:rsidRPr="00E665F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od daty zakończenia realizacji projektu, określonej w umowie o dofinansowanie projektu. </w:t>
            </w: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Trwałość powinna być rozumiana jako instytucjonalna gotowość ośrodków wychowania przedszkolnego (OWP) do świadczenia usług przedszkolnych w ramach utworzonych w projekcie miejsc wychowania przedszkolnego </w:t>
            </w:r>
            <w:r w:rsidRPr="00E665F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finansowana ze środków innych niż europejskie</w:t>
            </w: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E665F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E665F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Liczba zadeklarowanych w arkuszu organizacyjnym placówki miejsc wychowania przedszkolnego musi uwzględniać dokładną liczbę miejsc utworzonych w projekcie</w:t>
            </w: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.</w:t>
            </w:r>
            <w:r w:rsidRPr="00E665FC">
              <w:rPr>
                <w:rFonts w:ascii="Calibri" w:eastAsia="Calibri" w:hAnsi="Calibri" w:cs="Arial"/>
                <w:sz w:val="16"/>
                <w:szCs w:val="16"/>
              </w:rPr>
              <w:t xml:space="preserve"> Wnioskodawca zobowiązany jest </w:t>
            </w: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do zamieszczenia we wniosku o dofinansowanie informacji dotyczącej utrzymania utworzonych w ramach projektu miejsc wychowania przedszkolnego przez okres co najmniej 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lata </w:t>
            </w: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licząc od daty zakończenia </w:t>
            </w:r>
            <w:r w:rsidRPr="00E665FC">
              <w:rPr>
                <w:rFonts w:ascii="Calibri" w:eastAsia="Calibri" w:hAnsi="Calibri" w:cs="Times New Roman"/>
                <w:bCs/>
                <w:sz w:val="16"/>
                <w:szCs w:val="16"/>
              </w:rPr>
              <w:t>realizacji projektu</w:t>
            </w: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C629A1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A669A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B22E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Okres finansowania działań realizowanych w ramach projektu.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</w:t>
            </w:r>
          </w:p>
          <w:p w:rsidR="00C629A1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AB22E6" w:rsidRDefault="00C629A1" w:rsidP="00AB22E6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B22E6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20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Mechanizm przeciwdziałania ryzyku podwójnego finansowania 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Default="00C629A1" w:rsidP="00A669A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Korzystanie z finansowania działalności bieżącej nowo utworzonych miejsc wychowania przedszkolnego obliguje organ prowadzący OWP do złożenia zobowiązania do sfinansowania działalności bieżącej wyłącznie ze środków EFS bądź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wyłącznie z krajowych środków publicznych, przeznaczonych na finansowanie wychowania przedszkolnego. Beneficjent powinien podjąć decyzję, czy działalność bieżąca będzie w tym przypadku finansowana ze środków UE, czy z krajowych środków publicznych.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 przypadku publicznych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i niepublicznych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OWP prowadzonych przez podmioty inne niż JST,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</w:t>
            </w: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Wnioskodawca zobowiązany jest do zamieszczenia we wniosku o dofinansowanie powyższej informacji.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B143C7" w:rsidRDefault="00C629A1" w:rsidP="00A669A9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3C7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669A9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A669A9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ośrodków wychowania przedszkolnego.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Weryfikuje się czy realizacja wsparcia dokonywana jest na podstawie indywidualnie zdiagnozowanego zapotrzebowania OWP  objętego wsparciem. Diagnoza powinna być przygotowana i przeprowadzona przez OWP lub organ prowadzący OWP lub inny podmiot prowadzący działalność o charakterze edukacyjnym lub badawczym oraz zatwierdzona przez organ prowadzący bądź osobę upoważnioną do podejmowania decyzji. Przez organ prowadzący rozumie się ministra właściwego, jednostkę samorządu terytorialnego, osobę prawną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niebędącą jednostką samorządu terytorialnego oraz osobę fizyczną, odpowiedzialną za działalność OWP, szkoły lub placówki systemu oświaty. </w:t>
            </w: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Wnioskodawca zobowiązany jest do zamieszczenia we wniosku o dofinansowanie projektu informacji, że diagnoza została zatwierdzona przez organ prowadzący bądź osobę upoważnioną do podejmowania decyzji.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Podmiot przeprowadzający diagnozę  może skorzystać ze wsparcia instytucji systemu wspomagania pracy OWP tj. placówki doskonalenia nauczycieli, poradni psychologiczno-pedagogicznej lub biblioteki pedagogicznej. Wnioski z diagnozy muszą stanowić element wniosku o dofinansowanie projektu.</w:t>
            </w:r>
          </w:p>
          <w:p w:rsidR="00C629A1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A669A9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669A9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Analiza potrzeb dzieci w wieku przedszkolnym.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dzieci objętych wsparciem, w tym z niepełnosprawnościami, poparte diagnozą przedstawioną we wniosku o dofinansowanie projektu. Wnioskodawca zobowiązany jest do zamieszczenia we wniosku o dofinansowanie stosownej informacji.</w:t>
            </w:r>
          </w:p>
          <w:p w:rsidR="00C629A1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A669A9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669A9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Del="00AF7318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Indywidualna diagnoza stopnia przygotowania nauczycieli ośrodków wychowania przedszkolnego do pracy z dziećmi w wieku przedszkolnym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Realizacja projektu w zakresie doskonalenia umiejętności i kompetencji zawodowych nauczycieli OWP powinna każdorazowo zostać poprzedzona diagnozą stopnia przygotowania ww. grupy docelowej do pracy z dziećmi w wieku przedszkolnym, w tym z dziećmi ze specjalnymi potrzebami edukacyjnymi oraz analizą zapotrzebowania OWP na określone kompetencje i kwalifikacje. </w:t>
            </w: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Wnioskodawca zobowiązany jest do zamieszczenia we wniosku </w:t>
            </w: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br/>
              <w:t>o dofinansowanie projektu informacji, że realizacja projektu została/zostanie poprzedzona diagnozą stopnia przygotowania nauczycieli OWP do pracy z dziećmi w wieku przedszkolnym.</w:t>
            </w: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645CA">
              <w:rPr>
                <w:rFonts w:ascii="Calibri" w:eastAsia="Times New Roman" w:hAnsi="Calibri" w:cs="Times New Roman"/>
                <w:sz w:val="16"/>
                <w:szCs w:val="16"/>
              </w:rPr>
              <w:t>Podmiot przeprowadzający diagnozę może skorzystać ze wsparcia instytucji wspomagających OWP, tj.</w:t>
            </w:r>
            <w:r w:rsidRPr="00D645CA">
              <w:rPr>
                <w:rFonts w:ascii="Calibri" w:eastAsia="Times New Roman" w:hAnsi="Calibri" w:cs="Times New Roman"/>
                <w:sz w:val="16"/>
                <w:szCs w:val="16"/>
              </w:rPr>
              <w:br/>
              <w:t>z uwzględnieniem narzędzi i metodologii opracowanych przez MEN i jednostki podległe lub nadzorowane.</w:t>
            </w:r>
          </w:p>
          <w:p w:rsidR="00C629A1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A669A9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669A9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Del="00AF7318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Del="00335783" w:rsidRDefault="00C629A1" w:rsidP="00A669A9">
            <w:pPr>
              <w:spacing w:after="20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</w:t>
            </w:r>
          </w:p>
        </w:tc>
        <w:tc>
          <w:tcPr>
            <w:tcW w:w="2835" w:type="dxa"/>
            <w:vAlign w:val="center"/>
          </w:tcPr>
          <w:p w:rsidR="00C629A1" w:rsidRPr="00E665FC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C629A1" w:rsidRPr="00E665FC" w:rsidDel="00335783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2127" w:type="dxa"/>
            <w:noWrap/>
            <w:vAlign w:val="center"/>
          </w:tcPr>
          <w:p w:rsidR="00C629A1" w:rsidRPr="00E665FC" w:rsidDel="00335783" w:rsidRDefault="00C629A1" w:rsidP="00A669A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667" w:type="dxa"/>
            <w:vAlign w:val="center"/>
          </w:tcPr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E665FC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programów rządowych. </w:t>
            </w: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  <w:p w:rsidR="00C629A1" w:rsidRPr="00E665FC" w:rsidRDefault="00C629A1" w:rsidP="00A669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E665FC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C629A1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A669A9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A669A9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C629A1" w:rsidRPr="00E665FC" w:rsidDel="00335783" w:rsidRDefault="00C629A1" w:rsidP="00A669A9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667" w:type="dxa"/>
            <w:vAlign w:val="center"/>
          </w:tcPr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</w:p>
        </w:tc>
      </w:tr>
    </w:tbl>
    <w:p w:rsidR="00E665FC" w:rsidRPr="00E665FC" w:rsidRDefault="00E665FC" w:rsidP="00E665F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516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1985"/>
        <w:gridCol w:w="1842"/>
        <w:gridCol w:w="2268"/>
        <w:gridCol w:w="5529"/>
      </w:tblGrid>
      <w:tr w:rsidR="000F14CE" w:rsidRPr="000F48AD" w:rsidTr="00C629A1">
        <w:trPr>
          <w:trHeight w:val="318"/>
          <w:jc w:val="center"/>
        </w:trPr>
        <w:tc>
          <w:tcPr>
            <w:tcW w:w="15163" w:type="dxa"/>
            <w:gridSpan w:val="6"/>
            <w:shd w:val="clear" w:color="auto" w:fill="A6A6A6"/>
            <w:noWrap/>
            <w:vAlign w:val="center"/>
          </w:tcPr>
          <w:p w:rsidR="000F14CE" w:rsidRPr="000F48AD" w:rsidRDefault="000F14CE" w:rsidP="0015058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0F48AD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C629A1" w:rsidRPr="00E665FC" w:rsidTr="00C629A1">
        <w:trPr>
          <w:trHeight w:val="573"/>
          <w:jc w:val="center"/>
        </w:trPr>
        <w:tc>
          <w:tcPr>
            <w:tcW w:w="704" w:type="dxa"/>
            <w:shd w:val="clear" w:color="auto" w:fill="BFBFBF"/>
            <w:noWrap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2835" w:type="dxa"/>
            <w:shd w:val="clear" w:color="auto" w:fill="BFBFBF"/>
            <w:noWrap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5529" w:type="dxa"/>
            <w:shd w:val="clear" w:color="auto" w:fill="BFBFBF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C629A1" w:rsidRPr="00E665FC" w:rsidTr="00C629A1">
        <w:trPr>
          <w:trHeight w:val="277"/>
          <w:jc w:val="center"/>
        </w:trPr>
        <w:tc>
          <w:tcPr>
            <w:tcW w:w="704" w:type="dxa"/>
            <w:shd w:val="clear" w:color="auto" w:fill="D9D9D9"/>
            <w:noWrap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/>
            <w:noWrap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C629A1" w:rsidRPr="00E665FC" w:rsidRDefault="00C629A1" w:rsidP="000802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E665FC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C629A1" w:rsidRPr="00E665FC" w:rsidDel="00912952" w:rsidTr="00C629A1">
        <w:trPr>
          <w:trHeight w:val="594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85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629A1" w:rsidRPr="00E665FC" w:rsidDel="00912952" w:rsidRDefault="00C629A1" w:rsidP="008D782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0,2,3 lub 5pkt</w:t>
            </w:r>
          </w:p>
        </w:tc>
        <w:tc>
          <w:tcPr>
            <w:tcW w:w="5529" w:type="dxa"/>
            <w:vAlign w:val="center"/>
          </w:tcPr>
          <w:p w:rsidR="00C629A1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komplementarny:  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9236C">
              <w:rPr>
                <w:rFonts w:ascii="Calibri" w:eastAsia="Times New Roman" w:hAnsi="Calibri" w:cs="Times New Roman"/>
                <w:sz w:val="16"/>
                <w:szCs w:val="16"/>
              </w:rPr>
              <w:t>- 0 pkt- Projekt nie zakłada komplementarności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- 2 pkt - z projektami współfinansowanymi ze środków unijnych (w tym np. w zakresie wykorzystania sprzętu zakupionego w ramach projektów realizowanych w latach 2007-2015)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- 3 pkt- projekt jest komplementarny  z inicjatywami zaplanowanymi w ramach Programu Specjalnej Strefy Demograficznej 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Punkty sumują się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C629A1" w:rsidRPr="00E665FC" w:rsidRDefault="00C629A1" w:rsidP="000802F2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Ocena kryterium może skutkować wezwaniem do uzupełnienia lub poprawienia projektu  w części dotyczącej spełnienia tego kryterium. </w:t>
            </w:r>
          </w:p>
          <w:p w:rsidR="00C629A1" w:rsidRPr="00E665FC" w:rsidDel="00912952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629A1" w:rsidRPr="00E665FC" w:rsidDel="00912952" w:rsidTr="00C629A1">
        <w:trPr>
          <w:trHeight w:val="428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 w co najmniej 15% skierowany  jest do dzieci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br/>
              <w:t>z grup defaworyzowanych.</w:t>
            </w:r>
          </w:p>
        </w:tc>
        <w:tc>
          <w:tcPr>
            <w:tcW w:w="1985" w:type="dxa"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                 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C629A1" w:rsidRPr="00E665FC" w:rsidDel="00912952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0 </w:t>
            </w:r>
            <w:r w:rsidRPr="00011F65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lub 4 pkt</w:t>
            </w:r>
          </w:p>
        </w:tc>
        <w:tc>
          <w:tcPr>
            <w:tcW w:w="5529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Kryterium ma za zadanie preferowanie objęcia wsparciem w ramach projektu grup znajdujących się </w:t>
            </w:r>
            <w:r w:rsidRPr="00E665F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>w szczególnie trudnej sytuacji.</w:t>
            </w:r>
          </w:p>
          <w:p w:rsidR="00C629A1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Przez grupy defaworyzowane rozumie się: osoby z niepełnosprawnościami , osoby żyjące  w ubóstwie czy doświadczające przejawów dyskryminacji.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9236C">
              <w:rPr>
                <w:rFonts w:ascii="Calibri" w:eastAsia="Times New Roman" w:hAnsi="Calibri" w:cs="Times New Roman"/>
                <w:sz w:val="16"/>
                <w:szCs w:val="16"/>
              </w:rPr>
              <w:t xml:space="preserve">- 0 pkt - Projekt nie jest w co najmniej 15% skierowany  do dzieci z grup defaworyzowanych 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011F65">
              <w:rPr>
                <w:rFonts w:ascii="Calibri" w:eastAsia="Times New Roman" w:hAnsi="Calibri" w:cs="Times New Roman"/>
                <w:sz w:val="16"/>
                <w:szCs w:val="16"/>
              </w:rPr>
              <w:t>4 pkt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- Projekt w co najmniej 15% skierowany jest do dzieci z grup defaworyzowanych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Del="00912952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C629A1" w:rsidRPr="00E665FC" w:rsidDel="009F3276" w:rsidTr="00C629A1">
        <w:trPr>
          <w:trHeight w:val="964"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629A1" w:rsidRPr="00E665FC" w:rsidDel="009F3276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Projekt, w co najmniej 65% skierowany jest do osób zamieszkałych na terenach wiejskich</w:t>
            </w:r>
            <w:r w:rsidRPr="00E665FC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tcBorders>
              <w:left w:val="single" w:sz="4" w:space="0" w:color="92D050"/>
              <w:right w:val="single" w:sz="4" w:space="0" w:color="92D050"/>
            </w:tcBorders>
            <w:noWrap/>
            <w:vAlign w:val="center"/>
          </w:tcPr>
          <w:p w:rsidR="00C629A1" w:rsidRPr="00E665FC" w:rsidDel="009F3276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Del="009F3276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Calibri"/>
                <w:sz w:val="16"/>
                <w:szCs w:val="16"/>
              </w:rPr>
              <w:t xml:space="preserve">0 </w:t>
            </w:r>
            <w:r w:rsidRPr="00011F65">
              <w:rPr>
                <w:rFonts w:ascii="Calibri" w:eastAsia="Times New Roman" w:hAnsi="Calibri" w:cs="Calibri"/>
                <w:sz w:val="16"/>
                <w:szCs w:val="16"/>
              </w:rPr>
              <w:t>lub 4 pkt</w:t>
            </w:r>
          </w:p>
        </w:tc>
        <w:tc>
          <w:tcPr>
            <w:tcW w:w="5529" w:type="dxa"/>
            <w:tcBorders>
              <w:left w:val="single" w:sz="4" w:space="0" w:color="92D050"/>
              <w:right w:val="single" w:sz="4" w:space="0" w:color="92D050"/>
            </w:tcBorders>
          </w:tcPr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665F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Kryterium ma za zadanie preferowanie objęcia wsparciem w ramach projektu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osób zamieszkałych na terenach wiejskich, co</w:t>
            </w:r>
            <w:r w:rsidRPr="00E665F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bezpośrednio wpłynie na wsparcie ośrodków wychowania przedszkolnego położonych na terenach wiejskich.</w:t>
            </w: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665F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Kierowanie środków w ramach realizowanej interwencji na obszary wiejskie sprzyjać będzie zachowaniu spójności pomiędzy miastem a wsią.</w:t>
            </w:r>
          </w:p>
          <w:p w:rsidR="00C629A1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3).Definicja osób zamieszkałych na terenach wiejskich zgodnie z </w:t>
            </w:r>
            <w:r w:rsidRPr="00E665FC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. We wniosku o dofinansowanie  należy wpisać nazwy grup docelowych objętych wsparciem w ramach projektu.</w:t>
            </w:r>
          </w:p>
          <w:p w:rsidR="00C629A1" w:rsidRPr="00E665FC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AB22E6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B22E6">
              <w:rPr>
                <w:rFonts w:ascii="Calibri" w:eastAsia="Times New Roman" w:hAnsi="Calibri" w:cs="Calibri"/>
                <w:sz w:val="16"/>
                <w:szCs w:val="16"/>
              </w:rPr>
              <w:t xml:space="preserve">0 pkt -  Projekt, nie jest w co najmniej 65% skierowany do osób zamieszkałych na terenach wiejskich </w:t>
            </w:r>
          </w:p>
          <w:p w:rsidR="00C629A1" w:rsidRPr="00E665FC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1F65">
              <w:rPr>
                <w:rFonts w:ascii="Calibri" w:eastAsia="Times New Roman" w:hAnsi="Calibri" w:cs="Calibri"/>
                <w:sz w:val="16"/>
                <w:szCs w:val="16"/>
              </w:rPr>
              <w:t>4 pkt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-  Projekt, w co najmniej 65% skierowany jest do osób zamieszkałych na terenach wiejskich</w:t>
            </w:r>
            <w:r w:rsidRPr="00E665FC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629A1" w:rsidRPr="00E665FC" w:rsidDel="009F3276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29A1" w:rsidRPr="00E665FC" w:rsidRDefault="00C629A1" w:rsidP="00A54761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Projekt dotyczy OWP, któr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e nie były odbiorcami interwencji współfinansowanej ze środków EFS, dostępnych w ramach programów operacyjnych w ciągu 36 miesięcy poprzedzających moment złożenia wniosku o dofinansowanie w ramach RPO WO 2014-2020. </w:t>
            </w:r>
          </w:p>
        </w:tc>
        <w:tc>
          <w:tcPr>
            <w:tcW w:w="1985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5529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Punktowane będą ośrodki, które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nie były odbiorcami interwencji  współfinansowanej ze środków EFS  dostępnych w ramach programów operacyjnych w ciągu 36 miesięcy poprzedzających moment złożenia wniosku o dofinansowanie w ramach RPO WO 2014-2020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. Wnioskodawca zobowiązany jest do zamieszczenia  stosownej deklaracji we wniosku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0 pkt  projekt dotyczy OWP, które </w:t>
            </w:r>
            <w:r w:rsidRPr="00203A3D">
              <w:rPr>
                <w:rFonts w:ascii="Calibri" w:eastAsia="Times New Roman" w:hAnsi="Calibri" w:cs="Times New Roman"/>
                <w:sz w:val="16"/>
                <w:szCs w:val="16"/>
              </w:rPr>
              <w:t xml:space="preserve">były odbiorcami interwencji  współfinansowanej ze środków EFS  dostępnych w ramach programów operacyjnych w ciągu 36 miesięcy poprzedzających moment złożenia wniosku o dofinansowanie w ramach RPO WO 2014-2020. </w:t>
            </w: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>5 pkt – co najmn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iej jeden OWP objęty wsparciem </w:t>
            </w: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projektu nie </w:t>
            </w:r>
            <w:r w:rsidRPr="00203A3D">
              <w:rPr>
                <w:rFonts w:ascii="Calibri" w:eastAsia="Times New Roman" w:hAnsi="Calibri" w:cs="Times New Roman"/>
                <w:sz w:val="16"/>
                <w:szCs w:val="16"/>
              </w:rPr>
              <w:t>był odbior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cą  </w:t>
            </w:r>
            <w:r w:rsidRPr="00203A3D">
              <w:rPr>
                <w:rFonts w:ascii="Calibri" w:eastAsia="Times New Roman" w:hAnsi="Calibri" w:cs="Times New Roman"/>
                <w:sz w:val="16"/>
                <w:szCs w:val="16"/>
              </w:rPr>
              <w:t xml:space="preserve"> interwencji  współfinansowanej ze środków EFS  dostępnych w ramach programów operacyjnych w ciągu 36 miesięcy poprzedzających moment złożenia wniosku o dofinansowanie w ramach RPO WO 2014-2020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wsparcie doskonalenia umiejętności, 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br/>
              <w:t>kompetencji lub kwalifikacji zawodowych nauczycieli w zakresie pedagogiki specjalnej.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Wnioskodawca zapewnia, że w ramach wsparcia na rzecz  doskonalenia umiejętności, kompetencji lub kwalifikacji zawodowych nauczycieli będą prowadzone działania służące poprawie kompetencji lub kwalifikacji w zakresie pedagogiki specjalnej:</w:t>
            </w:r>
          </w:p>
          <w:p w:rsidR="00C629A1" w:rsidRPr="00E665FC" w:rsidRDefault="00C629A1" w:rsidP="000802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0 pkt -  projekt nie zakłada działań  służących poprawie kompetencji lub kwalifikacji nauczycieli w zakresie pedagogiki specjalnej,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działania służące poprawie kompetencji lub kwalifikacji nauczycieli w zakresie pedagogiki specjalnej.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428"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Wydłużenie godzin pracy ośrodków wychowania przedszkolnego.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wydłużenie godzin pracy ośrodków wychowania przedszkolnego zgodnie z przeprowadzoną diagnozą.</w:t>
            </w:r>
          </w:p>
          <w:p w:rsidR="00C629A1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>0 pkt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-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Projekt nie zakłada  wydłużenia godzin pracy ośrodków wychowania przedszkolnego – </w:t>
            </w:r>
          </w:p>
          <w:p w:rsidR="00C629A1" w:rsidRPr="00CC43B4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>5 pkt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- </w:t>
            </w: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Projekt zakłada wydłużenie godzin pracy ośrodków wychowania przedszkolnego 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C629A1" w:rsidRPr="00E665FC" w:rsidTr="00C629A1">
        <w:trPr>
          <w:trHeight w:val="851"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Upowszechnienie edukacji przedszkolnej.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42" w:type="dxa"/>
            <w:noWrap/>
            <w:vAlign w:val="center"/>
          </w:tcPr>
          <w:p w:rsidR="00C629A1" w:rsidRPr="00E665FC" w:rsidRDefault="00C629A1" w:rsidP="000802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629A1" w:rsidRPr="00E665FC" w:rsidRDefault="00C629A1" w:rsidP="00E4338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0lub -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Upowszechnieniem edukacji przedszkolnej jest wzrost liczby dzieci rozumiany jako: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- wykorzystanie już istniejących, dotychczas wolnych miejsc przedszkolnych w OWP;</w:t>
            </w:r>
          </w:p>
          <w:p w:rsidR="00C629A1" w:rsidRDefault="00C629A1" w:rsidP="000802F2">
            <w:pPr>
              <w:spacing w:after="0" w:line="276" w:lineRule="auto"/>
              <w:rPr>
                <w:rFonts w:ascii="Calibri" w:eastAsia="Times New Roman" w:hAnsi="Calibri" w:cs="Courier New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-  stworzenie nowych miejsc przedszkolnych </w:t>
            </w:r>
            <w:r w:rsidRPr="00E665FC">
              <w:rPr>
                <w:rFonts w:ascii="Calibri" w:eastAsia="Times New Roman" w:hAnsi="Calibri" w:cs="Courier New"/>
                <w:sz w:val="16"/>
                <w:szCs w:val="16"/>
                <w:lang w:eastAsia="pl-PL"/>
              </w:rPr>
              <w:br/>
              <w:t>w OWP sfinansowanych ze środków pochodzących z  RPO WO 2014-2020.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Courier New"/>
                <w:sz w:val="16"/>
                <w:szCs w:val="16"/>
                <w:lang w:eastAsia="pl-PL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3B4">
              <w:rPr>
                <w:rFonts w:ascii="Calibri" w:eastAsia="Times New Roman" w:hAnsi="Calibri" w:cs="Times New Roman"/>
                <w:sz w:val="16"/>
                <w:szCs w:val="16"/>
              </w:rPr>
              <w:t>0 pkt - nie zakłada się wzrostu liczby dzieci uczestniczących w edukacji przedszkolnej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;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Courier New"/>
                <w:sz w:val="16"/>
                <w:szCs w:val="16"/>
                <w:lang w:eastAsia="pl-PL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2 pkt. – zakłada się wzrost liczby dzieci  uczestniczących w edukacji przedszkolnej;</w:t>
            </w: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Courier New"/>
                <w:sz w:val="16"/>
                <w:szCs w:val="16"/>
                <w:lang w:eastAsia="pl-PL"/>
              </w:rPr>
            </w:pPr>
          </w:p>
          <w:p w:rsidR="00C629A1" w:rsidRPr="00E665FC" w:rsidRDefault="00C629A1" w:rsidP="000802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  <w:p w:rsidR="00C629A1" w:rsidRPr="00E665FC" w:rsidRDefault="00C629A1" w:rsidP="000802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C629A1" w:rsidRPr="00E665FC" w:rsidRDefault="00C629A1" w:rsidP="000802F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C629A1" w:rsidRPr="00E665FC" w:rsidRDefault="00C629A1" w:rsidP="000802F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C629A1" w:rsidRPr="00E665FC" w:rsidRDefault="00C629A1" w:rsidP="000802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665F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C629A1" w:rsidRPr="00E665FC" w:rsidRDefault="00C629A1" w:rsidP="000802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629A1" w:rsidRPr="00E665FC" w:rsidRDefault="00C629A1" w:rsidP="000802F2">
            <w:pPr>
              <w:spacing w:after="0" w:line="240" w:lineRule="auto"/>
              <w:rPr>
                <w:rFonts w:ascii="Consolas" w:eastAsia="Times New Roman" w:hAnsi="Consolas" w:cs="Times New Roman"/>
                <w:sz w:val="16"/>
                <w:szCs w:val="16"/>
              </w:rPr>
            </w:pPr>
          </w:p>
        </w:tc>
      </w:tr>
      <w:tr w:rsidR="00C629A1" w:rsidRPr="00E665FC" w:rsidTr="00C629A1">
        <w:trPr>
          <w:trHeight w:val="851"/>
          <w:jc w:val="center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629A1" w:rsidRPr="00E665FC" w:rsidRDefault="00C629A1" w:rsidP="00DD451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629A1" w:rsidRPr="00DD451C" w:rsidRDefault="00C629A1" w:rsidP="00DD451C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629A1" w:rsidRPr="00AB22E6" w:rsidRDefault="00C629A1" w:rsidP="00DD451C">
            <w:pPr>
              <w:rPr>
                <w:sz w:val="16"/>
                <w:szCs w:val="16"/>
              </w:rPr>
            </w:pP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</w:p>
          <w:p w:rsidR="00C629A1" w:rsidRPr="00DD451C" w:rsidRDefault="00C629A1" w:rsidP="00DD451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 xml:space="preserve">Wniosek </w:t>
            </w:r>
            <w:r w:rsidRPr="00AB22E6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C629A1" w:rsidRPr="00DD451C" w:rsidRDefault="00C629A1" w:rsidP="00DD451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DD451C" w:rsidRDefault="00C629A1" w:rsidP="00DD451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55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629A1" w:rsidRPr="00AB22E6" w:rsidRDefault="00C629A1" w:rsidP="00DD451C">
            <w:pPr>
              <w:rPr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>Wsparcie dla średnich miast jest realizacją jednego z punktów</w:t>
            </w:r>
            <w:r w:rsidRPr="00AB22E6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AB22E6">
              <w:rPr>
                <w:sz w:val="16"/>
                <w:szCs w:val="16"/>
              </w:rPr>
              <w:t xml:space="preserve"> (SOR)</w:t>
            </w:r>
            <w:r w:rsidRPr="00AB22E6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AB22E6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AB22E6">
              <w:rPr>
                <w:sz w:val="16"/>
                <w:szCs w:val="16"/>
              </w:rPr>
              <w:t xml:space="preserve"> opracowanego na potrzeby </w:t>
            </w:r>
            <w:r w:rsidRPr="00AB22E6">
              <w:rPr>
                <w:i/>
                <w:sz w:val="16"/>
                <w:szCs w:val="16"/>
              </w:rPr>
              <w:t>Strategii na rzecz Odpowiedzialnego Rozwoju</w:t>
            </w:r>
            <w:r w:rsidRPr="00AB22E6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AB22E6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AB22E6">
              <w:rPr>
                <w:sz w:val="16"/>
                <w:szCs w:val="16"/>
              </w:rPr>
              <w:t xml:space="preserve"> stanowi załącznik do regulaminu konkursu.</w:t>
            </w: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AB22E6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C629A1" w:rsidRPr="00AB22E6" w:rsidRDefault="00C629A1" w:rsidP="00DD451C">
            <w:pPr>
              <w:rPr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AB22E6">
              <w:rPr>
                <w:sz w:val="16"/>
                <w:szCs w:val="16"/>
              </w:rPr>
              <w:br/>
              <w:t xml:space="preserve">w załączniku nr 1 do dokumentu pn. </w:t>
            </w:r>
            <w:r w:rsidRPr="00AB22E6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:rsidR="00C629A1" w:rsidRPr="00AB22E6" w:rsidRDefault="00C629A1" w:rsidP="00DD451C">
            <w:pPr>
              <w:rPr>
                <w:i/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AB22E6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:rsidR="00C629A1" w:rsidRPr="00DD451C" w:rsidRDefault="00C629A1" w:rsidP="00DD451C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22E6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AB22E6">
              <w:rPr>
                <w:sz w:val="16"/>
                <w:szCs w:val="16"/>
              </w:rPr>
              <w:br/>
              <w:t xml:space="preserve">w załączniku nr 2 do dokumentu pn. </w:t>
            </w:r>
            <w:r w:rsidRPr="00AB22E6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AB22E6">
              <w:rPr>
                <w:sz w:val="16"/>
                <w:szCs w:val="16"/>
              </w:rPr>
              <w:t>wybrano to samo miasto.</w:t>
            </w:r>
          </w:p>
        </w:tc>
      </w:tr>
    </w:tbl>
    <w:p w:rsidR="000C725A" w:rsidRDefault="000C725A"/>
    <w:sectPr w:rsidR="000C725A" w:rsidSect="00E66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8A" w:rsidRDefault="0015058A" w:rsidP="00E665FC">
      <w:pPr>
        <w:spacing w:after="0" w:line="240" w:lineRule="auto"/>
      </w:pPr>
      <w:r>
        <w:separator/>
      </w:r>
    </w:p>
  </w:endnote>
  <w:endnote w:type="continuationSeparator" w:id="0">
    <w:p w:rsidR="0015058A" w:rsidRDefault="0015058A" w:rsidP="00E6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A" w:rsidRDefault="001505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15058A" w:rsidRDefault="00150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A" w:rsidRDefault="001505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05FA">
      <w:rPr>
        <w:noProof/>
      </w:rPr>
      <w:t>2</w:t>
    </w:r>
    <w:r>
      <w:rPr>
        <w:noProof/>
      </w:rPr>
      <w:fldChar w:fldCharType="end"/>
    </w:r>
  </w:p>
  <w:p w:rsidR="0015058A" w:rsidRDefault="00150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A" w:rsidRDefault="0015058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5058A" w:rsidRDefault="00150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8A" w:rsidRDefault="0015058A" w:rsidP="00E665FC">
      <w:pPr>
        <w:spacing w:after="0" w:line="240" w:lineRule="auto"/>
      </w:pPr>
      <w:r>
        <w:separator/>
      </w:r>
    </w:p>
  </w:footnote>
  <w:footnote w:type="continuationSeparator" w:id="0">
    <w:p w:rsidR="0015058A" w:rsidRDefault="0015058A" w:rsidP="00E6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A" w:rsidRPr="007D3814" w:rsidRDefault="0015058A" w:rsidP="0015058A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15058A" w:rsidRPr="007D3814" w:rsidRDefault="0015058A" w:rsidP="0015058A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:rsidR="0015058A" w:rsidRPr="007D3814" w:rsidRDefault="0015058A" w:rsidP="0015058A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:rsidR="0015058A" w:rsidRDefault="0015058A" w:rsidP="0015058A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A" w:rsidRPr="009305FA" w:rsidRDefault="009305FA" w:rsidP="009305FA">
    <w:pPr>
      <w:tabs>
        <w:tab w:val="center" w:pos="4536"/>
        <w:tab w:val="right" w:pos="9072"/>
      </w:tabs>
      <w:spacing w:after="60" w:line="240" w:lineRule="auto"/>
      <w:jc w:val="right"/>
      <w:rPr>
        <w:rFonts w:eastAsia="Times New Roman" w:cs="Times New Roman"/>
        <w:i/>
        <w:sz w:val="20"/>
        <w:szCs w:val="20"/>
      </w:rPr>
    </w:pPr>
    <w:r w:rsidRPr="009305FA">
      <w:rPr>
        <w:rFonts w:ascii="Calibri" w:eastAsia="Times New Roman" w:hAnsi="Calibri" w:cs="Times New Roman"/>
        <w:i/>
        <w:sz w:val="20"/>
        <w:szCs w:val="20"/>
      </w:rPr>
      <w:t>Załącznik do Uchwały Nr 161</w:t>
    </w:r>
    <w:r w:rsidRPr="009305FA">
      <w:rPr>
        <w:rFonts w:ascii="Calibri" w:eastAsia="Times New Roman" w:hAnsi="Calibri" w:cs="Times New Roman"/>
        <w:i/>
        <w:sz w:val="20"/>
        <w:szCs w:val="20"/>
      </w:rPr>
      <w:t>/2018 KM RPO WO 2014-2020</w:t>
    </w:r>
  </w:p>
  <w:p w:rsidR="009305FA" w:rsidRPr="009305FA" w:rsidRDefault="009305FA" w:rsidP="009305FA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9305FA">
      <w:rPr>
        <w:rFonts w:ascii="Calibri" w:eastAsia="Times New Roman" w:hAnsi="Calibri" w:cs="Times New Roman"/>
        <w:i/>
        <w:sz w:val="20"/>
        <w:szCs w:val="20"/>
      </w:rPr>
      <w:t>z dnia 10 stycznia 2018 r.</w:t>
    </w:r>
  </w:p>
  <w:p w:rsidR="0015058A" w:rsidRPr="006A3C03" w:rsidRDefault="0015058A" w:rsidP="0015058A">
    <w:pPr>
      <w:spacing w:after="12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A" w:rsidRPr="007D3814" w:rsidRDefault="0015058A" w:rsidP="0015058A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15058A" w:rsidRPr="007D3814" w:rsidRDefault="0015058A" w:rsidP="0015058A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:rsidR="0015058A" w:rsidRPr="007D3814" w:rsidRDefault="0015058A" w:rsidP="0015058A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:rsidR="0015058A" w:rsidRPr="006A3C03" w:rsidRDefault="0015058A" w:rsidP="00150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92A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C96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F48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4E2E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51803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2C6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F8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F9C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7D3FB0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24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01FE3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1F16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F1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BD2EA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14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10"/>
  </w:num>
  <w:num w:numId="20">
    <w:abstractNumId w:val="13"/>
  </w:num>
  <w:num w:numId="21">
    <w:abstractNumId w:val="23"/>
  </w:num>
  <w:num w:numId="22">
    <w:abstractNumId w:val="11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0"/>
    <w:rsid w:val="00001102"/>
    <w:rsid w:val="00011F65"/>
    <w:rsid w:val="000802F2"/>
    <w:rsid w:val="000835B6"/>
    <w:rsid w:val="0008455E"/>
    <w:rsid w:val="000B546C"/>
    <w:rsid w:val="000C725A"/>
    <w:rsid w:val="000D2E06"/>
    <w:rsid w:val="000F14CE"/>
    <w:rsid w:val="00137DE8"/>
    <w:rsid w:val="00142743"/>
    <w:rsid w:val="0015058A"/>
    <w:rsid w:val="00163E5F"/>
    <w:rsid w:val="001A58D1"/>
    <w:rsid w:val="001F2834"/>
    <w:rsid w:val="00203A3D"/>
    <w:rsid w:val="00253D94"/>
    <w:rsid w:val="00290BE1"/>
    <w:rsid w:val="00295108"/>
    <w:rsid w:val="002F744B"/>
    <w:rsid w:val="00345BAC"/>
    <w:rsid w:val="00353A10"/>
    <w:rsid w:val="003D2DD0"/>
    <w:rsid w:val="00422401"/>
    <w:rsid w:val="00422A98"/>
    <w:rsid w:val="0042747C"/>
    <w:rsid w:val="00455E3E"/>
    <w:rsid w:val="00477910"/>
    <w:rsid w:val="004A67A1"/>
    <w:rsid w:val="005150E2"/>
    <w:rsid w:val="00524D93"/>
    <w:rsid w:val="005570DA"/>
    <w:rsid w:val="00635D10"/>
    <w:rsid w:val="006872AF"/>
    <w:rsid w:val="00716C89"/>
    <w:rsid w:val="007A3BF8"/>
    <w:rsid w:val="007D186E"/>
    <w:rsid w:val="007E7103"/>
    <w:rsid w:val="008432BE"/>
    <w:rsid w:val="008452A3"/>
    <w:rsid w:val="00847FF4"/>
    <w:rsid w:val="00891B82"/>
    <w:rsid w:val="008A3705"/>
    <w:rsid w:val="008D782E"/>
    <w:rsid w:val="009305FA"/>
    <w:rsid w:val="00972842"/>
    <w:rsid w:val="00974853"/>
    <w:rsid w:val="00980952"/>
    <w:rsid w:val="0099236C"/>
    <w:rsid w:val="009E2470"/>
    <w:rsid w:val="00A35058"/>
    <w:rsid w:val="00A37868"/>
    <w:rsid w:val="00A40C08"/>
    <w:rsid w:val="00A54761"/>
    <w:rsid w:val="00A6130F"/>
    <w:rsid w:val="00A669A9"/>
    <w:rsid w:val="00AB22E6"/>
    <w:rsid w:val="00B028B1"/>
    <w:rsid w:val="00B031D0"/>
    <w:rsid w:val="00B1464A"/>
    <w:rsid w:val="00B63F91"/>
    <w:rsid w:val="00BC7BE7"/>
    <w:rsid w:val="00BF06DF"/>
    <w:rsid w:val="00C307FB"/>
    <w:rsid w:val="00C37451"/>
    <w:rsid w:val="00C556A8"/>
    <w:rsid w:val="00C629A1"/>
    <w:rsid w:val="00C67155"/>
    <w:rsid w:val="00CB296C"/>
    <w:rsid w:val="00CC43B4"/>
    <w:rsid w:val="00D645CA"/>
    <w:rsid w:val="00D84292"/>
    <w:rsid w:val="00DA3871"/>
    <w:rsid w:val="00DD451C"/>
    <w:rsid w:val="00DE632F"/>
    <w:rsid w:val="00E13ABC"/>
    <w:rsid w:val="00E43388"/>
    <w:rsid w:val="00E665FC"/>
    <w:rsid w:val="00ED020C"/>
    <w:rsid w:val="00EE015E"/>
    <w:rsid w:val="00EF7BF4"/>
    <w:rsid w:val="00F239C3"/>
    <w:rsid w:val="00F44D46"/>
    <w:rsid w:val="00F76E01"/>
    <w:rsid w:val="00F85290"/>
    <w:rsid w:val="00FB736A"/>
    <w:rsid w:val="00FC2C55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F5011C-BF7F-4B1C-85E2-009BAFA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65F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65F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665F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65F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8942-0F18-4500-B913-2927A4DC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2954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Nowobilska</dc:creator>
  <cp:keywords/>
  <dc:description/>
  <cp:lastModifiedBy>Barbara Łuczywo</cp:lastModifiedBy>
  <cp:revision>5</cp:revision>
  <cp:lastPrinted>2018-01-05T09:38:00Z</cp:lastPrinted>
  <dcterms:created xsi:type="dcterms:W3CDTF">2018-01-09T08:17:00Z</dcterms:created>
  <dcterms:modified xsi:type="dcterms:W3CDTF">2018-01-16T12:28:00Z</dcterms:modified>
</cp:coreProperties>
</file>