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3A" w:rsidRPr="004A2391" w:rsidRDefault="006B2D2B" w:rsidP="00F122C5">
      <w:pPr>
        <w:jc w:val="center"/>
        <w:rPr>
          <w:b/>
          <w:i/>
          <w:color w:val="000099"/>
          <w:sz w:val="44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389890</wp:posOffset>
            </wp:positionV>
            <wp:extent cx="5755005" cy="749935"/>
            <wp:effectExtent l="0" t="0" r="0" b="0"/>
            <wp:wrapTight wrapText="bothSides">
              <wp:wrapPolygon edited="0">
                <wp:start x="0" y="0"/>
                <wp:lineTo x="0" y="20850"/>
                <wp:lineTo x="21521" y="20850"/>
                <wp:lineTo x="215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2C5" w:rsidRDefault="006B2D2B" w:rsidP="006B2D2B">
      <w:pPr>
        <w:tabs>
          <w:tab w:val="left" w:pos="6165"/>
        </w:tabs>
        <w:rPr>
          <w:b/>
        </w:rPr>
      </w:pPr>
      <w:r>
        <w:rPr>
          <w:b/>
        </w:rPr>
        <w:tab/>
      </w:r>
    </w:p>
    <w:p w:rsidR="005F154E" w:rsidRDefault="005F154E">
      <w:pPr>
        <w:rPr>
          <w:b/>
        </w:rPr>
      </w:pPr>
    </w:p>
    <w:p w:rsidR="005F154E" w:rsidRPr="004A2391" w:rsidRDefault="005F154E">
      <w:pPr>
        <w:rPr>
          <w:b/>
        </w:rPr>
      </w:pPr>
    </w:p>
    <w:p w:rsidR="006B2D2B" w:rsidRPr="006B2D2B" w:rsidRDefault="004A54F1" w:rsidP="006B2D2B">
      <w:pPr>
        <w:spacing w:after="0"/>
        <w:ind w:firstLine="6"/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ZAŁĄCZNIK NR 8</w:t>
      </w:r>
    </w:p>
    <w:p w:rsidR="00F122C5" w:rsidRPr="006B2D2B" w:rsidRDefault="00F122C5">
      <w:pPr>
        <w:rPr>
          <w:b/>
          <w:color w:val="000000" w:themeColor="text1"/>
        </w:rPr>
      </w:pPr>
    </w:p>
    <w:p w:rsidR="002C2993" w:rsidRPr="006B2D2B" w:rsidRDefault="005F154E" w:rsidP="005F154E">
      <w:pPr>
        <w:spacing w:after="0"/>
        <w:jc w:val="center"/>
        <w:rPr>
          <w:b/>
          <w:i/>
          <w:color w:val="000000" w:themeColor="text1"/>
          <w:sz w:val="44"/>
          <w:szCs w:val="28"/>
        </w:rPr>
      </w:pPr>
      <w:r w:rsidRPr="006B2D2B">
        <w:rPr>
          <w:b/>
          <w:color w:val="000000" w:themeColor="text1"/>
          <w:sz w:val="44"/>
          <w:szCs w:val="28"/>
        </w:rPr>
        <w:t xml:space="preserve">LISTA WSKAŹNIKÓW NA POZIOMIE PROJEKTU DLA PODDZIAŁANIA </w:t>
      </w:r>
      <w:r w:rsidRPr="006B2D2B">
        <w:rPr>
          <w:b/>
          <w:color w:val="000000" w:themeColor="text1"/>
          <w:sz w:val="44"/>
          <w:szCs w:val="28"/>
        </w:rPr>
        <w:br/>
        <w:t>3.</w:t>
      </w:r>
      <w:r w:rsidR="002C2993" w:rsidRPr="006B2D2B">
        <w:rPr>
          <w:b/>
          <w:color w:val="000000" w:themeColor="text1"/>
          <w:sz w:val="44"/>
          <w:szCs w:val="28"/>
        </w:rPr>
        <w:t>2.2</w:t>
      </w:r>
      <w:r w:rsidRPr="006B2D2B">
        <w:rPr>
          <w:b/>
          <w:color w:val="000000" w:themeColor="text1"/>
          <w:sz w:val="44"/>
          <w:szCs w:val="28"/>
        </w:rPr>
        <w:t xml:space="preserve"> </w:t>
      </w:r>
      <w:r w:rsidR="002C2993" w:rsidRPr="006B2D2B">
        <w:rPr>
          <w:b/>
          <w:i/>
          <w:color w:val="000000" w:themeColor="text1"/>
          <w:sz w:val="44"/>
          <w:szCs w:val="28"/>
        </w:rPr>
        <w:t xml:space="preserve">Efektywność energetyczna w budynkach publicznych </w:t>
      </w:r>
    </w:p>
    <w:p w:rsidR="005F154E" w:rsidRPr="006B2D2B" w:rsidRDefault="002C2993" w:rsidP="005F154E">
      <w:pPr>
        <w:spacing w:after="0"/>
        <w:jc w:val="center"/>
        <w:rPr>
          <w:b/>
          <w:color w:val="000000" w:themeColor="text1"/>
          <w:sz w:val="44"/>
          <w:szCs w:val="28"/>
        </w:rPr>
      </w:pPr>
      <w:r w:rsidRPr="006B2D2B">
        <w:rPr>
          <w:b/>
          <w:i/>
          <w:color w:val="000000" w:themeColor="text1"/>
          <w:sz w:val="44"/>
          <w:szCs w:val="28"/>
        </w:rPr>
        <w:t xml:space="preserve">Aglomeracji Opolskiej </w:t>
      </w:r>
      <w:r w:rsidR="005F154E" w:rsidRPr="006B2D2B">
        <w:rPr>
          <w:b/>
          <w:color w:val="000000" w:themeColor="text1"/>
          <w:sz w:val="44"/>
          <w:szCs w:val="28"/>
        </w:rPr>
        <w:t xml:space="preserve"> </w:t>
      </w:r>
    </w:p>
    <w:p w:rsidR="005F154E" w:rsidRPr="006B2D2B" w:rsidRDefault="005F154E" w:rsidP="005F154E">
      <w:pPr>
        <w:spacing w:after="360"/>
        <w:jc w:val="center"/>
        <w:rPr>
          <w:b/>
          <w:color w:val="000000" w:themeColor="text1"/>
          <w:sz w:val="44"/>
          <w:szCs w:val="28"/>
        </w:rPr>
      </w:pPr>
      <w:r w:rsidRPr="006B2D2B">
        <w:rPr>
          <w:b/>
          <w:color w:val="000000" w:themeColor="text1"/>
          <w:sz w:val="44"/>
          <w:szCs w:val="28"/>
        </w:rPr>
        <w:t>(zakres EFRR)</w:t>
      </w:r>
    </w:p>
    <w:p w:rsidR="00F122C5" w:rsidRPr="004A2391" w:rsidRDefault="00F122C5">
      <w:pPr>
        <w:rPr>
          <w:b/>
        </w:rPr>
      </w:pPr>
    </w:p>
    <w:p w:rsidR="00052829" w:rsidRPr="003B0749" w:rsidRDefault="00052829" w:rsidP="00052829">
      <w:pPr>
        <w:jc w:val="center"/>
        <w:rPr>
          <w:rFonts w:eastAsia="Calibri"/>
          <w:b/>
          <w:sz w:val="40"/>
          <w:szCs w:val="40"/>
        </w:rPr>
      </w:pPr>
      <w:r w:rsidRPr="003B0749">
        <w:rPr>
          <w:rFonts w:eastAsia="Calibri"/>
          <w:b/>
          <w:sz w:val="40"/>
          <w:szCs w:val="40"/>
        </w:rPr>
        <w:t>Wersja nr 1</w:t>
      </w:r>
    </w:p>
    <w:p w:rsidR="00052829" w:rsidRPr="00FC5938" w:rsidRDefault="00052829" w:rsidP="000528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40"/>
          <w:szCs w:val="40"/>
        </w:rPr>
        <w:t>grudzień</w:t>
      </w:r>
      <w:r w:rsidRPr="003B0749">
        <w:rPr>
          <w:rFonts w:eastAsia="Calibri"/>
          <w:b/>
          <w:sz w:val="40"/>
          <w:szCs w:val="40"/>
        </w:rPr>
        <w:t xml:space="preserve"> </w:t>
      </w:r>
      <w:r>
        <w:rPr>
          <w:rFonts w:eastAsia="Calibri"/>
          <w:b/>
          <w:sz w:val="40"/>
          <w:szCs w:val="40"/>
        </w:rPr>
        <w:t>2017 r.</w:t>
      </w:r>
    </w:p>
    <w:p w:rsidR="00F122C5" w:rsidRPr="004A2391" w:rsidRDefault="00F122C5">
      <w:pPr>
        <w:rPr>
          <w:b/>
        </w:rPr>
      </w:pPr>
    </w:p>
    <w:p w:rsidR="00F122C5" w:rsidRPr="004A2391" w:rsidRDefault="00F122C5">
      <w:pPr>
        <w:rPr>
          <w:b/>
        </w:rPr>
      </w:pPr>
    </w:p>
    <w:p w:rsidR="00F122C5" w:rsidRPr="004A2391" w:rsidRDefault="00F122C5">
      <w:pPr>
        <w:rPr>
          <w:b/>
        </w:rPr>
      </w:pPr>
    </w:p>
    <w:p w:rsidR="00F122C5" w:rsidRPr="004A2391" w:rsidRDefault="00F122C5">
      <w:pPr>
        <w:rPr>
          <w:b/>
        </w:rPr>
      </w:pPr>
    </w:p>
    <w:p w:rsidR="00F122C5" w:rsidRPr="004A2391" w:rsidRDefault="00F122C5">
      <w:pPr>
        <w:rPr>
          <w:b/>
        </w:rPr>
      </w:pPr>
    </w:p>
    <w:p w:rsidR="00F122C5" w:rsidRPr="004A2391" w:rsidRDefault="00F122C5">
      <w:pPr>
        <w:rPr>
          <w:b/>
        </w:rPr>
      </w:pPr>
    </w:p>
    <w:p w:rsidR="00F122C5" w:rsidRPr="004A2391" w:rsidRDefault="00F122C5">
      <w:pPr>
        <w:rPr>
          <w:b/>
        </w:rPr>
      </w:pPr>
    </w:p>
    <w:p w:rsidR="00F122C5" w:rsidRDefault="00F122C5">
      <w:pPr>
        <w:rPr>
          <w:b/>
        </w:rPr>
      </w:pPr>
    </w:p>
    <w:p w:rsidR="00D74914" w:rsidRDefault="00D74914">
      <w:pPr>
        <w:rPr>
          <w:b/>
        </w:rPr>
      </w:pPr>
    </w:p>
    <w:p w:rsidR="00D74914" w:rsidRDefault="00D74914">
      <w:pPr>
        <w:rPr>
          <w:b/>
        </w:rPr>
      </w:pPr>
    </w:p>
    <w:p w:rsidR="00D74914" w:rsidRDefault="00D74914">
      <w:pPr>
        <w:rPr>
          <w:b/>
        </w:rPr>
      </w:pPr>
    </w:p>
    <w:p w:rsidR="00DF2D9B" w:rsidRDefault="00DF2D9B">
      <w:pPr>
        <w:rPr>
          <w:b/>
        </w:rPr>
      </w:pPr>
    </w:p>
    <w:p w:rsidR="00DF2D9B" w:rsidRDefault="00DF2D9B">
      <w:pPr>
        <w:rPr>
          <w:b/>
        </w:rPr>
      </w:pPr>
    </w:p>
    <w:p w:rsidR="00DF2D9B" w:rsidRDefault="00DF2D9B">
      <w:pPr>
        <w:rPr>
          <w:b/>
        </w:rPr>
      </w:pPr>
    </w:p>
    <w:p w:rsidR="00F122C5" w:rsidRPr="004A2391" w:rsidRDefault="00F122C5" w:rsidP="00F122C5">
      <w:pPr>
        <w:spacing w:after="0"/>
        <w:rPr>
          <w:b/>
          <w:color w:val="000099"/>
          <w:sz w:val="18"/>
          <w:u w:val="single"/>
        </w:rPr>
      </w:pPr>
      <w:r w:rsidRPr="004A2391">
        <w:rPr>
          <w:b/>
          <w:color w:val="000099"/>
          <w:sz w:val="18"/>
          <w:u w:val="single"/>
        </w:rPr>
        <w:t>Opracowanie:</w:t>
      </w:r>
    </w:p>
    <w:p w:rsidR="00F122C5" w:rsidRPr="004A2391" w:rsidRDefault="00F122C5" w:rsidP="000E521A">
      <w:pPr>
        <w:tabs>
          <w:tab w:val="center" w:pos="7001"/>
        </w:tabs>
        <w:spacing w:after="0"/>
        <w:rPr>
          <w:color w:val="000099"/>
          <w:sz w:val="18"/>
        </w:rPr>
      </w:pPr>
      <w:r w:rsidRPr="004A2391">
        <w:rPr>
          <w:color w:val="000099"/>
          <w:sz w:val="18"/>
        </w:rPr>
        <w:t>Departament Koordynacji Programów Operacyjnych</w:t>
      </w:r>
      <w:r w:rsidR="000E521A">
        <w:rPr>
          <w:color w:val="000099"/>
          <w:sz w:val="18"/>
        </w:rPr>
        <w:tab/>
      </w:r>
    </w:p>
    <w:p w:rsidR="00F122C5" w:rsidRPr="004A2391" w:rsidRDefault="00F122C5" w:rsidP="00F122C5">
      <w:pPr>
        <w:spacing w:after="0"/>
        <w:rPr>
          <w:color w:val="000099"/>
          <w:sz w:val="18"/>
        </w:rPr>
      </w:pPr>
      <w:r w:rsidRPr="004A2391">
        <w:rPr>
          <w:color w:val="000099"/>
          <w:sz w:val="18"/>
        </w:rPr>
        <w:t>Urząd Marszałkowski Województwa Opolskiego</w:t>
      </w:r>
    </w:p>
    <w:p w:rsidR="00F122C5" w:rsidRPr="004A2391" w:rsidRDefault="00AA17E8" w:rsidP="00F122C5">
      <w:pPr>
        <w:spacing w:after="0"/>
        <w:rPr>
          <w:b/>
        </w:rPr>
      </w:pPr>
      <w:r>
        <w:rPr>
          <w:color w:val="000099"/>
          <w:sz w:val="18"/>
        </w:rPr>
        <w:t xml:space="preserve">Opole, </w:t>
      </w:r>
      <w:r w:rsidR="00942B70">
        <w:rPr>
          <w:color w:val="000099"/>
          <w:sz w:val="18"/>
        </w:rPr>
        <w:t>li</w:t>
      </w:r>
      <w:r w:rsidR="0021204C">
        <w:rPr>
          <w:color w:val="000099"/>
          <w:sz w:val="18"/>
        </w:rPr>
        <w:t>stopad</w:t>
      </w:r>
      <w:r w:rsidR="00942B70">
        <w:rPr>
          <w:color w:val="000099"/>
          <w:sz w:val="18"/>
        </w:rPr>
        <w:t xml:space="preserve"> 2017</w:t>
      </w:r>
      <w:r w:rsidR="00F122C5" w:rsidRPr="00223F9A">
        <w:rPr>
          <w:color w:val="000099"/>
          <w:sz w:val="18"/>
        </w:rPr>
        <w:t xml:space="preserve"> r.</w:t>
      </w:r>
      <w:r w:rsidR="00F122C5" w:rsidRPr="004A2391">
        <w:rPr>
          <w:b/>
        </w:rPr>
        <w:br w:type="page"/>
      </w:r>
    </w:p>
    <w:p w:rsidR="00350EEC" w:rsidRDefault="0075189A" w:rsidP="0075189A">
      <w:pPr>
        <w:tabs>
          <w:tab w:val="left" w:pos="4650"/>
        </w:tabs>
        <w:spacing w:after="60"/>
        <w:rPr>
          <w:b/>
        </w:rPr>
      </w:pPr>
      <w:r>
        <w:rPr>
          <w:b/>
        </w:rPr>
        <w:lastRenderedPageBreak/>
        <w:tab/>
      </w:r>
    </w:p>
    <w:p w:rsidR="00512467" w:rsidRPr="004A2391" w:rsidRDefault="006D162A" w:rsidP="00CE7C94">
      <w:pPr>
        <w:spacing w:after="60"/>
        <w:rPr>
          <w:i/>
        </w:rPr>
      </w:pPr>
      <w:r w:rsidRPr="004A2391">
        <w:rPr>
          <w:b/>
        </w:rPr>
        <w:t>Tabela 1</w:t>
      </w:r>
      <w:r w:rsidR="00CE7C94" w:rsidRPr="004A2391">
        <w:rPr>
          <w:b/>
        </w:rPr>
        <w:t xml:space="preserve"> </w:t>
      </w:r>
      <w:r w:rsidR="00055EE7" w:rsidRPr="004A2391">
        <w:rPr>
          <w:i/>
        </w:rPr>
        <w:t>Zestawieni</w:t>
      </w:r>
      <w:r w:rsidR="00F5104E" w:rsidRPr="004A2391">
        <w:rPr>
          <w:i/>
        </w:rPr>
        <w:t>e</w:t>
      </w:r>
      <w:r w:rsidR="00055EE7" w:rsidRPr="004A2391">
        <w:rPr>
          <w:i/>
        </w:rPr>
        <w:t xml:space="preserve"> wskaźników </w:t>
      </w:r>
      <w:r w:rsidR="007435C8" w:rsidRPr="004A2391">
        <w:rPr>
          <w:i/>
        </w:rPr>
        <w:t xml:space="preserve">EFRR </w:t>
      </w:r>
      <w:r w:rsidR="00055EE7" w:rsidRPr="004A2391">
        <w:rPr>
          <w:i/>
        </w:rPr>
        <w:t xml:space="preserve">na poziomie projektu </w:t>
      </w:r>
      <w:r w:rsidR="00881689" w:rsidRPr="004A2391">
        <w:rPr>
          <w:i/>
        </w:rPr>
        <w:t>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283"/>
        <w:gridCol w:w="1134"/>
        <w:gridCol w:w="1275"/>
        <w:gridCol w:w="1418"/>
        <w:gridCol w:w="1164"/>
        <w:gridCol w:w="5782"/>
      </w:tblGrid>
      <w:tr w:rsidR="005C4BA2" w:rsidRPr="004A2391" w:rsidTr="00DE04C3">
        <w:trPr>
          <w:trHeight w:hRule="exact" w:val="739"/>
          <w:tblHeader/>
        </w:trPr>
        <w:tc>
          <w:tcPr>
            <w:tcW w:w="530" w:type="dxa"/>
            <w:tcBorders>
              <w:top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5C4BA2" w:rsidRPr="004A2391" w:rsidRDefault="005C4BA2" w:rsidP="007435C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Lp.</w:t>
            </w:r>
          </w:p>
        </w:tc>
        <w:tc>
          <w:tcPr>
            <w:tcW w:w="3283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5C4BA2" w:rsidRPr="004A2391" w:rsidRDefault="005C4BA2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Nazwa wskaźnika</w:t>
            </w:r>
          </w:p>
        </w:tc>
        <w:tc>
          <w:tcPr>
            <w:tcW w:w="1134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5C4BA2" w:rsidRPr="004A2391" w:rsidRDefault="005C4BA2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Jednostka miary</w:t>
            </w:r>
          </w:p>
        </w:tc>
        <w:tc>
          <w:tcPr>
            <w:tcW w:w="1275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5C4BA2" w:rsidRPr="004A2391" w:rsidRDefault="005C4BA2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Rodzaj wskaźnika</w:t>
            </w:r>
          </w:p>
        </w:tc>
        <w:tc>
          <w:tcPr>
            <w:tcW w:w="1418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5C4BA2" w:rsidRPr="004A2391" w:rsidRDefault="005C4BA2" w:rsidP="00CA011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Typ wskaźnika</w:t>
            </w:r>
          </w:p>
        </w:tc>
        <w:tc>
          <w:tcPr>
            <w:tcW w:w="1164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5C4BA2" w:rsidRPr="004A2391" w:rsidRDefault="005C4BA2" w:rsidP="00CA011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Inne uwagi</w:t>
            </w:r>
          </w:p>
        </w:tc>
        <w:tc>
          <w:tcPr>
            <w:tcW w:w="5782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:rsidR="005C4BA2" w:rsidRPr="004A2391" w:rsidRDefault="005C4BA2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Definicja</w:t>
            </w:r>
          </w:p>
        </w:tc>
      </w:tr>
      <w:tr w:rsidR="006A44E5" w:rsidRPr="004A2391" w:rsidTr="00DE04C3">
        <w:trPr>
          <w:trHeight w:val="364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:rsidR="006A44E5" w:rsidRPr="004A2391" w:rsidRDefault="006A44E5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Wskaźniki horyzontalne</w:t>
            </w:r>
          </w:p>
        </w:tc>
      </w:tr>
      <w:tr w:rsidR="00350EEC" w:rsidRPr="004A2391" w:rsidTr="00DE04C3">
        <w:trPr>
          <w:trHeight w:val="3627"/>
        </w:trPr>
        <w:tc>
          <w:tcPr>
            <w:tcW w:w="530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1.</w:t>
            </w:r>
          </w:p>
        </w:tc>
        <w:tc>
          <w:tcPr>
            <w:tcW w:w="3283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obiektów dostosowanych do potrzeb osób</w:t>
            </w:r>
            <w:r w:rsidRPr="004A2391">
              <w:rPr>
                <w:i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50EEC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  <w:p w:rsidR="00350EEC" w:rsidRPr="00DA64DA" w:rsidRDefault="00350EEC" w:rsidP="00350EEC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odnosi się do liczby obiektów, które zaopatrzono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specjalne podjazdy, windy, urządzenia głośnomówiące, bądź inne </w:t>
            </w:r>
            <w:r w:rsidRPr="008974AB">
              <w:rPr>
                <w:sz w:val="20"/>
              </w:rPr>
              <w:t>rozwiązania umożliwiające dostęp</w:t>
            </w:r>
            <w:r w:rsidRPr="008974AB">
              <w:rPr>
                <w:rFonts w:ascii="Calibri" w:eastAsia="Times New Roman" w:hAnsi="Calibri" w:cs="Times New Roman"/>
                <w:sz w:val="18"/>
                <w:szCs w:val="20"/>
                <w:lang w:eastAsia="en-US"/>
              </w:rPr>
              <w:t xml:space="preserve">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(tj. usunięcie barier w dostępie, w szczególności barier architektonicznych) do tych obiektów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 poruszanie się po nich osobom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niepełnosprawn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ościami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ruchow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czy sensoryczn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.</w:t>
            </w:r>
          </w:p>
          <w:p w:rsidR="00350EEC" w:rsidRPr="004A2391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Jako obiekty budowlane należy rozumieć konstrukcje połączone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gru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ntem w sposób trwały, wykonane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materiałów budowlanych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 elementów składowych, będące wynikiem prac budowlanych (wg. def. PKOB).</w:t>
            </w:r>
          </w:p>
          <w:p w:rsidR="00350EEC" w:rsidRPr="004A2391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Należy podać liczbę obiektów,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których zastosowano rozwiązania umożliwiające dostęp osobom z niepełnosprawnościami ruchowymi czy sensorycznymi lub zaopatrzonych w sprzęt,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a nie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liczbę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sprzętów, urządzeń itp.</w:t>
            </w:r>
          </w:p>
          <w:p w:rsidR="00350EEC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Jeśli instytucja, zakład itp. składa się z kilku obiektów, należy zliczyć wszystkie, które dostosowano do potrzeb osób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4A2391">
              <w:rPr>
                <w:rFonts w:eastAsiaTheme="minorHAnsi"/>
                <w:sz w:val="20"/>
                <w:szCs w:val="20"/>
                <w:lang w:eastAsia="en-US"/>
              </w:rPr>
              <w:t>niepełnosprawn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ościami</w:t>
            </w:r>
            <w:r w:rsidRPr="004A23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350EEC" w:rsidRPr="00964523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mierzony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momencie rozliczenia wydatku 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związanego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dostosowaniem obiektów do potrzeb osób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niepełnosprawnościami w ramach danego projektu.</w:t>
            </w:r>
          </w:p>
          <w:p w:rsidR="00350EEC" w:rsidRPr="004A2391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Do wskaźnika powinny zostać wliczone zarówno obiekty dostosowane w projektach ogólnodostępnych, jak i dedykowanych (zgodnie z kategoryzacją projektów z </w:t>
            </w:r>
            <w:r w:rsidRPr="008974AB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Wytycznych w zakresie realizacji zasady równości szans i niedyskryminacji, w tym dostępności dla osób </w:t>
            </w:r>
            <w:r w:rsidRPr="008974AB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lastRenderedPageBreak/>
              <w:t>z niepełnosprawnościami oraz zasady równości szans kobiet i mężczyzn w ramach funduszy unijnych na lata 2014-2020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350EEC" w:rsidRPr="004A2391" w:rsidTr="00350EEC">
        <w:trPr>
          <w:trHeight w:val="1470"/>
        </w:trPr>
        <w:tc>
          <w:tcPr>
            <w:tcW w:w="530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osób obj</w:t>
            </w:r>
            <w:r>
              <w:rPr>
                <w:i/>
                <w:sz w:val="20"/>
                <w:szCs w:val="20"/>
              </w:rPr>
              <w:t xml:space="preserve">ętych szkoleniami / doradztwem </w:t>
            </w:r>
            <w:r w:rsidRPr="004A2391">
              <w:rPr>
                <w:i/>
                <w:sz w:val="20"/>
                <w:szCs w:val="20"/>
              </w:rPr>
              <w:t>w zakresie kompetencji cyfrowych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 w:val="restart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mierzy liczbę osób objętych szkoleniami / doradztwem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 zakresie nabywania / doskonalenia umiejętności warunkujących efektywne ko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rzystanie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mediów elektro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nicznych tj. m.in. korzystania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komputera, różnych rodzajów oprogramowania, </w:t>
            </w:r>
            <w:proofErr w:type="spellStart"/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internetu</w:t>
            </w:r>
            <w:proofErr w:type="spellEnd"/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  <w:p w:rsidR="00350EEC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Wskaźnik ma agregować wszystkie osoby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, które skorzystały ze wsparcia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 zakresi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e TIK we wszystkich programach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 projektach, także tych, gdzie szkolenie dotyczy obsługi specyficznego systemu teleinformatycznego, którego wdrożenia dotyczy projekt. </w:t>
            </w:r>
          </w:p>
          <w:p w:rsidR="00350EEC" w:rsidRPr="00964523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Do wskaźnika powinni zostać wliczeni wszyscy uczestnicy projektów</w:t>
            </w:r>
          </w:p>
          <w:p w:rsidR="00350EEC" w:rsidRPr="00964523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lastRenderedPageBreak/>
              <w:t>zawierających określony rodzaj wsparcia, w tym również np. uczniowie nabywający kompetencje w ramach zajęć szkolnych, jeśli wsparcie to dotyczy technologii informacyjno-komunikacyjnych.</w:t>
            </w:r>
          </w:p>
          <w:p w:rsidR="00350EEC" w:rsidRPr="004A2391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350EEC" w:rsidRPr="004A2391" w:rsidTr="00DE04C3">
        <w:trPr>
          <w:trHeight w:val="1969"/>
        </w:trPr>
        <w:tc>
          <w:tcPr>
            <w:tcW w:w="530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2a.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Liczba osób obj</w:t>
            </w:r>
            <w:r>
              <w:rPr>
                <w:i/>
                <w:sz w:val="20"/>
                <w:szCs w:val="20"/>
              </w:rPr>
              <w:t xml:space="preserve">ętych szkoleniami / doradztwem </w:t>
            </w:r>
            <w:r w:rsidRPr="00C501E4">
              <w:rPr>
                <w:i/>
                <w:sz w:val="20"/>
                <w:szCs w:val="20"/>
              </w:rPr>
              <w:t>w zakresie kompetencji cyfrowych</w:t>
            </w:r>
            <w:r w:rsidRPr="00C501E4">
              <w:rPr>
                <w:i/>
                <w:sz w:val="20"/>
                <w:szCs w:val="20"/>
              </w:rPr>
              <w:br/>
              <w:t>- kobiety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350EEC" w:rsidRPr="004A2391" w:rsidTr="00350EEC">
        <w:trPr>
          <w:trHeight w:val="1986"/>
        </w:trPr>
        <w:tc>
          <w:tcPr>
            <w:tcW w:w="530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2b.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Liczba osób obj</w:t>
            </w:r>
            <w:r>
              <w:rPr>
                <w:i/>
                <w:sz w:val="20"/>
                <w:szCs w:val="20"/>
              </w:rPr>
              <w:t xml:space="preserve">ętych szkoleniami / doradztwem </w:t>
            </w:r>
            <w:r w:rsidRPr="00C501E4">
              <w:rPr>
                <w:i/>
                <w:sz w:val="20"/>
                <w:szCs w:val="20"/>
              </w:rPr>
              <w:t>w zakresie kompetencji cyfrowych</w:t>
            </w:r>
            <w:r w:rsidRPr="00C501E4">
              <w:rPr>
                <w:i/>
                <w:sz w:val="20"/>
                <w:szCs w:val="20"/>
              </w:rPr>
              <w:br/>
              <w:t>- mężczyźni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350EEC" w:rsidRPr="004A2391" w:rsidTr="00350EEC">
        <w:trPr>
          <w:trHeight w:val="5580"/>
        </w:trPr>
        <w:tc>
          <w:tcPr>
            <w:tcW w:w="530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3.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 xml:space="preserve">Liczba projektów, w których sfinansowano koszty racjonalnych usprawnień dla osób </w:t>
            </w:r>
            <w:r w:rsidRPr="00C501E4">
              <w:rPr>
                <w:i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Racjonalne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usprawnienie oznacza konieczne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 odpowiednie zmiany ora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dostosowania, nie nakładające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nieproporcjonalnego lub nadmiernego obciążenia, rozpatrywane osobno dla każdego konkretnego przypa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dku, w celu zapewnienia osobom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niepełnosprawn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ościami możliwości korzystania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wszelkich praw człowieka i podstawowych wolności oraz ich wykonywania na zasadzie równości z innymi osobami.</w:t>
            </w:r>
          </w:p>
          <w:p w:rsidR="00350EEC" w:rsidRPr="00C501E4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mierzony w momencie rozliczenia wydatku związanego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racjonalnymi usprawnieniami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w ramach danego projektu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.</w:t>
            </w:r>
          </w:p>
          <w:p w:rsidR="00350EEC" w:rsidRPr="00C501E4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Przykłady racjonalnych usprawnień: tłumacz języka migowego, transport niskopodłogowy, dostosow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anie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infrastruktury (nie tylko budynku, ale też dostosowanie infrastruktury komputerowej np. programy powiększające, mówiące, drukarki materiałów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 alfabecie Braille'a), osoby asystujące, odpowiednie dostosowanie wyżywienia.</w:t>
            </w:r>
          </w:p>
          <w:p w:rsidR="00350EEC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Do wskaźnika powinny zostać wliczone zarówno projekty ogólnodostępne, w których sfinansowano koszty racjonalnych usprawnień, jak i dedykowane (zgodnie z kategoryzacją projektów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8974AB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Wytycznych w zakresie realizacji zasady równości szans </w:t>
            </w:r>
            <w:r w:rsidRPr="008974AB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 xml:space="preserve">i niedyskryminacji, w tym dostępności dla osób </w:t>
            </w:r>
            <w:r w:rsidRPr="008974AB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 xml:space="preserve">z niepełnosprawnościami oraz zasady równości szans kobiet </w:t>
            </w:r>
            <w:r w:rsidRPr="008974AB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>i mężczyzn w ramach funduszy unijnych na lata 2014-2020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).</w:t>
            </w:r>
          </w:p>
          <w:p w:rsidR="00350EEC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Definicja na podstawie: </w:t>
            </w:r>
            <w:r w:rsidRPr="008974AB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Wytyczne w zakresie realizacji zasady równości szans i niedyskryminacji, w tym dostępności dla osób </w:t>
            </w:r>
            <w:r w:rsidRPr="008974AB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 xml:space="preserve">z niepełnosprawnościami oraz równości szans kobiet i mężczyzn </w:t>
            </w:r>
            <w:r w:rsidRPr="008974AB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>w ramach funduszy unijnych na lata 2014-</w:t>
            </w:r>
            <w:r w:rsidRPr="008974AB">
              <w:rPr>
                <w:rFonts w:eastAsiaTheme="minorHAnsi"/>
                <w:i/>
                <w:sz w:val="20"/>
                <w:szCs w:val="20"/>
                <w:lang w:eastAsia="en-US"/>
              </w:rPr>
              <w:t>2020</w:t>
            </w:r>
            <w:r w:rsidRPr="00C501E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350EEC" w:rsidRPr="00C501E4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4190">
              <w:rPr>
                <w:rFonts w:eastAsiaTheme="minorHAnsi"/>
                <w:i/>
                <w:sz w:val="20"/>
                <w:szCs w:val="20"/>
                <w:lang w:eastAsia="en-US"/>
              </w:rPr>
              <w:t>Wyjaśnienie:</w:t>
            </w:r>
            <w:r w:rsidRPr="006F41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Jeśli projekt spełnia kryteria w/w definicji wnioskodawca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powinien wykazać wartość „1”, </w:t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w przeciwnym wypadku „0”. W przypadku projektów partnerskich wskaźnik powinien być wykazany wyłącznie przez lidera projektu, be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z względu na liczbę partnerów  </w:t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w projekcie realizujących wskaźnik.</w:t>
            </w:r>
          </w:p>
        </w:tc>
      </w:tr>
      <w:tr w:rsidR="00350EEC" w:rsidRPr="004A2391" w:rsidTr="00350EEC">
        <w:trPr>
          <w:trHeight w:val="619"/>
        </w:trPr>
        <w:tc>
          <w:tcPr>
            <w:tcW w:w="530" w:type="dxa"/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podmiotów wykorzystujących technologie informacyjno-komunikacyjne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shd w:val="clear" w:color="auto" w:fill="FFFFFF" w:themeFill="background1"/>
            <w:vAlign w:val="center"/>
          </w:tcPr>
          <w:p w:rsidR="00350EEC" w:rsidRPr="006F1B2C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350EEC" w:rsidRPr="006F1B2C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towarzyszących; działania edukacyjne i szkoleniowe. </w:t>
            </w:r>
          </w:p>
          <w:p w:rsidR="00350EEC" w:rsidRPr="006F1B2C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 / szkolenie / zakup TIK lub podmioty, które 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 </w:t>
            </w:r>
          </w:p>
          <w:p w:rsidR="00350EEC" w:rsidRPr="006F1B2C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Podmiotami realizującymi projekty TIK mogą być m.in. MŚP, duże przedsiębiorstwa, administracja publiczna, w tym jednostki samorządu terytorialnego, NGO, jednostki naukowe, szkoły, które będą wykorzystywać TIK do usprawnienia swojego działania i do prowadzenia relacji z innymi podmiotami. </w:t>
            </w:r>
          </w:p>
          <w:p w:rsidR="00350EEC" w:rsidRPr="00C501E4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 przypadku, gdy beneficjentem pozostaje jeden podmiot, we wskaźniku należy ująć wartość „1”. W 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350EEC" w:rsidRPr="004A2391" w:rsidTr="00DE04C3">
        <w:trPr>
          <w:trHeight w:val="1316"/>
        </w:trPr>
        <w:tc>
          <w:tcPr>
            <w:tcW w:w="530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83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</w:rPr>
              <w:t xml:space="preserve">Wzrost zatrudnienia we </w:t>
            </w:r>
            <w:r w:rsidRPr="0022603F">
              <w:rPr>
                <w:rFonts w:cs="Arial"/>
                <w:i/>
                <w:sz w:val="20"/>
              </w:rPr>
              <w:t>wspieranych przedsiębiorstwach</w:t>
            </w:r>
            <w:r>
              <w:rPr>
                <w:rStyle w:val="Odwoanieprzypisudolnego"/>
                <w:rFonts w:cs="Arial"/>
                <w:i/>
                <w:sz w:val="20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782" w:type="dxa"/>
            <w:vMerge w:val="restart"/>
            <w:shd w:val="clear" w:color="auto" w:fill="FFFFFF" w:themeFill="background1"/>
            <w:vAlign w:val="center"/>
          </w:tcPr>
          <w:p w:rsidR="00350EEC" w:rsidRPr="0022603F" w:rsidRDefault="00350EEC" w:rsidP="0035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Liczba brutto nowych miejsc pracy we wspieranych przedsiębiorstw</w:t>
            </w:r>
            <w:r>
              <w:rPr>
                <w:rFonts w:cs="Times New Roman"/>
                <w:sz w:val="20"/>
                <w:szCs w:val="20"/>
              </w:rPr>
              <w:t>ach</w:t>
            </w:r>
            <w:r w:rsidRPr="0022603F">
              <w:rPr>
                <w:rFonts w:cs="Times New Roman"/>
                <w:sz w:val="20"/>
                <w:szCs w:val="20"/>
              </w:rPr>
              <w:t xml:space="preserve"> w przeliczeniu na pełne etaty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7AA5">
              <w:rPr>
                <w:rFonts w:cs="Times New Roman"/>
                <w:sz w:val="20"/>
                <w:szCs w:val="20"/>
              </w:rPr>
              <w:t>na podstawie umowy o pracę (nie dotyczy umów cywilnoprawnych)</w:t>
            </w:r>
            <w:r w:rsidRPr="00F41DFA">
              <w:rPr>
                <w:rFonts w:cs="Times New Roman"/>
                <w:sz w:val="20"/>
                <w:szCs w:val="20"/>
              </w:rPr>
              <w:t>.</w:t>
            </w:r>
            <w:r w:rsidRPr="0022603F">
              <w:rPr>
                <w:rFonts w:cs="Times New Roman"/>
                <w:sz w:val="20"/>
                <w:szCs w:val="20"/>
              </w:rPr>
              <w:t xml:space="preserve">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603F">
              <w:rPr>
                <w:rFonts w:cs="Times New Roman"/>
                <w:sz w:val="20"/>
                <w:szCs w:val="20"/>
              </w:rPr>
              <w:t>zwiększać</w:t>
            </w:r>
            <w:r>
              <w:rPr>
                <w:rFonts w:cs="Times New Roman"/>
                <w:sz w:val="20"/>
                <w:szCs w:val="20"/>
              </w:rPr>
              <w:t xml:space="preserve"> całkowitą liczbę miejsc pracy </w:t>
            </w:r>
            <w:r w:rsidRPr="0022603F">
              <w:rPr>
                <w:rFonts w:cs="Times New Roman"/>
                <w:sz w:val="20"/>
                <w:szCs w:val="20"/>
              </w:rPr>
              <w:t>w przedsiębiorst</w:t>
            </w:r>
            <w:r>
              <w:rPr>
                <w:rFonts w:cs="Times New Roman"/>
                <w:sz w:val="20"/>
                <w:szCs w:val="20"/>
              </w:rPr>
              <w:t xml:space="preserve">wie. Jeśli łączne zatrudnienie </w:t>
            </w:r>
            <w:r w:rsidRPr="0022603F">
              <w:rPr>
                <w:rFonts w:cs="Times New Roman"/>
                <w:sz w:val="20"/>
                <w:szCs w:val="20"/>
              </w:rPr>
              <w:t xml:space="preserve">w przedsiębiorstwie nie zwiększa się, wartość jest równa zero - to wskaźnik jest </w:t>
            </w:r>
            <w:r>
              <w:rPr>
                <w:rFonts w:cs="Times New Roman"/>
                <w:sz w:val="20"/>
                <w:szCs w:val="20"/>
              </w:rPr>
              <w:t xml:space="preserve">traktowany jako wyregulowanie, </w:t>
            </w:r>
            <w:r w:rsidRPr="0022603F">
              <w:rPr>
                <w:rFonts w:cs="Times New Roman"/>
                <w:sz w:val="20"/>
                <w:szCs w:val="20"/>
              </w:rPr>
              <w:t>a nie zwiększenie. Zagwarantowane itp. miejsca pracy nie są wliczone.</w:t>
            </w:r>
          </w:p>
          <w:p w:rsidR="00350EEC" w:rsidRPr="0022603F" w:rsidRDefault="00350EEC" w:rsidP="0035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pacing w:val="-1"/>
                <w:sz w:val="20"/>
                <w:szCs w:val="20"/>
              </w:rPr>
              <w:t xml:space="preserve">Brutto: Nie licząc pochodzenia zatrudnionego dopóki bezpośrednio przyczynia się do wzrostu całkowitej liczby zatrudnionych </w:t>
            </w:r>
            <w:r>
              <w:rPr>
                <w:rFonts w:cs="Times New Roman"/>
                <w:spacing w:val="-1"/>
                <w:sz w:val="20"/>
                <w:szCs w:val="20"/>
              </w:rPr>
              <w:br/>
            </w:r>
            <w:r w:rsidRPr="0022603F">
              <w:rPr>
                <w:rFonts w:cs="Times New Roman"/>
                <w:spacing w:val="-1"/>
                <w:sz w:val="20"/>
                <w:szCs w:val="20"/>
              </w:rPr>
              <w:t>w organizacji. Wskaźnik powinien być stosowany, jeśli wzrost zatrudnienia może być wiarygodnie przypisany do wsparcia.</w:t>
            </w:r>
          </w:p>
          <w:p w:rsidR="00350EEC" w:rsidRPr="0022603F" w:rsidRDefault="00350EEC" w:rsidP="0035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:rsidR="00350EEC" w:rsidRPr="0022603F" w:rsidRDefault="00350EEC" w:rsidP="0035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Trwałość: oczekuje się, że stanowiska będą stałe tj. będą trwały odpowiednio długo, w zależności od charakterystyki przemysłowo-technologicznej: prace sezonowe powinny być cykliczne. Dane liczbowe przedsiębiorstw, które zbankrutowały są zapisywane jako zerowy wzrost zatrudnienia.</w:t>
            </w:r>
          </w:p>
          <w:p w:rsidR="00350EEC" w:rsidRDefault="00350EEC" w:rsidP="0035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 xml:space="preserve">Czas: Dane są zbierane przed rozpoczęciem projektu i po jego zakończeniu; Instytucje Zarządzające mają swobodę </w:t>
            </w:r>
            <w:r w:rsidRPr="0022603F">
              <w:rPr>
                <w:rFonts w:cs="Times New Roman"/>
                <w:sz w:val="20"/>
                <w:szCs w:val="20"/>
              </w:rPr>
              <w:br/>
              <w:t>w określaniu dokładnego czasu. Preferowane jest stosowanie średniego zatrudnienia w oparciu o dane z 6 miesięcy lub z roku, dla danych dotyczących zatrudnienia w określonych terminach.</w:t>
            </w:r>
          </w:p>
          <w:p w:rsidR="00350EEC" w:rsidRPr="00031554" w:rsidRDefault="00350EEC" w:rsidP="00350EE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464B">
              <w:rPr>
                <w:rFonts w:cs="Times New Roman"/>
                <w:b/>
                <w:sz w:val="20"/>
                <w:szCs w:val="20"/>
              </w:rPr>
              <w:t xml:space="preserve">Dla celów monitoringowych Beneficjent w opisie metodologii wskaźnika (w wierszu pod wskaźnikiem) powinien przedstawić dane dotyczące stanu zatrudnienia w przedsiębiorstwie przed </w:t>
            </w:r>
            <w:r>
              <w:rPr>
                <w:rFonts w:cs="Times New Roman"/>
                <w:b/>
                <w:sz w:val="20"/>
                <w:szCs w:val="20"/>
              </w:rPr>
              <w:t>rozpoczęciem realizacji</w:t>
            </w:r>
            <w:r w:rsidRPr="00B5464B">
              <w:rPr>
                <w:rFonts w:cs="Times New Roman"/>
                <w:b/>
                <w:sz w:val="20"/>
                <w:szCs w:val="20"/>
              </w:rPr>
              <w:t xml:space="preserve"> projektu.</w:t>
            </w:r>
          </w:p>
        </w:tc>
      </w:tr>
      <w:tr w:rsidR="00350EEC" w:rsidRPr="004A2391" w:rsidTr="00DE04C3">
        <w:trPr>
          <w:trHeight w:val="1316"/>
        </w:trPr>
        <w:tc>
          <w:tcPr>
            <w:tcW w:w="530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5a.</w:t>
            </w:r>
          </w:p>
        </w:tc>
        <w:tc>
          <w:tcPr>
            <w:tcW w:w="3283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 w:rsidRPr="00D70A31">
              <w:rPr>
                <w:rFonts w:cs="Arial"/>
                <w:i/>
                <w:sz w:val="20"/>
              </w:rPr>
              <w:t>Wzrost zatrudnienia we wspieranych przedsiębiorstwach</w:t>
            </w:r>
            <w:r w:rsidRPr="00D70A31">
              <w:rPr>
                <w:rFonts w:cs="Arial"/>
                <w:i/>
                <w:sz w:val="20"/>
              </w:rPr>
              <w:br/>
              <w:t xml:space="preserve"> – kobiety </w:t>
            </w:r>
            <w:r w:rsidRPr="006A6510">
              <w:rPr>
                <w:rFonts w:cs="Arial"/>
                <w:i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782" w:type="dxa"/>
            <w:vMerge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350EEC" w:rsidRPr="004A2391" w:rsidTr="00DE04C3">
        <w:trPr>
          <w:trHeight w:val="1050"/>
        </w:trPr>
        <w:tc>
          <w:tcPr>
            <w:tcW w:w="530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5b.</w:t>
            </w:r>
          </w:p>
        </w:tc>
        <w:tc>
          <w:tcPr>
            <w:tcW w:w="3283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 w:rsidRPr="00D70A31">
              <w:rPr>
                <w:rFonts w:cs="Arial"/>
                <w:i/>
                <w:sz w:val="20"/>
              </w:rPr>
              <w:t xml:space="preserve">Wzrost zatrudnienia we wspieranych przedsiębiorstwach </w:t>
            </w:r>
            <w:r w:rsidRPr="00D70A31">
              <w:rPr>
                <w:rFonts w:cs="Arial"/>
                <w:i/>
                <w:sz w:val="20"/>
              </w:rPr>
              <w:br/>
              <w:t>– mężczyźni</w:t>
            </w:r>
            <w:r w:rsidRPr="006A6510">
              <w:rPr>
                <w:rFonts w:cs="Arial"/>
                <w:i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782" w:type="dxa"/>
            <w:vMerge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350EEC" w:rsidRPr="004A2391" w:rsidTr="00350EEC">
        <w:trPr>
          <w:trHeight w:val="1170"/>
        </w:trPr>
        <w:tc>
          <w:tcPr>
            <w:tcW w:w="530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D96CA8" w:rsidRDefault="00350EEC" w:rsidP="00350EEC">
            <w:pPr>
              <w:spacing w:before="80" w:after="8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6</w:t>
            </w:r>
            <w:r w:rsidRPr="00A44759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 w:val="restart"/>
            <w:shd w:val="clear" w:color="auto" w:fill="FFFFFF" w:themeFill="background1"/>
            <w:vAlign w:val="center"/>
          </w:tcPr>
          <w:p w:rsidR="00350EEC" w:rsidRPr="00377C57" w:rsidRDefault="00350EEC" w:rsidP="00350EEC">
            <w:pPr>
              <w:spacing w:before="80" w:after="80"/>
              <w:jc w:val="both"/>
              <w:rPr>
                <w:color w:val="C00000"/>
                <w:sz w:val="20"/>
                <w:szCs w:val="20"/>
              </w:rPr>
            </w:pPr>
            <w:r w:rsidRPr="00377C57">
              <w:rPr>
                <w:sz w:val="20"/>
                <w:szCs w:val="20"/>
              </w:rPr>
              <w:t xml:space="preserve">Należy stosować </w:t>
            </w:r>
            <w:r>
              <w:rPr>
                <w:sz w:val="20"/>
                <w:szCs w:val="20"/>
              </w:rPr>
              <w:t xml:space="preserve">analogiczną </w:t>
            </w:r>
            <w:r w:rsidRPr="00377C57">
              <w:rPr>
                <w:sz w:val="20"/>
                <w:szCs w:val="20"/>
              </w:rPr>
              <w:t>definicję jak we wskaźniku „</w:t>
            </w:r>
            <w:r w:rsidRPr="00377C57">
              <w:rPr>
                <w:i/>
                <w:sz w:val="20"/>
                <w:szCs w:val="20"/>
              </w:rPr>
              <w:t>Wzrost zatrudnienia we wspieranych przedsiębiorstwach</w:t>
            </w:r>
            <w:r w:rsidRPr="00377C5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odniesieniu do podmiotów innych niż przedsiębiorstwa. </w:t>
            </w:r>
          </w:p>
        </w:tc>
      </w:tr>
      <w:tr w:rsidR="00350EEC" w:rsidRPr="004A2391" w:rsidTr="00350EEC">
        <w:trPr>
          <w:trHeight w:val="1272"/>
        </w:trPr>
        <w:tc>
          <w:tcPr>
            <w:tcW w:w="530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6a.</w:t>
            </w:r>
          </w:p>
        </w:tc>
        <w:tc>
          <w:tcPr>
            <w:tcW w:w="3283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Default="00350EEC" w:rsidP="00350EEC">
            <w:pPr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  <w:p w:rsidR="00350EEC" w:rsidRPr="00C501E4" w:rsidRDefault="00350EEC" w:rsidP="00350EEC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kobiety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/>
            <w:shd w:val="clear" w:color="auto" w:fill="FFFFFF" w:themeFill="background1"/>
            <w:vAlign w:val="center"/>
          </w:tcPr>
          <w:p w:rsidR="00350EEC" w:rsidRPr="00377C57" w:rsidRDefault="00350EEC" w:rsidP="00350EEC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350EEC" w:rsidRPr="004A2391" w:rsidTr="00350EEC">
        <w:trPr>
          <w:trHeight w:val="1119"/>
        </w:trPr>
        <w:tc>
          <w:tcPr>
            <w:tcW w:w="530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6b.</w:t>
            </w:r>
          </w:p>
        </w:tc>
        <w:tc>
          <w:tcPr>
            <w:tcW w:w="3283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Default="00350EEC" w:rsidP="00350EEC">
            <w:pPr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  <w:p w:rsidR="00350EEC" w:rsidRPr="00C501E4" w:rsidRDefault="00350EEC" w:rsidP="00350EEC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mężczyźni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/>
            <w:shd w:val="clear" w:color="auto" w:fill="FFFFFF" w:themeFill="background1"/>
            <w:vAlign w:val="center"/>
          </w:tcPr>
          <w:p w:rsidR="00350EEC" w:rsidRPr="00377C57" w:rsidRDefault="00350EEC" w:rsidP="00350EEC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350EEC" w:rsidRPr="004A2391" w:rsidTr="00350EEC">
        <w:trPr>
          <w:trHeight w:val="990"/>
        </w:trPr>
        <w:tc>
          <w:tcPr>
            <w:tcW w:w="530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A2391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 w:val="restart"/>
            <w:shd w:val="clear" w:color="auto" w:fill="FFFFFF" w:themeFill="background1"/>
            <w:vAlign w:val="center"/>
          </w:tcPr>
          <w:p w:rsidR="00350EEC" w:rsidRPr="001208AF" w:rsidRDefault="00350EEC" w:rsidP="00350EEC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Wskaźnik służy do pomiaru liczby miejsc pracy, które zostały utrzymane w wyniku wsparcia, w ciągu pełnego roku kalendarzowego od zakończenia realizacji projektu, a które byłyby zlikwidowane, gdyby tego wsparcia Beneficjent nie uzyskał. Etaty muszą być obsadzone (nieobsadzonych etatów się nie wlicza). Prace sezonowe i niepełnowymiarowe należy przeliczyć na ekwiwalent pełnego czasu pracy. </w:t>
            </w:r>
          </w:p>
          <w:p w:rsidR="00350EEC" w:rsidRPr="001208AF" w:rsidRDefault="00350EEC" w:rsidP="00350EEC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:rsidR="00350EEC" w:rsidRPr="001208AF" w:rsidRDefault="00350EEC" w:rsidP="00350EEC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:rsidR="00350EEC" w:rsidRDefault="00350EEC" w:rsidP="00350EE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08AF">
              <w:rPr>
                <w:sz w:val="20"/>
                <w:szCs w:val="20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:rsidR="00350EEC" w:rsidRPr="004A2391" w:rsidRDefault="00350EEC" w:rsidP="00350EEC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  <w:r w:rsidRPr="001208AF">
              <w:rPr>
                <w:i/>
                <w:sz w:val="20"/>
                <w:szCs w:val="20"/>
              </w:rPr>
              <w:t>[Definicja opracowana przez IZ RPO WO 2014-2020]</w:t>
            </w:r>
          </w:p>
        </w:tc>
      </w:tr>
      <w:tr w:rsidR="00350EEC" w:rsidRPr="004A2391" w:rsidTr="00350EEC">
        <w:trPr>
          <w:trHeight w:val="1132"/>
        </w:trPr>
        <w:tc>
          <w:tcPr>
            <w:tcW w:w="530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7a.</w:t>
            </w:r>
          </w:p>
        </w:tc>
        <w:tc>
          <w:tcPr>
            <w:tcW w:w="3283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Default="00350EEC" w:rsidP="00350EEC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  <w:p w:rsidR="00350EEC" w:rsidRPr="004A2391" w:rsidRDefault="00350EEC" w:rsidP="00350EEC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kobiety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350EEC" w:rsidRPr="004A2391" w:rsidTr="00DE04C3">
        <w:trPr>
          <w:trHeight w:val="860"/>
        </w:trPr>
        <w:tc>
          <w:tcPr>
            <w:tcW w:w="530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7b.</w:t>
            </w:r>
          </w:p>
        </w:tc>
        <w:tc>
          <w:tcPr>
            <w:tcW w:w="3283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Default="00350EEC" w:rsidP="00350EEC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  <w:p w:rsidR="00350EEC" w:rsidRPr="004A2391" w:rsidRDefault="00350EEC" w:rsidP="00350EEC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mężczyźni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/>
            <w:shd w:val="clear" w:color="auto" w:fill="FFFFFF" w:themeFill="background1"/>
            <w:vAlign w:val="center"/>
          </w:tcPr>
          <w:p w:rsidR="00350EEC" w:rsidRPr="00C501E4" w:rsidRDefault="00350EEC" w:rsidP="00350EEC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350EEC" w:rsidRPr="004A2391" w:rsidTr="00350EEC">
        <w:trPr>
          <w:trHeight w:val="838"/>
        </w:trPr>
        <w:tc>
          <w:tcPr>
            <w:tcW w:w="530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A2391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nowo utworzonych miejsc pracy - pozostałe formy</w:t>
            </w:r>
          </w:p>
        </w:tc>
        <w:tc>
          <w:tcPr>
            <w:tcW w:w="113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350EEC" w:rsidRPr="004A2391" w:rsidRDefault="00350EEC" w:rsidP="00350EE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 w:val="restart"/>
            <w:shd w:val="clear" w:color="auto" w:fill="FFFFFF" w:themeFill="background1"/>
            <w:vAlign w:val="center"/>
          </w:tcPr>
          <w:p w:rsidR="00350EEC" w:rsidRPr="001208AF" w:rsidRDefault="00350EEC" w:rsidP="00350EE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Wskaźnik służy do pomiaru liczby pracowników zatrudnionych bezpośrednio w efekcie realizacji projektu, pracujących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 podstawie umów cywilnoprawnych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tj.: umów o dzieło, umów zlecenia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czy samozatrudnienia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– kontraktu, jak i pracujących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>na podstawie umów o pracę na czas określony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zarówno w przedsiębiorstwach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jak i pozostałych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>podmiotach niebędących przedsiębiorstwami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50EEC" w:rsidRPr="001208AF" w:rsidRDefault="00350EEC" w:rsidP="00350EE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:rsidR="00350EEC" w:rsidRDefault="00350EEC" w:rsidP="00350EEC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1208AF">
              <w:rPr>
                <w:sz w:val="20"/>
                <w:szCs w:val="20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:rsidR="00350EEC" w:rsidRPr="004A2391" w:rsidRDefault="00350EEC" w:rsidP="00350EEC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  <w:r w:rsidRPr="0099640D">
              <w:rPr>
                <w:i/>
                <w:sz w:val="20"/>
                <w:szCs w:val="20"/>
              </w:rPr>
              <w:t>[Definicja opracowana przez IZ RPO WO 2014-2020]</w:t>
            </w:r>
          </w:p>
        </w:tc>
      </w:tr>
      <w:tr w:rsidR="00DE04C3" w:rsidRPr="004A2391" w:rsidTr="00350EEC">
        <w:trPr>
          <w:trHeight w:val="848"/>
        </w:trPr>
        <w:tc>
          <w:tcPr>
            <w:tcW w:w="530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E04C3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8a.</w:t>
            </w:r>
          </w:p>
        </w:tc>
        <w:tc>
          <w:tcPr>
            <w:tcW w:w="3283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E04C3" w:rsidRDefault="00DE04C3" w:rsidP="00DE04C3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nowo utworzonych miejsc pracy - pozostałe formy</w:t>
            </w:r>
          </w:p>
          <w:p w:rsidR="00DE04C3" w:rsidRPr="004A2391" w:rsidRDefault="00DE04C3" w:rsidP="00DE04C3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kobiety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E04C3" w:rsidRPr="004A2391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E04C3" w:rsidRPr="004A2391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E04C3" w:rsidRPr="004A2391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E04C3" w:rsidRPr="004A2391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/>
            <w:shd w:val="clear" w:color="auto" w:fill="FFFFFF" w:themeFill="background1"/>
            <w:vAlign w:val="center"/>
          </w:tcPr>
          <w:p w:rsidR="00DE04C3" w:rsidRPr="00C501E4" w:rsidRDefault="00DE04C3" w:rsidP="00DE04C3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DE04C3" w:rsidRPr="004A2391" w:rsidTr="00350EEC">
        <w:trPr>
          <w:trHeight w:val="2385"/>
        </w:trPr>
        <w:tc>
          <w:tcPr>
            <w:tcW w:w="530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E04C3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8b.</w:t>
            </w:r>
          </w:p>
        </w:tc>
        <w:tc>
          <w:tcPr>
            <w:tcW w:w="3283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E04C3" w:rsidRDefault="00DE04C3" w:rsidP="00DE04C3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nowo utworzonych miejsc pracy - pozostałe formy</w:t>
            </w:r>
          </w:p>
          <w:p w:rsidR="00DE04C3" w:rsidRPr="004A2391" w:rsidRDefault="00DE04C3" w:rsidP="00DE04C3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mężczyźni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E04C3" w:rsidRPr="004A2391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E04C3" w:rsidRPr="004A2391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E04C3" w:rsidRPr="004A2391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E04C3" w:rsidRPr="004A2391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E04C3" w:rsidRPr="00C501E4" w:rsidRDefault="00DE04C3" w:rsidP="00DE04C3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DE04C3" w:rsidRPr="004A2391" w:rsidTr="00DE04C3">
        <w:trPr>
          <w:trHeight w:hRule="exact" w:val="567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:rsidR="00DE04C3" w:rsidRPr="00A41F51" w:rsidRDefault="00DE04C3" w:rsidP="00DE04C3">
            <w:pPr>
              <w:spacing w:before="80" w:after="80"/>
              <w:jc w:val="both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Poddziałanie 3.2.2</w:t>
            </w:r>
            <w:r w:rsidRPr="00A41F51">
              <w:rPr>
                <w:i/>
                <w:color w:val="000099"/>
              </w:rPr>
              <w:t xml:space="preserve"> </w:t>
            </w:r>
            <w:r>
              <w:rPr>
                <w:rFonts w:cs="Arial"/>
                <w:b/>
                <w:i/>
                <w:color w:val="000099"/>
              </w:rPr>
              <w:t xml:space="preserve">Efektywność energetyczna w budynkach publicznych Aglomeracji Opolskiej </w:t>
            </w:r>
          </w:p>
        </w:tc>
      </w:tr>
      <w:tr w:rsidR="00DE04C3" w:rsidRPr="004A2391" w:rsidTr="00DE04C3">
        <w:trPr>
          <w:trHeight w:val="4001"/>
        </w:trPr>
        <w:tc>
          <w:tcPr>
            <w:tcW w:w="530" w:type="dxa"/>
            <w:tcBorders>
              <w:top w:val="single" w:sz="12" w:space="0" w:color="33CC33"/>
            </w:tcBorders>
            <w:vAlign w:val="center"/>
          </w:tcPr>
          <w:p w:rsidR="00DE04C3" w:rsidRPr="00A41F51" w:rsidRDefault="00DE04C3" w:rsidP="00DE04C3">
            <w:pPr>
              <w:spacing w:before="80" w:after="80"/>
              <w:jc w:val="center"/>
              <w:rPr>
                <w:sz w:val="20"/>
              </w:rPr>
            </w:pPr>
            <w:r w:rsidRPr="00A41F51">
              <w:rPr>
                <w:sz w:val="20"/>
              </w:rPr>
              <w:t>1.</w:t>
            </w:r>
          </w:p>
        </w:tc>
        <w:tc>
          <w:tcPr>
            <w:tcW w:w="3283" w:type="dxa"/>
            <w:tcBorders>
              <w:top w:val="single" w:sz="12" w:space="0" w:color="33CC33"/>
            </w:tcBorders>
            <w:vAlign w:val="center"/>
          </w:tcPr>
          <w:p w:rsidR="00DE04C3" w:rsidRPr="00367BF2" w:rsidRDefault="00DE04C3" w:rsidP="00DE04C3">
            <w:pPr>
              <w:rPr>
                <w:rFonts w:eastAsia="Times New Roman" w:cs="Arial"/>
                <w:i/>
                <w:sz w:val="20"/>
              </w:rPr>
            </w:pPr>
            <w:r w:rsidRPr="00367BF2">
              <w:rPr>
                <w:rFonts w:eastAsia="Times New Roman" w:cs="Arial"/>
                <w:i/>
                <w:sz w:val="20"/>
              </w:rPr>
              <w:t>Liczba zmodernizowanych energetycznie budynków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vAlign w:val="center"/>
          </w:tcPr>
          <w:p w:rsidR="00DE04C3" w:rsidRPr="00367BF2" w:rsidRDefault="00DE04C3" w:rsidP="00DE04C3">
            <w:pPr>
              <w:jc w:val="center"/>
              <w:rPr>
                <w:rFonts w:cs="Arial"/>
                <w:sz w:val="20"/>
              </w:rPr>
            </w:pPr>
            <w:r w:rsidRPr="00367BF2">
              <w:rPr>
                <w:rFonts w:cs="Arial"/>
                <w:sz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:rsidR="00DE04C3" w:rsidRPr="00367BF2" w:rsidRDefault="00DE04C3" w:rsidP="00DE04C3">
            <w:pPr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vAlign w:val="center"/>
          </w:tcPr>
          <w:p w:rsidR="00DE04C3" w:rsidRPr="00367BF2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tcBorders>
              <w:top w:val="single" w:sz="12" w:space="0" w:color="33CC33"/>
            </w:tcBorders>
            <w:vAlign w:val="center"/>
          </w:tcPr>
          <w:p w:rsidR="00DE04C3" w:rsidRPr="00367BF2" w:rsidRDefault="00DE04C3" w:rsidP="00DE04C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 xml:space="preserve">Wskaźnik </w:t>
            </w:r>
            <w:r>
              <w:rPr>
                <w:sz w:val="20"/>
                <w:szCs w:val="20"/>
              </w:rPr>
              <w:br/>
              <w:t>z r</w:t>
            </w:r>
            <w:r w:rsidRPr="00367BF2">
              <w:rPr>
                <w:sz w:val="20"/>
                <w:szCs w:val="20"/>
              </w:rPr>
              <w:t>am wykonania</w:t>
            </w:r>
          </w:p>
        </w:tc>
        <w:tc>
          <w:tcPr>
            <w:tcW w:w="5782" w:type="dxa"/>
            <w:tcBorders>
              <w:top w:val="single" w:sz="12" w:space="0" w:color="33CC33"/>
            </w:tcBorders>
            <w:vAlign w:val="center"/>
          </w:tcPr>
          <w:p w:rsidR="00DE04C3" w:rsidRPr="00367BF2" w:rsidRDefault="00DE04C3" w:rsidP="00DE04C3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cs="TimesNewRoman"/>
                <w:sz w:val="20"/>
                <w:szCs w:val="18"/>
              </w:rPr>
            </w:pPr>
            <w:r w:rsidRPr="00367BF2">
              <w:rPr>
                <w:rFonts w:cs="TimesNewRoman"/>
                <w:sz w:val="20"/>
                <w:szCs w:val="18"/>
              </w:rPr>
              <w:t>Wskaźnik mierzy liczbę zmodernizowanych energetycznie budynków w wyniku realizacji projektu.</w:t>
            </w:r>
          </w:p>
          <w:p w:rsidR="00DE04C3" w:rsidRPr="00367BF2" w:rsidRDefault="00DE04C3" w:rsidP="00DE04C3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cs="TimesNewRoman"/>
                <w:sz w:val="20"/>
                <w:szCs w:val="18"/>
              </w:rPr>
            </w:pPr>
            <w:r w:rsidRPr="00367BF2">
              <w:rPr>
                <w:rFonts w:cs="TimesNewRoman"/>
                <w:sz w:val="20"/>
                <w:szCs w:val="18"/>
              </w:rPr>
              <w:t>Modernizacja – obejmuje przebudowę, remont oraz rozbudowę budynków w celu dokonania modernizacji urządzeń energetycznych.</w:t>
            </w:r>
          </w:p>
          <w:p w:rsidR="00DE04C3" w:rsidRPr="00367BF2" w:rsidRDefault="00DE04C3" w:rsidP="00DE04C3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cs="TimesNewRoman"/>
                <w:sz w:val="20"/>
                <w:szCs w:val="18"/>
              </w:rPr>
            </w:pPr>
            <w:r w:rsidRPr="00367BF2">
              <w:rPr>
                <w:rFonts w:cs="TimesNewRoman"/>
                <w:sz w:val="20"/>
                <w:szCs w:val="18"/>
              </w:rPr>
              <w:t xml:space="preserve">Przebudowa – </w:t>
            </w:r>
            <w:r>
              <w:rPr>
                <w:rFonts w:cs="TimesNewRoman"/>
                <w:sz w:val="20"/>
                <w:szCs w:val="18"/>
              </w:rPr>
              <w:t xml:space="preserve">wykonywanie robót budowlanych, </w:t>
            </w:r>
            <w:r w:rsidRPr="00367BF2">
              <w:rPr>
                <w:rFonts w:cs="TimesNewRoman"/>
                <w:sz w:val="20"/>
                <w:szCs w:val="18"/>
              </w:rPr>
              <w:t xml:space="preserve">w wyniku których następuje zmiana parametrów użytkowych lub technicznych istniejącego obiektu budowlanego, z wyjątkiem charakterystycznych parametrów, jak: kubatura, powierzchnia zabudowy, wysokość, długość, szerokość bądź liczba kondygnacji. </w:t>
            </w:r>
          </w:p>
          <w:p w:rsidR="00DE04C3" w:rsidRPr="00367BF2" w:rsidRDefault="00DE04C3" w:rsidP="00DE04C3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cs="TimesNewRoman"/>
                <w:sz w:val="20"/>
                <w:szCs w:val="18"/>
              </w:rPr>
            </w:pPr>
            <w:r w:rsidRPr="00367BF2">
              <w:rPr>
                <w:rFonts w:cs="TimesNewRoman"/>
                <w:sz w:val="20"/>
                <w:szCs w:val="18"/>
              </w:rPr>
              <w:t>Remont – wykonywanie w istniejącym obiekcie budowlanym robót budowlanych polega</w:t>
            </w:r>
            <w:r>
              <w:rPr>
                <w:rFonts w:cs="TimesNewRoman"/>
                <w:sz w:val="20"/>
                <w:szCs w:val="18"/>
              </w:rPr>
              <w:t xml:space="preserve">jących </w:t>
            </w:r>
            <w:r w:rsidRPr="00367BF2">
              <w:rPr>
                <w:rFonts w:cs="TimesNewRoman"/>
                <w:sz w:val="20"/>
                <w:szCs w:val="18"/>
              </w:rPr>
              <w:t xml:space="preserve">na odtworzeniu stanu pierwotnego, </w:t>
            </w:r>
            <w:r>
              <w:rPr>
                <w:rFonts w:cs="TimesNewRoman"/>
                <w:sz w:val="20"/>
                <w:szCs w:val="18"/>
              </w:rPr>
              <w:br/>
            </w:r>
            <w:r w:rsidRPr="00367BF2">
              <w:rPr>
                <w:rFonts w:cs="TimesNewRoman"/>
                <w:sz w:val="20"/>
                <w:szCs w:val="18"/>
              </w:rPr>
              <w:t xml:space="preserve">a niestanowiących bieżącej konserwacji, przy czym dopuszcza się stosowanie wyrobów budowlanych innych niż użyto w stanie pierwotnym. </w:t>
            </w:r>
          </w:p>
          <w:p w:rsidR="00DE04C3" w:rsidRPr="00367BF2" w:rsidRDefault="00DE04C3" w:rsidP="00DE04C3">
            <w:pPr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367BF2">
              <w:rPr>
                <w:rFonts w:cs="TimesNewRoman"/>
                <w:sz w:val="20"/>
                <w:szCs w:val="18"/>
              </w:rPr>
              <w:t>Rozbudowa – w budownictwie rodzaj budowy, w wyniku którego powstaje nowa część istniejącego już obiektu budowlanego.</w:t>
            </w:r>
          </w:p>
        </w:tc>
      </w:tr>
      <w:tr w:rsidR="00724FAB" w:rsidRPr="004A2391" w:rsidTr="00DE04C3">
        <w:trPr>
          <w:trHeight w:val="874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83" w:type="dxa"/>
            <w:vAlign w:val="center"/>
          </w:tcPr>
          <w:p w:rsidR="00724FAB" w:rsidRPr="00367BF2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367BF2">
              <w:rPr>
                <w:rFonts w:eastAsia="Times New Roman" w:cs="Arial"/>
                <w:i/>
                <w:sz w:val="20"/>
              </w:rPr>
              <w:t>Liczba wybudowanych jednostek wytwarzania energii elektrycznej z OZE</w:t>
            </w:r>
          </w:p>
        </w:tc>
        <w:tc>
          <w:tcPr>
            <w:tcW w:w="1134" w:type="dxa"/>
            <w:vAlign w:val="center"/>
          </w:tcPr>
          <w:p w:rsidR="00724FAB" w:rsidRPr="00367BF2" w:rsidRDefault="00724FAB" w:rsidP="00724FAB">
            <w:pPr>
              <w:jc w:val="center"/>
              <w:rPr>
                <w:rFonts w:cs="Arial"/>
                <w:sz w:val="20"/>
              </w:rPr>
            </w:pPr>
            <w:r w:rsidRPr="00367BF2">
              <w:rPr>
                <w:rFonts w:cs="Arial"/>
                <w:sz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724FAB" w:rsidRPr="00367BF2" w:rsidRDefault="00724FAB" w:rsidP="00724FAB">
            <w:pPr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Align w:val="center"/>
          </w:tcPr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cs="TimesNewRoman"/>
                <w:sz w:val="20"/>
                <w:szCs w:val="18"/>
              </w:rPr>
            </w:pPr>
            <w:r w:rsidRPr="00367BF2">
              <w:rPr>
                <w:rFonts w:cs="TimesNewRoman"/>
                <w:sz w:val="20"/>
                <w:szCs w:val="18"/>
              </w:rPr>
              <w:t>Jednostka wytwarzania energii elektrycznej obejmuje:</w:t>
            </w:r>
          </w:p>
          <w:p w:rsidR="00724FAB" w:rsidRDefault="00724FAB" w:rsidP="00724FAB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0"/>
                <w:szCs w:val="18"/>
              </w:rPr>
            </w:pPr>
            <w:r w:rsidRPr="00367BF2">
              <w:rPr>
                <w:sz w:val="20"/>
                <w:szCs w:val="18"/>
              </w:rPr>
              <w:t>w przypadku przedsiębiorstw energetycznych: jednostki wytwórcze – jednostka wytwórcza, to wyodrębniony zespół urządzeń należących do przedsiębiorstwa energetycznego, służąc</w:t>
            </w:r>
            <w:r>
              <w:rPr>
                <w:sz w:val="20"/>
                <w:szCs w:val="18"/>
              </w:rPr>
              <w:t xml:space="preserve">y do wytwarzania energii z OZE </w:t>
            </w:r>
            <w:r w:rsidRPr="00367BF2">
              <w:rPr>
                <w:sz w:val="20"/>
                <w:szCs w:val="18"/>
              </w:rPr>
              <w:t>i wyprowadzania mocy, opisany poprz</w:t>
            </w:r>
            <w:r>
              <w:rPr>
                <w:sz w:val="20"/>
                <w:szCs w:val="18"/>
              </w:rPr>
              <w:t xml:space="preserve">ez dane techniczne </w:t>
            </w:r>
            <w:r>
              <w:rPr>
                <w:sz w:val="20"/>
                <w:szCs w:val="18"/>
              </w:rPr>
              <w:br/>
              <w:t xml:space="preserve">i handlowe; </w:t>
            </w:r>
          </w:p>
          <w:p w:rsidR="00724FAB" w:rsidRPr="005C4BA2" w:rsidRDefault="00724FAB" w:rsidP="00724FAB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0"/>
                <w:szCs w:val="18"/>
              </w:rPr>
            </w:pPr>
            <w:r w:rsidRPr="00367BF2">
              <w:rPr>
                <w:sz w:val="20"/>
                <w:szCs w:val="18"/>
              </w:rPr>
              <w:t>w przypadku budynków mieszkalnych i budynków użyteczności publicznej: zespół urządzeń służących do wytwarzania energii elektrycznej z OZE.</w:t>
            </w:r>
          </w:p>
          <w:p w:rsidR="00724FAB" w:rsidRPr="00367BF2" w:rsidRDefault="00724FAB" w:rsidP="00724FAB">
            <w:pPr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367BF2">
              <w:rPr>
                <w:rFonts w:cs="TimesNewRoman"/>
                <w:i/>
                <w:sz w:val="20"/>
                <w:szCs w:val="18"/>
              </w:rPr>
              <w:t>Odnawialne źródło energii (zgodnie z</w:t>
            </w:r>
            <w:r>
              <w:rPr>
                <w:rFonts w:cs="TimesNewRoman"/>
                <w:i/>
                <w:sz w:val="20"/>
                <w:szCs w:val="18"/>
              </w:rPr>
              <w:t xml:space="preserve"> ustawą z dnia 10 kwietnia 1997</w:t>
            </w:r>
            <w:r w:rsidRPr="00367BF2">
              <w:rPr>
                <w:rFonts w:cs="TimesNewRoman"/>
                <w:i/>
                <w:sz w:val="20"/>
                <w:szCs w:val="18"/>
              </w:rPr>
              <w:t xml:space="preserve">r. Prawo energetyczne) – źródło wykorzystujące w procesie przetwarzania energię wiatru, promieniowania słonecznego, </w:t>
            </w:r>
            <w:proofErr w:type="spellStart"/>
            <w:r w:rsidRPr="00367BF2">
              <w:rPr>
                <w:rFonts w:cs="TimesNewRoman"/>
                <w:i/>
                <w:sz w:val="20"/>
                <w:szCs w:val="18"/>
              </w:rPr>
              <w:t>aerotermalną</w:t>
            </w:r>
            <w:proofErr w:type="spellEnd"/>
            <w:r w:rsidRPr="00367BF2">
              <w:rPr>
                <w:rFonts w:cs="TimesNewRoman"/>
                <w:i/>
                <w:sz w:val="20"/>
                <w:szCs w:val="18"/>
              </w:rPr>
              <w:t>, geotermalną, hydrotermalną, fal, prądów i pływów morskich, spadku</w:t>
            </w:r>
            <w:r>
              <w:rPr>
                <w:rFonts w:cs="TimesNewRoman"/>
                <w:i/>
                <w:sz w:val="20"/>
                <w:szCs w:val="18"/>
              </w:rPr>
              <w:t xml:space="preserve"> rzek oraz energię pozyskiwaną </w:t>
            </w:r>
            <w:r w:rsidRPr="00367BF2">
              <w:rPr>
                <w:rFonts w:cs="TimesNewRoman"/>
                <w:i/>
                <w:sz w:val="20"/>
                <w:szCs w:val="18"/>
              </w:rPr>
              <w:t>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724FAB" w:rsidRPr="004A2391" w:rsidTr="00DE04C3"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41F51">
              <w:rPr>
                <w:sz w:val="20"/>
              </w:rPr>
              <w:t>.</w:t>
            </w:r>
          </w:p>
        </w:tc>
        <w:tc>
          <w:tcPr>
            <w:tcW w:w="3283" w:type="dxa"/>
            <w:vAlign w:val="center"/>
          </w:tcPr>
          <w:p w:rsidR="00724FAB" w:rsidRPr="00367BF2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367BF2">
              <w:rPr>
                <w:rFonts w:eastAsia="Times New Roman" w:cs="Arial"/>
                <w:i/>
                <w:sz w:val="20"/>
              </w:rPr>
              <w:t>Liczba przebudowanych jednostek wytwarzania energii elektrycznej z OZE</w:t>
            </w:r>
          </w:p>
        </w:tc>
        <w:tc>
          <w:tcPr>
            <w:tcW w:w="1134" w:type="dxa"/>
            <w:vAlign w:val="center"/>
          </w:tcPr>
          <w:p w:rsidR="00724FAB" w:rsidRPr="00367BF2" w:rsidRDefault="00724FAB" w:rsidP="00724FAB">
            <w:pPr>
              <w:jc w:val="center"/>
              <w:rPr>
                <w:rFonts w:cs="Arial"/>
                <w:sz w:val="20"/>
              </w:rPr>
            </w:pPr>
            <w:r w:rsidRPr="00367BF2">
              <w:rPr>
                <w:rFonts w:cs="Arial"/>
                <w:sz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724FAB" w:rsidRPr="00367BF2" w:rsidRDefault="00724FAB" w:rsidP="00724FAB">
            <w:pPr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Align w:val="center"/>
          </w:tcPr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TimesNewRoman"/>
                <w:sz w:val="20"/>
                <w:szCs w:val="18"/>
              </w:rPr>
            </w:pPr>
            <w:r w:rsidRPr="00367BF2">
              <w:rPr>
                <w:rFonts w:cs="TimesNewRoman"/>
                <w:sz w:val="20"/>
                <w:szCs w:val="18"/>
              </w:rPr>
              <w:t>Jednostka wytwarzania energii elektrycznej obejmuje:</w:t>
            </w:r>
          </w:p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18"/>
              </w:rPr>
            </w:pPr>
            <w:r w:rsidRPr="00367BF2">
              <w:rPr>
                <w:sz w:val="20"/>
                <w:szCs w:val="18"/>
              </w:rPr>
              <w:t>w przypadku przedsiębiorstw energetycznych: jednostki wytwórcze – jednostka wytwórcza, to wyodrębniony zespół urządzeń należących do przedsiębiorstwa energetycznego, służąc</w:t>
            </w:r>
            <w:r>
              <w:rPr>
                <w:sz w:val="20"/>
                <w:szCs w:val="18"/>
              </w:rPr>
              <w:t xml:space="preserve">y do wytwarzania energii z OZE </w:t>
            </w:r>
            <w:r w:rsidRPr="00367BF2">
              <w:rPr>
                <w:sz w:val="20"/>
                <w:szCs w:val="18"/>
              </w:rPr>
              <w:t>i wyprowadzania mocy, opisany poprz</w:t>
            </w:r>
            <w:r>
              <w:rPr>
                <w:sz w:val="20"/>
                <w:szCs w:val="18"/>
              </w:rPr>
              <w:t xml:space="preserve">ez dane techniczne </w:t>
            </w:r>
            <w:r>
              <w:rPr>
                <w:sz w:val="20"/>
                <w:szCs w:val="18"/>
              </w:rPr>
              <w:br/>
              <w:t>i handlowe;</w:t>
            </w:r>
          </w:p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TimesNewRoman"/>
                <w:sz w:val="20"/>
                <w:szCs w:val="18"/>
              </w:rPr>
            </w:pPr>
            <w:r w:rsidRPr="00367BF2">
              <w:rPr>
                <w:sz w:val="20"/>
                <w:szCs w:val="18"/>
              </w:rPr>
              <w:t>w przypadku budynków mieszkalnych i budynków użyteczności publicznej: zespół urządzeń służących do wytwarzania energii elektrycznej z OZE.</w:t>
            </w:r>
          </w:p>
          <w:p w:rsidR="00724FAB" w:rsidRPr="00367BF2" w:rsidRDefault="00724FAB" w:rsidP="00724FA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367BF2">
              <w:rPr>
                <w:rFonts w:cs="TimesNewRoman"/>
                <w:i/>
                <w:sz w:val="20"/>
                <w:szCs w:val="18"/>
              </w:rPr>
              <w:t>Odnawialne źródło energii (zgodnie z ustawą z dnia 10 kwiet</w:t>
            </w:r>
            <w:r>
              <w:rPr>
                <w:rFonts w:cs="TimesNewRoman"/>
                <w:i/>
                <w:sz w:val="20"/>
                <w:szCs w:val="18"/>
              </w:rPr>
              <w:t>nia 1997</w:t>
            </w:r>
            <w:r w:rsidRPr="00367BF2">
              <w:rPr>
                <w:rFonts w:cs="TimesNewRoman"/>
                <w:i/>
                <w:sz w:val="20"/>
                <w:szCs w:val="18"/>
              </w:rPr>
              <w:t xml:space="preserve">r. Prawo energetyczne) – źródło wykorzystujące w procesie przetwarzania energię wiatru, promieniowania słonecznego, </w:t>
            </w:r>
            <w:proofErr w:type="spellStart"/>
            <w:r w:rsidRPr="00367BF2">
              <w:rPr>
                <w:rFonts w:cs="TimesNewRoman"/>
                <w:i/>
                <w:sz w:val="20"/>
                <w:szCs w:val="18"/>
              </w:rPr>
              <w:t>aerotermalną</w:t>
            </w:r>
            <w:proofErr w:type="spellEnd"/>
            <w:r w:rsidRPr="00367BF2">
              <w:rPr>
                <w:rFonts w:cs="TimesNewRoman"/>
                <w:i/>
                <w:sz w:val="20"/>
                <w:szCs w:val="18"/>
              </w:rPr>
              <w:t>, geotermalną, hydrotermalną, fal, prądów i pływów morskich, spadku rzek oraz energię pozyskiwaną</w:t>
            </w:r>
            <w:r>
              <w:rPr>
                <w:rFonts w:cs="TimesNewRoman"/>
                <w:i/>
                <w:sz w:val="20"/>
                <w:szCs w:val="18"/>
              </w:rPr>
              <w:t xml:space="preserve"> </w:t>
            </w:r>
            <w:r w:rsidRPr="00367BF2">
              <w:rPr>
                <w:rFonts w:cs="TimesNewRoman"/>
                <w:i/>
                <w:sz w:val="20"/>
                <w:szCs w:val="18"/>
              </w:rPr>
              <w:t>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724FAB" w:rsidRPr="004A2391" w:rsidTr="00DE04C3"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1F51">
              <w:rPr>
                <w:sz w:val="20"/>
              </w:rPr>
              <w:t>.</w:t>
            </w:r>
          </w:p>
        </w:tc>
        <w:tc>
          <w:tcPr>
            <w:tcW w:w="3283" w:type="dxa"/>
            <w:vAlign w:val="center"/>
          </w:tcPr>
          <w:p w:rsidR="00724FAB" w:rsidRPr="00367BF2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367BF2">
              <w:rPr>
                <w:rFonts w:eastAsia="Times New Roman" w:cs="Arial"/>
                <w:i/>
                <w:sz w:val="20"/>
              </w:rPr>
              <w:t>Liczba wybudowanych jednostek wytwarzania energii cieplnej z OZE</w:t>
            </w:r>
          </w:p>
        </w:tc>
        <w:tc>
          <w:tcPr>
            <w:tcW w:w="1134" w:type="dxa"/>
            <w:vAlign w:val="center"/>
          </w:tcPr>
          <w:p w:rsidR="00724FAB" w:rsidRPr="00367BF2" w:rsidRDefault="00724FAB" w:rsidP="00724FAB">
            <w:pPr>
              <w:jc w:val="center"/>
              <w:rPr>
                <w:rFonts w:cs="Arial"/>
                <w:sz w:val="20"/>
              </w:rPr>
            </w:pPr>
            <w:r w:rsidRPr="00367BF2">
              <w:rPr>
                <w:rFonts w:cs="Arial"/>
                <w:sz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724FAB" w:rsidRPr="00367BF2" w:rsidRDefault="00724FAB" w:rsidP="00724FAB">
            <w:pPr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Align w:val="center"/>
          </w:tcPr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TimesNewRoman"/>
                <w:sz w:val="20"/>
                <w:szCs w:val="18"/>
              </w:rPr>
            </w:pPr>
            <w:r w:rsidRPr="00367BF2">
              <w:rPr>
                <w:rFonts w:cs="TimesNewRoman"/>
                <w:sz w:val="20"/>
                <w:szCs w:val="18"/>
              </w:rPr>
              <w:t xml:space="preserve">Jednostka wytwarzania energii cieplnej obejmuje: </w:t>
            </w:r>
          </w:p>
          <w:p w:rsidR="00724FAB" w:rsidRDefault="00724FAB" w:rsidP="00724F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18"/>
              </w:rPr>
            </w:pPr>
            <w:r w:rsidRPr="00367BF2">
              <w:rPr>
                <w:sz w:val="20"/>
                <w:szCs w:val="18"/>
              </w:rPr>
              <w:t>w przypadku przedsiębiorstw energetycznych: jednostki wytwórcze – jednostka wytwórcza, to wyodrębniony zespół urządzeń należących do przedsiębiorstwa energetycznego, służąc</w:t>
            </w:r>
            <w:r>
              <w:rPr>
                <w:sz w:val="20"/>
                <w:szCs w:val="18"/>
              </w:rPr>
              <w:t xml:space="preserve">y do wytwarzania energii z OZE </w:t>
            </w:r>
            <w:r w:rsidRPr="00367BF2">
              <w:rPr>
                <w:sz w:val="20"/>
                <w:szCs w:val="18"/>
              </w:rPr>
              <w:t>i wyprowadzania mocy, opisany poprz</w:t>
            </w:r>
            <w:r>
              <w:rPr>
                <w:sz w:val="20"/>
                <w:szCs w:val="18"/>
              </w:rPr>
              <w:t xml:space="preserve">ez dane techniczne </w:t>
            </w:r>
            <w:r>
              <w:rPr>
                <w:sz w:val="20"/>
                <w:szCs w:val="18"/>
              </w:rPr>
              <w:br/>
              <w:t xml:space="preserve">i handlowe; </w:t>
            </w:r>
          </w:p>
          <w:p w:rsidR="00724FAB" w:rsidRPr="00B55249" w:rsidRDefault="00724FAB" w:rsidP="00724F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18"/>
              </w:rPr>
            </w:pPr>
            <w:r w:rsidRPr="00367BF2">
              <w:rPr>
                <w:sz w:val="20"/>
                <w:szCs w:val="18"/>
              </w:rPr>
              <w:t>w przypadku budynków mieszkalnych i budynków użyteczności publicznej: zespół urządzeń służących do wytwarzania energii cieplnej z OZE.</w:t>
            </w:r>
          </w:p>
          <w:p w:rsidR="00724FAB" w:rsidRPr="00367BF2" w:rsidRDefault="00724FAB" w:rsidP="00724FA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367BF2">
              <w:rPr>
                <w:rFonts w:cs="TimesNewRoman"/>
                <w:i/>
                <w:sz w:val="20"/>
                <w:szCs w:val="18"/>
              </w:rPr>
              <w:t>Odnawialne źródło energii (zgodnie z</w:t>
            </w:r>
            <w:r>
              <w:rPr>
                <w:rFonts w:cs="TimesNewRoman"/>
                <w:i/>
                <w:sz w:val="20"/>
                <w:szCs w:val="18"/>
              </w:rPr>
              <w:t xml:space="preserve"> ustawą z dnia 10 kwietnia 1997</w:t>
            </w:r>
            <w:r w:rsidRPr="00367BF2">
              <w:rPr>
                <w:rFonts w:cs="TimesNewRoman"/>
                <w:i/>
                <w:sz w:val="20"/>
                <w:szCs w:val="18"/>
              </w:rPr>
              <w:t xml:space="preserve">r. Prawo energetyczne) – źródło wykorzystujące w procesie przetwarzania energię wiatru, promieniowania słonecznego, </w:t>
            </w:r>
            <w:proofErr w:type="spellStart"/>
            <w:r w:rsidRPr="00367BF2">
              <w:rPr>
                <w:rFonts w:cs="TimesNewRoman"/>
                <w:i/>
                <w:sz w:val="20"/>
                <w:szCs w:val="18"/>
              </w:rPr>
              <w:t>aerotermalną</w:t>
            </w:r>
            <w:proofErr w:type="spellEnd"/>
            <w:r w:rsidRPr="00367BF2">
              <w:rPr>
                <w:rFonts w:cs="TimesNewRoman"/>
                <w:i/>
                <w:sz w:val="20"/>
                <w:szCs w:val="18"/>
              </w:rPr>
              <w:t>, geotermalną, hydrotermalną, fal, prądów i pływów morskich, spadku</w:t>
            </w:r>
            <w:r>
              <w:rPr>
                <w:rFonts w:cs="TimesNewRoman"/>
                <w:i/>
                <w:sz w:val="20"/>
                <w:szCs w:val="18"/>
              </w:rPr>
              <w:t xml:space="preserve"> rzek oraz energię pozyskiwaną </w:t>
            </w:r>
            <w:r w:rsidRPr="00367BF2">
              <w:rPr>
                <w:rFonts w:cs="TimesNewRoman"/>
                <w:i/>
                <w:sz w:val="20"/>
                <w:szCs w:val="18"/>
              </w:rPr>
              <w:t>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724FAB" w:rsidRPr="004A2391" w:rsidTr="00DE04C3"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1F51">
              <w:rPr>
                <w:sz w:val="20"/>
              </w:rPr>
              <w:t>.</w:t>
            </w:r>
          </w:p>
        </w:tc>
        <w:tc>
          <w:tcPr>
            <w:tcW w:w="3283" w:type="dxa"/>
            <w:vAlign w:val="center"/>
          </w:tcPr>
          <w:p w:rsidR="00724FAB" w:rsidRPr="00367BF2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367BF2">
              <w:rPr>
                <w:rFonts w:eastAsia="Times New Roman" w:cs="Arial"/>
                <w:i/>
                <w:sz w:val="20"/>
              </w:rPr>
              <w:t>Liczba przebudowanych jednostek wytwarzania energii cieplnej z OZE</w:t>
            </w:r>
          </w:p>
        </w:tc>
        <w:tc>
          <w:tcPr>
            <w:tcW w:w="1134" w:type="dxa"/>
            <w:vAlign w:val="center"/>
          </w:tcPr>
          <w:p w:rsidR="00724FAB" w:rsidRPr="00367BF2" w:rsidRDefault="00724FAB" w:rsidP="00724FAB">
            <w:pPr>
              <w:jc w:val="center"/>
              <w:rPr>
                <w:rFonts w:cs="Arial"/>
                <w:sz w:val="20"/>
              </w:rPr>
            </w:pPr>
            <w:r w:rsidRPr="00367BF2">
              <w:rPr>
                <w:rFonts w:cs="Arial"/>
                <w:sz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724FAB" w:rsidRPr="00367BF2" w:rsidRDefault="00724FAB" w:rsidP="00724FAB">
            <w:pPr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Align w:val="center"/>
          </w:tcPr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NewRoman"/>
                <w:sz w:val="20"/>
                <w:szCs w:val="18"/>
              </w:rPr>
            </w:pPr>
            <w:r w:rsidRPr="00367BF2">
              <w:rPr>
                <w:rFonts w:cs="TimesNewRoman"/>
                <w:sz w:val="20"/>
                <w:szCs w:val="18"/>
              </w:rPr>
              <w:t>Jednostka wytwarzania energii elektrycznej obejmuje:</w:t>
            </w:r>
          </w:p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18"/>
              </w:rPr>
            </w:pPr>
            <w:r w:rsidRPr="00367BF2">
              <w:rPr>
                <w:sz w:val="20"/>
                <w:szCs w:val="18"/>
              </w:rPr>
              <w:t>w przypadku przedsiębiorstw energetycznych: jednostki wytwórcze – jednostka wytwórcza, to wyodrębniony zespół urządzeń należących do przedsiębiorstwa energetycznego, służąc</w:t>
            </w:r>
            <w:r>
              <w:rPr>
                <w:sz w:val="20"/>
                <w:szCs w:val="18"/>
              </w:rPr>
              <w:t xml:space="preserve">y do wytwarzania energii z OZE </w:t>
            </w:r>
            <w:r w:rsidRPr="00367BF2">
              <w:rPr>
                <w:sz w:val="20"/>
                <w:szCs w:val="18"/>
              </w:rPr>
              <w:t>i wyprowadzania mocy, opisany poprz</w:t>
            </w:r>
            <w:r>
              <w:rPr>
                <w:sz w:val="20"/>
                <w:szCs w:val="18"/>
              </w:rPr>
              <w:t xml:space="preserve">ez dane techniczne </w:t>
            </w:r>
            <w:r>
              <w:rPr>
                <w:sz w:val="20"/>
                <w:szCs w:val="18"/>
              </w:rPr>
              <w:br/>
              <w:t>i handlowe;</w:t>
            </w:r>
          </w:p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NewRoman"/>
                <w:sz w:val="20"/>
                <w:szCs w:val="18"/>
              </w:rPr>
            </w:pPr>
            <w:r w:rsidRPr="00367BF2">
              <w:rPr>
                <w:sz w:val="20"/>
                <w:szCs w:val="18"/>
              </w:rPr>
              <w:t>w przypadku budynków mieszkalnych i budynków użyteczności publicznej: zespół urządzeń służących do wytwarzania energii cieplnej z OZE.</w:t>
            </w:r>
          </w:p>
          <w:p w:rsidR="00724FAB" w:rsidRPr="00367BF2" w:rsidRDefault="00724FAB" w:rsidP="00724F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67BF2">
              <w:rPr>
                <w:rFonts w:cs="TimesNewRoman"/>
                <w:i/>
                <w:sz w:val="20"/>
                <w:szCs w:val="18"/>
              </w:rPr>
              <w:t>Odnawialne źródło energii (zgodnie z</w:t>
            </w:r>
            <w:r>
              <w:rPr>
                <w:rFonts w:cs="TimesNewRoman"/>
                <w:i/>
                <w:sz w:val="20"/>
                <w:szCs w:val="18"/>
              </w:rPr>
              <w:t xml:space="preserve"> ustawą z dnia 10 kwietnia 1997</w:t>
            </w:r>
            <w:r w:rsidRPr="00367BF2">
              <w:rPr>
                <w:rFonts w:cs="TimesNewRoman"/>
                <w:i/>
                <w:sz w:val="20"/>
                <w:szCs w:val="18"/>
              </w:rPr>
              <w:t xml:space="preserve">r. Prawo energetyczne) – źródło wykorzystujące w procesie przetwarzania energię wiatru, promieniowania słonecznego, </w:t>
            </w:r>
            <w:proofErr w:type="spellStart"/>
            <w:r w:rsidRPr="00367BF2">
              <w:rPr>
                <w:rFonts w:cs="TimesNewRoman"/>
                <w:i/>
                <w:sz w:val="20"/>
                <w:szCs w:val="18"/>
              </w:rPr>
              <w:t>aerotermalną</w:t>
            </w:r>
            <w:proofErr w:type="spellEnd"/>
            <w:r w:rsidRPr="00367BF2">
              <w:rPr>
                <w:rFonts w:cs="TimesNewRoman"/>
                <w:i/>
                <w:sz w:val="20"/>
                <w:szCs w:val="18"/>
              </w:rPr>
              <w:t>, geotermalną, hydrotermalną, fal, prądów i pływów morskich, spadku</w:t>
            </w:r>
            <w:r>
              <w:rPr>
                <w:rFonts w:cs="TimesNewRoman"/>
                <w:i/>
                <w:sz w:val="20"/>
                <w:szCs w:val="18"/>
              </w:rPr>
              <w:t xml:space="preserve"> rzek oraz energię pozyskiwaną </w:t>
            </w:r>
            <w:r w:rsidRPr="00367BF2">
              <w:rPr>
                <w:rFonts w:cs="TimesNewRoman"/>
                <w:i/>
                <w:sz w:val="20"/>
                <w:szCs w:val="18"/>
              </w:rPr>
              <w:t>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724FAB" w:rsidRPr="004A2391" w:rsidTr="00DE04C3">
        <w:trPr>
          <w:trHeight w:val="692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41F51">
              <w:rPr>
                <w:sz w:val="20"/>
              </w:rPr>
              <w:t>.</w:t>
            </w:r>
          </w:p>
        </w:tc>
        <w:tc>
          <w:tcPr>
            <w:tcW w:w="3283" w:type="dxa"/>
            <w:vAlign w:val="center"/>
          </w:tcPr>
          <w:p w:rsidR="00724FAB" w:rsidRPr="00367BF2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367BF2">
              <w:rPr>
                <w:rFonts w:eastAsia="Times New Roman" w:cs="Arial"/>
                <w:i/>
                <w:sz w:val="20"/>
              </w:rPr>
              <w:t>Dodatkowa zdolność wytwarzania energii elektrycznej ze źródeł odnawialnych</w:t>
            </w:r>
          </w:p>
        </w:tc>
        <w:tc>
          <w:tcPr>
            <w:tcW w:w="1134" w:type="dxa"/>
            <w:vAlign w:val="center"/>
          </w:tcPr>
          <w:p w:rsidR="00724FAB" w:rsidRPr="00367BF2" w:rsidRDefault="00724FAB" w:rsidP="00724FAB">
            <w:pPr>
              <w:jc w:val="center"/>
              <w:rPr>
                <w:rFonts w:cs="Arial"/>
                <w:sz w:val="20"/>
              </w:rPr>
            </w:pPr>
            <w:proofErr w:type="spellStart"/>
            <w:r w:rsidRPr="00367BF2">
              <w:rPr>
                <w:rFonts w:cs="Arial"/>
                <w:sz w:val="20"/>
              </w:rPr>
              <w:t>MWe</w:t>
            </w:r>
            <w:proofErr w:type="spellEnd"/>
          </w:p>
        </w:tc>
        <w:tc>
          <w:tcPr>
            <w:tcW w:w="1275" w:type="dxa"/>
            <w:vAlign w:val="center"/>
          </w:tcPr>
          <w:p w:rsidR="00724FAB" w:rsidRPr="00367BF2" w:rsidRDefault="00724FAB" w:rsidP="00724FAB">
            <w:pPr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Align w:val="center"/>
          </w:tcPr>
          <w:p w:rsidR="00724FAB" w:rsidRPr="00367BF2" w:rsidRDefault="00724FAB" w:rsidP="00724F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Wzrost zdolności produkcyjnych energii urządzeń wykorzystujących odnawialne źródła energii, zbudowanych/wyposażonych w ramach projektu. Obejmuje energię elektryczną i cieplną.</w:t>
            </w:r>
          </w:p>
          <w:p w:rsidR="00724FAB" w:rsidRPr="00367BF2" w:rsidRDefault="00724FAB" w:rsidP="00724F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Odnawialne źródło energii: Wszelkie źródło energii, która nie jest paliwem kopalnym i jądrowym. Patrz rozporządzenie 2009/28, art. 2(a).</w:t>
            </w:r>
          </w:p>
        </w:tc>
      </w:tr>
      <w:tr w:rsidR="00724FAB" w:rsidRPr="004A2391" w:rsidTr="00DE04C3">
        <w:trPr>
          <w:trHeight w:val="761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41F51">
              <w:rPr>
                <w:sz w:val="20"/>
              </w:rPr>
              <w:t>.</w:t>
            </w:r>
          </w:p>
        </w:tc>
        <w:tc>
          <w:tcPr>
            <w:tcW w:w="3283" w:type="dxa"/>
            <w:vAlign w:val="center"/>
          </w:tcPr>
          <w:p w:rsidR="00724FAB" w:rsidRPr="00367BF2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367BF2">
              <w:rPr>
                <w:rFonts w:eastAsia="Times New Roman" w:cs="Arial"/>
                <w:i/>
                <w:sz w:val="20"/>
              </w:rPr>
              <w:t>Dodatkowa zdolność wytwarzania energii cieplnej ze źródeł odnawialnych</w:t>
            </w:r>
          </w:p>
        </w:tc>
        <w:tc>
          <w:tcPr>
            <w:tcW w:w="1134" w:type="dxa"/>
            <w:vAlign w:val="center"/>
          </w:tcPr>
          <w:p w:rsidR="00724FAB" w:rsidRPr="00367BF2" w:rsidRDefault="00724FAB" w:rsidP="00724FAB">
            <w:pPr>
              <w:jc w:val="center"/>
              <w:rPr>
                <w:rFonts w:cs="Arial"/>
                <w:sz w:val="20"/>
              </w:rPr>
            </w:pPr>
            <w:proofErr w:type="spellStart"/>
            <w:r w:rsidRPr="00367BF2">
              <w:rPr>
                <w:rFonts w:cs="Arial"/>
                <w:sz w:val="20"/>
              </w:rPr>
              <w:t>MWt</w:t>
            </w:r>
            <w:proofErr w:type="spellEnd"/>
          </w:p>
        </w:tc>
        <w:tc>
          <w:tcPr>
            <w:tcW w:w="1275" w:type="dxa"/>
            <w:vAlign w:val="center"/>
          </w:tcPr>
          <w:p w:rsidR="00724FAB" w:rsidRPr="00367BF2" w:rsidRDefault="00724FAB" w:rsidP="00724FAB">
            <w:pPr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Align w:val="center"/>
          </w:tcPr>
          <w:p w:rsidR="00724FAB" w:rsidRPr="00367BF2" w:rsidRDefault="00724FAB" w:rsidP="00724F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Wzrost zdolności produkcyjnych energii urządzeń wykorzystujących odnawialne źródła energii, zbudowanych / wyposażonych w ramach projektu. Obejmuje energię elektryczną i cieplną.</w:t>
            </w:r>
          </w:p>
          <w:p w:rsidR="00724FAB" w:rsidRPr="00367BF2" w:rsidRDefault="00724FAB" w:rsidP="00724F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Odnawialne źródło energii: Wszelkie źródło energii, która nie jest paliwem kopalnym i jądrowym. Patrz rozporządzenie 2009/28, art. 2(a).</w:t>
            </w:r>
          </w:p>
        </w:tc>
      </w:tr>
      <w:tr w:rsidR="00724FAB" w:rsidRPr="004A2391" w:rsidTr="00DE04C3">
        <w:trPr>
          <w:trHeight w:val="2346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41F51">
              <w:rPr>
                <w:sz w:val="20"/>
              </w:rPr>
              <w:t>.</w:t>
            </w:r>
          </w:p>
        </w:tc>
        <w:tc>
          <w:tcPr>
            <w:tcW w:w="3283" w:type="dxa"/>
            <w:vAlign w:val="center"/>
          </w:tcPr>
          <w:p w:rsidR="00724FAB" w:rsidRPr="002174D7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2174D7">
              <w:rPr>
                <w:rFonts w:eastAsia="Times New Roman" w:cs="Arial"/>
                <w:i/>
                <w:sz w:val="20"/>
              </w:rPr>
              <w:t>Powierzchnia użytkowa budynków poddanych termomodernizacji</w:t>
            </w:r>
          </w:p>
        </w:tc>
        <w:tc>
          <w:tcPr>
            <w:tcW w:w="1134" w:type="dxa"/>
            <w:vAlign w:val="center"/>
          </w:tcPr>
          <w:p w:rsidR="00724FAB" w:rsidRPr="002174D7" w:rsidRDefault="00724FAB" w:rsidP="00724FAB">
            <w:pPr>
              <w:jc w:val="center"/>
              <w:rPr>
                <w:rFonts w:cs="Arial"/>
                <w:sz w:val="20"/>
              </w:rPr>
            </w:pPr>
            <w:r w:rsidRPr="002174D7">
              <w:rPr>
                <w:rFonts w:cs="Arial"/>
                <w:sz w:val="20"/>
              </w:rPr>
              <w:t>m</w:t>
            </w:r>
            <w:r w:rsidRPr="002174D7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724FAB" w:rsidRPr="002174D7" w:rsidRDefault="00724FAB" w:rsidP="00724FAB">
            <w:pPr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Align w:val="center"/>
          </w:tcPr>
          <w:p w:rsidR="00724FAB" w:rsidRPr="002174D7" w:rsidRDefault="00724FAB" w:rsidP="00724FAB">
            <w:pPr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Ilość m2 powierzchni użytkowej poddanej termomodernizacji, gdzie termomodernizacja definiowana jest jako przedsięwzięcia służące poprawie efektywności energetycznej, zgodnie z zapisami:</w:t>
            </w:r>
          </w:p>
          <w:p w:rsidR="00724FAB" w:rsidRPr="002174D7" w:rsidRDefault="00724FAB" w:rsidP="00724FAB">
            <w:pPr>
              <w:numPr>
                <w:ilvl w:val="0"/>
                <w:numId w:val="10"/>
              </w:numPr>
              <w:spacing w:before="60" w:after="60"/>
              <w:ind w:left="317" w:hanging="218"/>
              <w:contextualSpacing/>
              <w:jc w:val="both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Ustawy z dnia 15 kwietnia 2011 r. o efektywności energetycznej;</w:t>
            </w:r>
          </w:p>
          <w:p w:rsidR="00724FAB" w:rsidRPr="002174D7" w:rsidRDefault="00724FAB" w:rsidP="00724FAB">
            <w:pPr>
              <w:numPr>
                <w:ilvl w:val="0"/>
                <w:numId w:val="10"/>
              </w:numPr>
              <w:spacing w:before="60" w:after="60"/>
              <w:ind w:left="317" w:hanging="218"/>
              <w:contextualSpacing/>
              <w:jc w:val="both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 xml:space="preserve">Obwieszczenia Ministra Gospodarki z dnia 21 grudnia 2012 r. </w:t>
            </w:r>
            <w:r>
              <w:rPr>
                <w:sz w:val="20"/>
                <w:szCs w:val="20"/>
              </w:rPr>
              <w:br/>
            </w:r>
            <w:r w:rsidRPr="002174D7">
              <w:rPr>
                <w:sz w:val="20"/>
                <w:szCs w:val="20"/>
              </w:rPr>
              <w:t>w sprawie szczegółowego wykazu przedsięwzięć służących poprawie efektywności energetycznej;</w:t>
            </w:r>
          </w:p>
          <w:p w:rsidR="00724FAB" w:rsidRPr="002174D7" w:rsidRDefault="00724FAB" w:rsidP="00724FAB">
            <w:pPr>
              <w:numPr>
                <w:ilvl w:val="0"/>
                <w:numId w:val="10"/>
              </w:numPr>
              <w:spacing w:before="60" w:after="60"/>
              <w:ind w:left="317" w:hanging="218"/>
              <w:contextualSpacing/>
              <w:jc w:val="both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Ustawy z dnia 21 listopada 2008 r. o wspieraniu termomodernizacji i remontów.</w:t>
            </w:r>
          </w:p>
        </w:tc>
      </w:tr>
      <w:tr w:rsidR="00724FAB" w:rsidRPr="004A2391" w:rsidTr="00DE04C3">
        <w:trPr>
          <w:trHeight w:val="848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83" w:type="dxa"/>
            <w:vAlign w:val="center"/>
          </w:tcPr>
          <w:p w:rsidR="00724FAB" w:rsidRPr="002174D7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2174D7">
              <w:rPr>
                <w:rFonts w:eastAsia="Times New Roman" w:cs="Arial"/>
                <w:i/>
                <w:sz w:val="20"/>
              </w:rPr>
              <w:t>Liczba zmodernizowanych źródeł ciepła</w:t>
            </w:r>
          </w:p>
        </w:tc>
        <w:tc>
          <w:tcPr>
            <w:tcW w:w="1134" w:type="dxa"/>
            <w:vAlign w:val="center"/>
          </w:tcPr>
          <w:p w:rsidR="00724FAB" w:rsidRPr="002174D7" w:rsidRDefault="00724FAB" w:rsidP="00724FAB">
            <w:pPr>
              <w:jc w:val="center"/>
              <w:rPr>
                <w:rFonts w:cs="Arial"/>
                <w:sz w:val="20"/>
              </w:rPr>
            </w:pPr>
            <w:r w:rsidRPr="002174D7">
              <w:rPr>
                <w:rFonts w:cs="Arial"/>
                <w:sz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724FAB" w:rsidRPr="002174D7" w:rsidRDefault="00724FAB" w:rsidP="00724FAB">
            <w:pPr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Align w:val="center"/>
          </w:tcPr>
          <w:p w:rsidR="00724FAB" w:rsidRPr="00C116C0" w:rsidRDefault="00724FAB" w:rsidP="00724FAB">
            <w:pPr>
              <w:spacing w:before="40" w:after="4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16C0">
              <w:rPr>
                <w:color w:val="000000" w:themeColor="text1"/>
                <w:sz w:val="20"/>
                <w:szCs w:val="20"/>
              </w:rPr>
              <w:t>Liczba wymienionych lub zmodernizowanych źródeł ciepła, gdzie źródła ciepła rozumiane są jako zespół urządzeń lub instalacji służących do wytwarzania ciepła.</w:t>
            </w:r>
          </w:p>
          <w:p w:rsidR="00724FAB" w:rsidRPr="002174D7" w:rsidRDefault="00724FAB" w:rsidP="00724FAB">
            <w:pPr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C116C0">
              <w:rPr>
                <w:i/>
                <w:color w:val="000000" w:themeColor="text1"/>
                <w:sz w:val="20"/>
                <w:szCs w:val="20"/>
              </w:rPr>
              <w:t>[Definicja opracowana przez IZ RPO WO 2014-2020]</w:t>
            </w:r>
          </w:p>
        </w:tc>
      </w:tr>
      <w:tr w:rsidR="00724FAB" w:rsidRPr="004A2391" w:rsidTr="00DE04C3">
        <w:trPr>
          <w:trHeight w:val="685"/>
        </w:trPr>
        <w:tc>
          <w:tcPr>
            <w:tcW w:w="530" w:type="dxa"/>
            <w:vAlign w:val="center"/>
          </w:tcPr>
          <w:p w:rsidR="00724FAB" w:rsidRDefault="00724FAB" w:rsidP="00724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283" w:type="dxa"/>
            <w:vAlign w:val="center"/>
          </w:tcPr>
          <w:p w:rsidR="00724FAB" w:rsidRPr="00E32DE0" w:rsidRDefault="00724FAB" w:rsidP="00724FA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E32DE0">
              <w:rPr>
                <w:rFonts w:cs="Arial"/>
                <w:i/>
                <w:sz w:val="20"/>
              </w:rPr>
              <w:t>Udział projektu w odniesieniu do obszaru objętego programem rewitalizacji</w:t>
            </w:r>
          </w:p>
        </w:tc>
        <w:tc>
          <w:tcPr>
            <w:tcW w:w="1134" w:type="dxa"/>
            <w:vAlign w:val="center"/>
          </w:tcPr>
          <w:p w:rsidR="00724FAB" w:rsidRPr="00E32DE0" w:rsidRDefault="00724FAB" w:rsidP="00724FAB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32DE0">
              <w:rPr>
                <w:sz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724FAB" w:rsidRPr="00E32DE0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32DE0">
              <w:rPr>
                <w:sz w:val="20"/>
              </w:rPr>
              <w:t>produkt</w:t>
            </w:r>
          </w:p>
        </w:tc>
        <w:tc>
          <w:tcPr>
            <w:tcW w:w="1418" w:type="dxa"/>
            <w:vAlign w:val="center"/>
          </w:tcPr>
          <w:p w:rsidR="00724FAB" w:rsidRPr="00E32DE0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32DE0">
              <w:rPr>
                <w:sz w:val="20"/>
                <w:szCs w:val="20"/>
              </w:rPr>
              <w:t>specyficzny</w:t>
            </w:r>
          </w:p>
        </w:tc>
        <w:tc>
          <w:tcPr>
            <w:tcW w:w="1164" w:type="dxa"/>
            <w:vAlign w:val="center"/>
          </w:tcPr>
          <w:p w:rsidR="00724FAB" w:rsidRPr="00E32DE0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32DE0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724FAB" w:rsidRPr="00E32DE0" w:rsidRDefault="00724FAB" w:rsidP="00724FAB">
            <w:pPr>
              <w:shd w:val="clear" w:color="auto" w:fill="FFFFFF"/>
              <w:spacing w:before="60"/>
              <w:jc w:val="both"/>
              <w:rPr>
                <w:sz w:val="20"/>
                <w:szCs w:val="20"/>
              </w:rPr>
            </w:pPr>
            <w:r w:rsidRPr="00E32DE0">
              <w:rPr>
                <w:sz w:val="20"/>
                <w:szCs w:val="20"/>
              </w:rPr>
              <w:t xml:space="preserve">Wskaźnik obrazuje w jakim stopniu (%) projekt dotyczy części rewitalizacyjnej projektu. Jeżeli projekt w całości wynika </w:t>
            </w:r>
            <w:r w:rsidRPr="00E32DE0">
              <w:rPr>
                <w:sz w:val="20"/>
                <w:szCs w:val="20"/>
              </w:rPr>
              <w:br/>
              <w:t>z programu rewitalizacji lub ma zasięg horyzontalny, ale w całości sprofilowany jest na obszary objęte rewitalizacją to wartość wskaźnika będzie wynosiła 100%.</w:t>
            </w:r>
          </w:p>
          <w:p w:rsidR="00724FAB" w:rsidRPr="00E32DE0" w:rsidRDefault="00724FAB" w:rsidP="00724FAB">
            <w:pPr>
              <w:shd w:val="clear" w:color="auto" w:fill="FFFFFF"/>
              <w:spacing w:before="60"/>
              <w:jc w:val="both"/>
              <w:rPr>
                <w:sz w:val="20"/>
                <w:szCs w:val="20"/>
              </w:rPr>
            </w:pPr>
            <w:r w:rsidRPr="00E32DE0">
              <w:rPr>
                <w:sz w:val="20"/>
                <w:szCs w:val="20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:rsidR="00724FAB" w:rsidRPr="00E32DE0" w:rsidRDefault="00724FAB" w:rsidP="00724FAB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sz w:val="20"/>
                <w:szCs w:val="20"/>
              </w:rPr>
            </w:pPr>
            <w:r w:rsidRPr="00E32DE0">
              <w:rPr>
                <w:sz w:val="20"/>
                <w:szCs w:val="20"/>
              </w:rPr>
              <w:t xml:space="preserve">Definicja programu rewitalizacji zgodnie z </w:t>
            </w:r>
            <w:r w:rsidRPr="00E32DE0">
              <w:rPr>
                <w:i/>
                <w:sz w:val="20"/>
                <w:szCs w:val="20"/>
              </w:rPr>
              <w:t>Wytycznymi w zakresie rewitalizacji w programach operacyjnych na lata 2014-2020</w:t>
            </w:r>
            <w:r w:rsidRPr="00E32DE0">
              <w:rPr>
                <w:sz w:val="20"/>
                <w:szCs w:val="20"/>
              </w:rPr>
              <w:t>.</w:t>
            </w:r>
          </w:p>
        </w:tc>
      </w:tr>
      <w:tr w:rsidR="00724FAB" w:rsidRPr="004A2391" w:rsidTr="00DE04C3">
        <w:trPr>
          <w:trHeight w:val="685"/>
        </w:trPr>
        <w:tc>
          <w:tcPr>
            <w:tcW w:w="530" w:type="dxa"/>
            <w:vAlign w:val="center"/>
          </w:tcPr>
          <w:p w:rsidR="00724FAB" w:rsidRPr="00E32DE0" w:rsidRDefault="00724FAB" w:rsidP="00724FAB">
            <w:pPr>
              <w:spacing w:before="80" w:after="80"/>
              <w:jc w:val="center"/>
              <w:rPr>
                <w:sz w:val="20"/>
              </w:rPr>
            </w:pPr>
            <w:r w:rsidRPr="00E32DE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E32DE0">
              <w:rPr>
                <w:sz w:val="20"/>
              </w:rPr>
              <w:t>.</w:t>
            </w:r>
          </w:p>
        </w:tc>
        <w:tc>
          <w:tcPr>
            <w:tcW w:w="3283" w:type="dxa"/>
            <w:vAlign w:val="center"/>
          </w:tcPr>
          <w:p w:rsidR="00724FAB" w:rsidRPr="00367BF2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367BF2">
              <w:rPr>
                <w:rFonts w:eastAsia="Times New Roman" w:cs="Arial"/>
                <w:i/>
                <w:sz w:val="20"/>
              </w:rPr>
              <w:t>Zmniejszenie rocznego zużycia energii pierwotnej w budynkach publicznych</w:t>
            </w:r>
          </w:p>
        </w:tc>
        <w:tc>
          <w:tcPr>
            <w:tcW w:w="1134" w:type="dxa"/>
            <w:vAlign w:val="center"/>
          </w:tcPr>
          <w:p w:rsidR="00724FAB" w:rsidRPr="00367BF2" w:rsidRDefault="00724FAB" w:rsidP="00724FAB">
            <w:pPr>
              <w:jc w:val="center"/>
              <w:rPr>
                <w:rFonts w:cs="Arial"/>
                <w:sz w:val="20"/>
              </w:rPr>
            </w:pPr>
            <w:r w:rsidRPr="00367BF2">
              <w:rPr>
                <w:rFonts w:cs="Arial"/>
                <w:sz w:val="20"/>
              </w:rPr>
              <w:t>kWh/rok</w:t>
            </w:r>
          </w:p>
        </w:tc>
        <w:tc>
          <w:tcPr>
            <w:tcW w:w="1275" w:type="dxa"/>
            <w:vAlign w:val="center"/>
          </w:tcPr>
          <w:p w:rsidR="00724FAB" w:rsidRPr="00367BF2" w:rsidRDefault="00724FAB" w:rsidP="00724FAB">
            <w:pPr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782" w:type="dxa"/>
            <w:shd w:val="clear" w:color="auto" w:fill="auto"/>
            <w:vAlign w:val="center"/>
          </w:tcPr>
          <w:p w:rsidR="00724FAB" w:rsidRPr="00367BF2" w:rsidRDefault="00724FAB" w:rsidP="0072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14"/>
              <w:jc w:val="both"/>
              <w:rPr>
                <w:rFonts w:cs="Times New Roman"/>
                <w:sz w:val="20"/>
                <w:szCs w:val="20"/>
              </w:rPr>
            </w:pPr>
            <w:r w:rsidRPr="00367BF2">
              <w:rPr>
                <w:rFonts w:cs="Times New Roman"/>
                <w:sz w:val="20"/>
                <w:szCs w:val="20"/>
              </w:rPr>
              <w:t>Obliczenia są oparte na świadectwie energetycznym budynków (patrz Art.12.1.b Dyrektywy 2010/31/UE). Zgodnie z wytycznymi określonymi w dyrektywie, wskaźnik musi dotyczyć wszystkich budynków publicznych powyżej 500m</w:t>
            </w:r>
            <w:r w:rsidRPr="00367BF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367BF2">
              <w:rPr>
                <w:rFonts w:cs="Times New Roman"/>
                <w:sz w:val="20"/>
                <w:szCs w:val="20"/>
              </w:rPr>
              <w:t xml:space="preserve"> całkowitej powierzchni użytkowej, które zostały zrekonstruo</w:t>
            </w:r>
            <w:r>
              <w:rPr>
                <w:rFonts w:cs="Times New Roman"/>
                <w:sz w:val="20"/>
                <w:szCs w:val="20"/>
              </w:rPr>
              <w:t xml:space="preserve">wane z wykorzystaniem wsparcia </w:t>
            </w:r>
            <w:r w:rsidRPr="00367BF2">
              <w:rPr>
                <w:rFonts w:cs="Times New Roman"/>
                <w:sz w:val="20"/>
                <w:szCs w:val="20"/>
              </w:rPr>
              <w:t>z funduszy strukturalnych. Jeśli budowa rozpocznie się po 9 lipca 2015 r., to wartość progowa dla budynków publicznych spada do 250m</w:t>
            </w:r>
            <w:r w:rsidRPr="00367BF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367BF2">
              <w:rPr>
                <w:rFonts w:cs="Times New Roman"/>
                <w:sz w:val="20"/>
                <w:szCs w:val="20"/>
              </w:rPr>
              <w:t xml:space="preserve"> całkowitej powierzchni użytkowej. Instytucja Zarządzająca może włączyć do obliczeń budynki o powierzchni mniejszej niż 250m</w:t>
            </w:r>
            <w:r w:rsidRPr="00367BF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367BF2">
              <w:rPr>
                <w:rFonts w:cs="Times New Roman"/>
                <w:sz w:val="20"/>
                <w:szCs w:val="20"/>
              </w:rPr>
              <w:t xml:space="preserve"> (lub 500m</w:t>
            </w:r>
            <w:r w:rsidRPr="00367BF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367BF2">
              <w:rPr>
                <w:rFonts w:cs="Times New Roman"/>
                <w:sz w:val="20"/>
                <w:szCs w:val="20"/>
              </w:rPr>
              <w:t xml:space="preserve"> przed 9/7/2015).</w:t>
            </w:r>
          </w:p>
          <w:p w:rsidR="00724FAB" w:rsidRPr="00367BF2" w:rsidRDefault="00724FAB" w:rsidP="00724F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67BF2">
              <w:rPr>
                <w:rFonts w:cs="Times New Roman"/>
                <w:sz w:val="20"/>
                <w:szCs w:val="20"/>
              </w:rPr>
              <w:t xml:space="preserve">Wartość będzie obliczana ze świadectw energetycznych wydanych przed i po przebudowie. Wskaźnik pokaże całkowitą redukcję </w:t>
            </w:r>
            <w:r w:rsidRPr="00367BF2">
              <w:rPr>
                <w:rFonts w:cs="Times New Roman"/>
                <w:i/>
                <w:iCs/>
                <w:sz w:val="20"/>
                <w:szCs w:val="20"/>
              </w:rPr>
              <w:t xml:space="preserve">rocznego </w:t>
            </w:r>
            <w:r w:rsidRPr="00367BF2">
              <w:rPr>
                <w:rFonts w:cs="Times New Roman"/>
                <w:sz w:val="20"/>
                <w:szCs w:val="20"/>
              </w:rPr>
              <w:t xml:space="preserve"> zużycia, a nie </w:t>
            </w:r>
            <w:r w:rsidRPr="00367BF2">
              <w:rPr>
                <w:rFonts w:cs="Times New Roman"/>
                <w:i/>
                <w:iCs/>
                <w:sz w:val="20"/>
                <w:szCs w:val="20"/>
              </w:rPr>
              <w:t xml:space="preserve">sumę </w:t>
            </w:r>
            <w:r>
              <w:rPr>
                <w:rFonts w:cs="Times New Roman"/>
                <w:sz w:val="20"/>
                <w:szCs w:val="20"/>
              </w:rPr>
              <w:t xml:space="preserve">wielkości zaoszczędzonych </w:t>
            </w:r>
            <w:r w:rsidRPr="00367BF2">
              <w:rPr>
                <w:rFonts w:cs="Times New Roman"/>
                <w:sz w:val="20"/>
                <w:szCs w:val="20"/>
              </w:rPr>
              <w:t>(niezużytych).</w:t>
            </w:r>
          </w:p>
        </w:tc>
      </w:tr>
      <w:tr w:rsidR="00724FAB" w:rsidRPr="004A2391" w:rsidTr="00DE04C3">
        <w:trPr>
          <w:trHeight w:val="1469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A41F51">
              <w:rPr>
                <w:sz w:val="20"/>
              </w:rPr>
              <w:t>.</w:t>
            </w:r>
          </w:p>
        </w:tc>
        <w:tc>
          <w:tcPr>
            <w:tcW w:w="3283" w:type="dxa"/>
            <w:vAlign w:val="center"/>
          </w:tcPr>
          <w:p w:rsidR="00724FAB" w:rsidRPr="00367BF2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367BF2">
              <w:rPr>
                <w:rFonts w:eastAsia="Times New Roman" w:cs="Arial"/>
                <w:i/>
                <w:sz w:val="20"/>
              </w:rPr>
              <w:t>Szacowany roczny spadek emisji gazów cieplarnianych</w:t>
            </w:r>
          </w:p>
        </w:tc>
        <w:tc>
          <w:tcPr>
            <w:tcW w:w="1134" w:type="dxa"/>
            <w:vAlign w:val="center"/>
          </w:tcPr>
          <w:p w:rsidR="00724FAB" w:rsidRPr="00367BF2" w:rsidRDefault="00724FAB" w:rsidP="00724FAB">
            <w:pPr>
              <w:jc w:val="center"/>
              <w:rPr>
                <w:rFonts w:cs="Arial"/>
                <w:sz w:val="20"/>
              </w:rPr>
            </w:pPr>
            <w:r w:rsidRPr="00367BF2">
              <w:rPr>
                <w:rFonts w:eastAsia="Times New Roman" w:cs="Arial"/>
                <w:sz w:val="20"/>
              </w:rPr>
              <w:t>tony równoważ</w:t>
            </w:r>
            <w:r>
              <w:rPr>
                <w:rFonts w:eastAsia="Times New Roman" w:cs="Arial"/>
                <w:sz w:val="20"/>
              </w:rPr>
              <w:t>-</w:t>
            </w:r>
            <w:proofErr w:type="spellStart"/>
            <w:r w:rsidRPr="00367BF2">
              <w:rPr>
                <w:rFonts w:eastAsia="Times New Roman" w:cs="Arial"/>
                <w:sz w:val="20"/>
              </w:rPr>
              <w:t>nika</w:t>
            </w:r>
            <w:proofErr w:type="spellEnd"/>
            <w:r w:rsidRPr="00367BF2">
              <w:rPr>
                <w:rFonts w:eastAsia="Times New Roman" w:cs="Arial"/>
                <w:sz w:val="20"/>
              </w:rPr>
              <w:t xml:space="preserve"> CO</w:t>
            </w:r>
            <w:r w:rsidRPr="00031554">
              <w:rPr>
                <w:rFonts w:eastAsia="Times New Roman" w:cs="Arial"/>
                <w:sz w:val="20"/>
                <w:vertAlign w:val="subscript"/>
              </w:rPr>
              <w:t>2</w:t>
            </w:r>
          </w:p>
        </w:tc>
        <w:tc>
          <w:tcPr>
            <w:tcW w:w="1275" w:type="dxa"/>
            <w:vAlign w:val="center"/>
          </w:tcPr>
          <w:p w:rsidR="00724FAB" w:rsidRPr="00367BF2" w:rsidRDefault="00724FAB" w:rsidP="00724FAB">
            <w:pPr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782" w:type="dxa"/>
            <w:vAlign w:val="center"/>
          </w:tcPr>
          <w:p w:rsidR="00724FAB" w:rsidRPr="00367BF2" w:rsidRDefault="00724FAB" w:rsidP="00724F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Wskaźnik ten jest obliczany dla interwencji bezpośrednio zmierzających do zwiększenia produkcji energii ze źródeł odnawialnych lub zmierzających do zmniejszenia zużycia energii poprzez oszczędność energii, a tym samym jego stosowanie jest obowiązkowe tylko w przypadku gdy wskaźniki te są istotne. Zastosowania do innych interwencji z ewentualnym wpływem emisji ga</w:t>
            </w:r>
            <w:r>
              <w:rPr>
                <w:sz w:val="20"/>
                <w:szCs w:val="20"/>
              </w:rPr>
              <w:t xml:space="preserve">zów cieplarnianych są opcjonalne. </w:t>
            </w:r>
            <w:r w:rsidRPr="00367BF2">
              <w:rPr>
                <w:sz w:val="20"/>
                <w:szCs w:val="20"/>
              </w:rPr>
              <w:t>Wskaźnik pokaże łączny szacunkowy roczny spadek na koniec okresu, a nie całkowity spadek w całym okresie.</w:t>
            </w:r>
          </w:p>
          <w:p w:rsidR="00724FAB" w:rsidRPr="00367BF2" w:rsidRDefault="00724FAB" w:rsidP="00724F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 xml:space="preserve">W przypadku produkcji energii odnawialnej, prognoza opiera się na ilości energii pierwotnej produkowanej przez wspierane obiekty </w:t>
            </w:r>
            <w:r>
              <w:rPr>
                <w:sz w:val="20"/>
                <w:szCs w:val="20"/>
              </w:rPr>
              <w:br/>
            </w:r>
            <w:r w:rsidRPr="00367BF2">
              <w:rPr>
                <w:sz w:val="20"/>
                <w:szCs w:val="20"/>
              </w:rPr>
              <w:t>w danym roku (albo jeden rok po zakończeniu projektu lub w roku kalendarzowym, po zakończeniu projektu). Energia odnawialna ma być neutralna w kwest</w:t>
            </w:r>
            <w:r>
              <w:rPr>
                <w:sz w:val="20"/>
                <w:szCs w:val="20"/>
              </w:rPr>
              <w:t xml:space="preserve">ii emisji gazów cieplarnianych </w:t>
            </w:r>
            <w:r w:rsidRPr="00367BF2">
              <w:rPr>
                <w:sz w:val="20"/>
                <w:szCs w:val="20"/>
              </w:rPr>
              <w:t>i zastępować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  <w:p w:rsidR="00724FAB" w:rsidRPr="00367BF2" w:rsidRDefault="00724FAB" w:rsidP="00724F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W przypadku działań na rzecz oszczędności energii, prognoza opiera się na ilości energii pierwotnej zaoszczędzonej przez wspierane działania w danym roku (albo jeden rok po zakończeniu projektu lub w roku kalendarzowym, po zakończeniu projektu). Energia zaoszczędzona ma zastąpić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</w:tc>
      </w:tr>
      <w:tr w:rsidR="00724FAB" w:rsidRPr="004A2391" w:rsidTr="00DE04C3">
        <w:trPr>
          <w:trHeight w:val="1246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A41F51">
              <w:rPr>
                <w:sz w:val="20"/>
              </w:rPr>
              <w:t>.</w:t>
            </w:r>
          </w:p>
        </w:tc>
        <w:tc>
          <w:tcPr>
            <w:tcW w:w="3283" w:type="dxa"/>
            <w:vAlign w:val="center"/>
          </w:tcPr>
          <w:p w:rsidR="00724FAB" w:rsidRPr="00367BF2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367BF2">
              <w:rPr>
                <w:rFonts w:eastAsia="Times New Roman" w:cs="Arial"/>
                <w:i/>
                <w:sz w:val="20"/>
              </w:rPr>
              <w:t>Ilość zaoszczędzonej energii elektrycznej</w:t>
            </w:r>
          </w:p>
        </w:tc>
        <w:tc>
          <w:tcPr>
            <w:tcW w:w="1134" w:type="dxa"/>
            <w:vAlign w:val="center"/>
          </w:tcPr>
          <w:p w:rsidR="00724FAB" w:rsidRPr="00367BF2" w:rsidRDefault="00724FAB" w:rsidP="00724FAB">
            <w:pPr>
              <w:jc w:val="center"/>
              <w:rPr>
                <w:rFonts w:cs="Arial"/>
                <w:sz w:val="20"/>
              </w:rPr>
            </w:pPr>
            <w:r w:rsidRPr="00367BF2">
              <w:rPr>
                <w:rFonts w:cs="Arial"/>
                <w:sz w:val="20"/>
              </w:rPr>
              <w:t>MWh/</w:t>
            </w:r>
            <w:r w:rsidRPr="00367BF2">
              <w:rPr>
                <w:rFonts w:cs="Arial"/>
                <w:sz w:val="20"/>
              </w:rPr>
              <w:br/>
              <w:t>rok</w:t>
            </w:r>
          </w:p>
        </w:tc>
        <w:tc>
          <w:tcPr>
            <w:tcW w:w="1275" w:type="dxa"/>
            <w:vAlign w:val="center"/>
          </w:tcPr>
          <w:p w:rsidR="00724FAB" w:rsidRPr="00367BF2" w:rsidRDefault="00724FAB" w:rsidP="00724FAB">
            <w:pPr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Align w:val="center"/>
          </w:tcPr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0"/>
                <w:szCs w:val="16"/>
              </w:rPr>
            </w:pPr>
            <w:r w:rsidRPr="00367BF2">
              <w:rPr>
                <w:rFonts w:cs="Arial"/>
                <w:sz w:val="20"/>
                <w:szCs w:val="16"/>
              </w:rPr>
              <w:t xml:space="preserve">Ilość zaoszczędzonej w wyniku realizacji projektu energii elektrycznej w dystrybucji w ciągu pełnego roku po zakończeniu projektu </w:t>
            </w:r>
            <w:r>
              <w:rPr>
                <w:rFonts w:cs="Arial"/>
                <w:sz w:val="20"/>
                <w:szCs w:val="16"/>
              </w:rPr>
              <w:br/>
              <w:t xml:space="preserve">w </w:t>
            </w:r>
            <w:r w:rsidRPr="00367BF2">
              <w:rPr>
                <w:rFonts w:cs="Arial"/>
                <w:sz w:val="20"/>
                <w:szCs w:val="16"/>
              </w:rPr>
              <w:t xml:space="preserve">stosunku do roku bazowego. </w:t>
            </w:r>
          </w:p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0"/>
                <w:szCs w:val="16"/>
              </w:rPr>
            </w:pPr>
            <w:r w:rsidRPr="00367BF2">
              <w:rPr>
                <w:rFonts w:cs="Arial"/>
                <w:sz w:val="20"/>
                <w:szCs w:val="16"/>
              </w:rPr>
              <w:t>W przypadku przedsiębiorstw produkcyjnych: różnica między rocznym zużyciem energii elektrycznej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367BF2">
              <w:rPr>
                <w:rFonts w:cs="Arial"/>
                <w:sz w:val="20"/>
                <w:szCs w:val="16"/>
              </w:rPr>
              <w:t>w roku bazowym w stosunku do rocznego zużycia energii elektrycznej po zak</w:t>
            </w:r>
            <w:r>
              <w:rPr>
                <w:rFonts w:cs="Arial"/>
                <w:sz w:val="20"/>
                <w:szCs w:val="16"/>
              </w:rPr>
              <w:t xml:space="preserve">ończeniu projektu, skorygowana </w:t>
            </w:r>
            <w:r w:rsidRPr="00367BF2">
              <w:rPr>
                <w:rFonts w:cs="Arial"/>
                <w:sz w:val="20"/>
                <w:szCs w:val="16"/>
              </w:rPr>
              <w:t xml:space="preserve">w przypadku zmiany wielkości produkcji. </w:t>
            </w:r>
          </w:p>
          <w:p w:rsidR="00724FAB" w:rsidRPr="00367BF2" w:rsidRDefault="00724FAB" w:rsidP="00724F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67BF2">
              <w:rPr>
                <w:rFonts w:cs="Arial"/>
                <w:sz w:val="20"/>
                <w:szCs w:val="16"/>
              </w:rPr>
              <w:t>W przypadku modernizacji energetycznej budynków: różnica między rocznym zużyciem energii elektrycznej w roku bazowym w stosunku do rocznego zużycia energii elektrycznej po zakończeniu projektu.</w:t>
            </w:r>
          </w:p>
        </w:tc>
      </w:tr>
      <w:tr w:rsidR="00724FAB" w:rsidRPr="004A2391" w:rsidTr="00DE04C3">
        <w:trPr>
          <w:trHeight w:val="3076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A41F51">
              <w:rPr>
                <w:sz w:val="20"/>
              </w:rPr>
              <w:t>.</w:t>
            </w:r>
          </w:p>
        </w:tc>
        <w:tc>
          <w:tcPr>
            <w:tcW w:w="3283" w:type="dxa"/>
            <w:vAlign w:val="center"/>
          </w:tcPr>
          <w:p w:rsidR="00724FAB" w:rsidRPr="00367BF2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367BF2">
              <w:rPr>
                <w:rFonts w:eastAsia="Times New Roman" w:cs="Arial"/>
                <w:i/>
                <w:sz w:val="20"/>
              </w:rPr>
              <w:t>Ilość zaoszczędzonej energii cieplnej</w:t>
            </w:r>
          </w:p>
        </w:tc>
        <w:tc>
          <w:tcPr>
            <w:tcW w:w="1134" w:type="dxa"/>
            <w:vAlign w:val="center"/>
          </w:tcPr>
          <w:p w:rsidR="00724FAB" w:rsidRPr="00367BF2" w:rsidRDefault="00724FAB" w:rsidP="00724FAB">
            <w:pPr>
              <w:jc w:val="center"/>
              <w:rPr>
                <w:rFonts w:cs="Arial"/>
                <w:sz w:val="20"/>
              </w:rPr>
            </w:pPr>
            <w:r w:rsidRPr="00367BF2">
              <w:rPr>
                <w:rFonts w:cs="Arial"/>
                <w:sz w:val="20"/>
              </w:rPr>
              <w:t>GJ/rok</w:t>
            </w:r>
          </w:p>
        </w:tc>
        <w:tc>
          <w:tcPr>
            <w:tcW w:w="1275" w:type="dxa"/>
            <w:vAlign w:val="center"/>
          </w:tcPr>
          <w:p w:rsidR="00724FAB" w:rsidRPr="00367BF2" w:rsidRDefault="00724FAB" w:rsidP="00724FAB">
            <w:pPr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367BF2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67BF2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vAlign w:val="center"/>
          </w:tcPr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0"/>
                <w:szCs w:val="16"/>
              </w:rPr>
            </w:pPr>
            <w:r w:rsidRPr="00367BF2">
              <w:rPr>
                <w:rFonts w:cs="Arial"/>
                <w:sz w:val="20"/>
                <w:szCs w:val="16"/>
              </w:rPr>
              <w:t xml:space="preserve">Ilość zaoszczędzonej w wyniku realizacji projektu energii cieplnej </w:t>
            </w:r>
            <w:r>
              <w:rPr>
                <w:rFonts w:cs="Arial"/>
                <w:sz w:val="20"/>
                <w:szCs w:val="16"/>
              </w:rPr>
              <w:br/>
            </w:r>
            <w:r w:rsidRPr="00367BF2">
              <w:rPr>
                <w:rFonts w:cs="Arial"/>
                <w:sz w:val="20"/>
                <w:szCs w:val="16"/>
              </w:rPr>
              <w:t>w dystrybucji w ciągu pełnego roku po zakończeniu projektu.</w:t>
            </w:r>
          </w:p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0"/>
                <w:szCs w:val="16"/>
              </w:rPr>
            </w:pPr>
            <w:r w:rsidRPr="00367BF2">
              <w:rPr>
                <w:rFonts w:cs="Arial"/>
                <w:sz w:val="20"/>
                <w:szCs w:val="16"/>
              </w:rPr>
              <w:t>W przypadku przedsiębiorstw produkcyjnych: różnica między roc</w:t>
            </w:r>
            <w:r>
              <w:rPr>
                <w:rFonts w:cs="Arial"/>
                <w:sz w:val="20"/>
                <w:szCs w:val="16"/>
              </w:rPr>
              <w:t xml:space="preserve">znym zużyciem energii cieplnej </w:t>
            </w:r>
            <w:r w:rsidRPr="00367BF2">
              <w:rPr>
                <w:rFonts w:cs="Arial"/>
                <w:sz w:val="20"/>
                <w:szCs w:val="16"/>
              </w:rPr>
              <w:t>w roku bazowym w stosunku do rocznego zużycia energii cieplnej po zak</w:t>
            </w:r>
            <w:r>
              <w:rPr>
                <w:rFonts w:cs="Arial"/>
                <w:sz w:val="20"/>
                <w:szCs w:val="16"/>
              </w:rPr>
              <w:t xml:space="preserve">ończeniu projektu, skorygowana </w:t>
            </w:r>
            <w:r w:rsidRPr="00367BF2">
              <w:rPr>
                <w:rFonts w:cs="Arial"/>
                <w:sz w:val="20"/>
                <w:szCs w:val="16"/>
              </w:rPr>
              <w:t xml:space="preserve">w przypadku zmiany wielkości produkcji. </w:t>
            </w:r>
          </w:p>
          <w:p w:rsidR="00724FAB" w:rsidRPr="00367BF2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0"/>
                <w:szCs w:val="16"/>
              </w:rPr>
            </w:pPr>
            <w:r w:rsidRPr="00367BF2">
              <w:rPr>
                <w:rFonts w:cs="Arial"/>
                <w:sz w:val="20"/>
                <w:szCs w:val="16"/>
              </w:rPr>
              <w:t>W przypadku modernizacji energetycznej budynków: różnica między rocznym zużyciem energii cieplnej  w roku bazowym w stosunku do rocznego zużycia energii cieplnej po zakończeniu projektu.</w:t>
            </w:r>
          </w:p>
          <w:p w:rsidR="00724FAB" w:rsidRPr="00367BF2" w:rsidRDefault="00724FAB" w:rsidP="00724F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67BF2">
              <w:rPr>
                <w:rFonts w:cs="Arial"/>
                <w:sz w:val="20"/>
                <w:szCs w:val="16"/>
              </w:rPr>
              <w:t>Energia cieplna – energia w wodzie gorącej, parze l</w:t>
            </w:r>
            <w:r>
              <w:rPr>
                <w:rFonts w:cs="Arial"/>
                <w:sz w:val="20"/>
                <w:szCs w:val="16"/>
              </w:rPr>
              <w:t xml:space="preserve">ub </w:t>
            </w:r>
            <w:r w:rsidRPr="00367BF2">
              <w:rPr>
                <w:rFonts w:cs="Arial"/>
                <w:sz w:val="20"/>
                <w:szCs w:val="16"/>
              </w:rPr>
              <w:t>w innych nośnikach.</w:t>
            </w:r>
          </w:p>
        </w:tc>
      </w:tr>
      <w:tr w:rsidR="00724FAB" w:rsidRPr="004A2391" w:rsidTr="00942B70">
        <w:trPr>
          <w:trHeight w:val="2037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60" w:after="60"/>
              <w:jc w:val="center"/>
              <w:rPr>
                <w:sz w:val="20"/>
              </w:rPr>
            </w:pPr>
            <w:r w:rsidRPr="00A41F51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A41F51">
              <w:rPr>
                <w:sz w:val="20"/>
              </w:rPr>
              <w:t>.</w:t>
            </w:r>
          </w:p>
        </w:tc>
        <w:tc>
          <w:tcPr>
            <w:tcW w:w="3283" w:type="dxa"/>
            <w:vAlign w:val="center"/>
          </w:tcPr>
          <w:p w:rsidR="00724FAB" w:rsidRPr="002174D7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2174D7">
              <w:rPr>
                <w:rFonts w:eastAsia="Times New Roman" w:cs="Arial"/>
                <w:i/>
                <w:sz w:val="20"/>
              </w:rPr>
              <w:t xml:space="preserve">Zmniejszenie zużycia energii końcowej w wyniku realizacji projektów </w:t>
            </w:r>
          </w:p>
        </w:tc>
        <w:tc>
          <w:tcPr>
            <w:tcW w:w="1134" w:type="dxa"/>
            <w:vAlign w:val="center"/>
          </w:tcPr>
          <w:p w:rsidR="00724FAB" w:rsidRPr="002174D7" w:rsidRDefault="00724FAB" w:rsidP="00724FAB">
            <w:pPr>
              <w:jc w:val="center"/>
              <w:rPr>
                <w:rFonts w:cs="Arial"/>
                <w:sz w:val="20"/>
              </w:rPr>
            </w:pPr>
            <w:r w:rsidRPr="002174D7">
              <w:rPr>
                <w:rFonts w:cs="Arial"/>
                <w:sz w:val="20"/>
              </w:rPr>
              <w:t>GJ/rok</w:t>
            </w:r>
          </w:p>
        </w:tc>
        <w:tc>
          <w:tcPr>
            <w:tcW w:w="1275" w:type="dxa"/>
            <w:vAlign w:val="center"/>
          </w:tcPr>
          <w:p w:rsidR="00724FAB" w:rsidRPr="002174D7" w:rsidRDefault="00724FAB" w:rsidP="00724FAB">
            <w:pPr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724FAB" w:rsidRPr="002174D7" w:rsidRDefault="00724FAB" w:rsidP="00724FAB">
            <w:pPr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 xml:space="preserve">Przez bezpośrednie (końcowe) zużycie energii, wyrażone w GJ/rok, </w:t>
            </w:r>
            <w:r>
              <w:rPr>
                <w:sz w:val="20"/>
                <w:szCs w:val="20"/>
              </w:rPr>
              <w:br/>
            </w:r>
            <w:r w:rsidRPr="002174D7">
              <w:rPr>
                <w:sz w:val="20"/>
                <w:szCs w:val="20"/>
              </w:rPr>
              <w:t>w procesie technologicznym (w tym wytwarzania ciepła na cele bytowe) należy rozumieć:</w:t>
            </w:r>
          </w:p>
          <w:p w:rsidR="00724FAB" w:rsidRPr="002174D7" w:rsidRDefault="00724FAB" w:rsidP="00724FAB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jc w:val="both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zużycie poszczególnych nośników energii nie podlegających dalszemu przetwarzaniu na inne nośniki energii,</w:t>
            </w:r>
          </w:p>
          <w:p w:rsidR="00724FAB" w:rsidRPr="002174D7" w:rsidRDefault="00724FAB" w:rsidP="00724FAB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jc w:val="both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zużycie energii doprowadzonej do procesu technologicznego za pośrednictwem tzw. mediów (np. wody przemysłowej, sprężonego powietrza, tlenu, azotu).</w:t>
            </w:r>
          </w:p>
        </w:tc>
      </w:tr>
      <w:tr w:rsidR="00724FAB" w:rsidRPr="004A2391" w:rsidTr="00942B70">
        <w:trPr>
          <w:trHeight w:val="946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283" w:type="dxa"/>
            <w:vAlign w:val="center"/>
          </w:tcPr>
          <w:p w:rsidR="00724FAB" w:rsidRPr="002174D7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2174D7">
              <w:rPr>
                <w:rFonts w:eastAsia="Times New Roman" w:cs="Arial"/>
                <w:i/>
                <w:sz w:val="20"/>
              </w:rPr>
              <w:t>Produkcja energii elektrycznej z nowo wybudowanych instalacji wykorzystujących OZE</w:t>
            </w:r>
          </w:p>
        </w:tc>
        <w:tc>
          <w:tcPr>
            <w:tcW w:w="1134" w:type="dxa"/>
            <w:vAlign w:val="center"/>
          </w:tcPr>
          <w:p w:rsidR="00724FAB" w:rsidRPr="002174D7" w:rsidRDefault="00724FAB" w:rsidP="00724FAB">
            <w:pPr>
              <w:jc w:val="center"/>
              <w:rPr>
                <w:rFonts w:cs="Arial"/>
                <w:sz w:val="20"/>
              </w:rPr>
            </w:pPr>
            <w:proofErr w:type="spellStart"/>
            <w:r w:rsidRPr="002174D7">
              <w:rPr>
                <w:rFonts w:cs="Arial"/>
                <w:sz w:val="20"/>
              </w:rPr>
              <w:t>MWhe</w:t>
            </w:r>
            <w:proofErr w:type="spellEnd"/>
            <w:r w:rsidRPr="002174D7">
              <w:rPr>
                <w:rFonts w:cs="Arial"/>
                <w:sz w:val="20"/>
              </w:rPr>
              <w:t>/rok</w:t>
            </w:r>
          </w:p>
        </w:tc>
        <w:tc>
          <w:tcPr>
            <w:tcW w:w="1275" w:type="dxa"/>
            <w:vAlign w:val="center"/>
          </w:tcPr>
          <w:p w:rsidR="00724FAB" w:rsidRPr="002174D7" w:rsidRDefault="00724FAB" w:rsidP="00724FAB">
            <w:pPr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sz w:val="20"/>
                <w:szCs w:val="16"/>
              </w:rPr>
              <w:t>Wskaźnik mierzy roczną wielkość produkcji energii elektrycznej z nowo wybudowanych instalacji odnawialnego źródła energii.</w:t>
            </w:r>
          </w:p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i/>
                <w:iCs/>
                <w:sz w:val="20"/>
                <w:szCs w:val="16"/>
              </w:rPr>
              <w:t xml:space="preserve">Energia </w:t>
            </w:r>
            <w:r w:rsidRPr="0099640D">
              <w:rPr>
                <w:rFonts w:asciiTheme="minorHAnsi" w:hAnsiTheme="minorHAnsi"/>
                <w:sz w:val="20"/>
                <w:szCs w:val="16"/>
              </w:rPr>
              <w:t xml:space="preserve">– energia przetworzona w dowolnej postaci (art. 3 pkt 1 ustawy z dnia 10 kwietnia 1997 r. Prawo energetyczne). </w:t>
            </w:r>
          </w:p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i/>
                <w:iCs/>
                <w:sz w:val="20"/>
                <w:szCs w:val="16"/>
              </w:rPr>
              <w:t xml:space="preserve">Instalacja odnawialnego źródła energii </w:t>
            </w:r>
            <w:r w:rsidRPr="0099640D">
              <w:rPr>
                <w:rFonts w:asciiTheme="minorHAnsi" w:hAnsiTheme="minorHAnsi"/>
                <w:sz w:val="20"/>
                <w:szCs w:val="16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i/>
                <w:iCs/>
                <w:sz w:val="20"/>
                <w:szCs w:val="16"/>
              </w:rPr>
              <w:t xml:space="preserve">Odnawialne źródło energii </w:t>
            </w:r>
            <w:r w:rsidRPr="0099640D">
              <w:rPr>
                <w:rFonts w:asciiTheme="minorHAnsi" w:hAnsiTheme="minorHAnsi"/>
                <w:sz w:val="20"/>
                <w:szCs w:val="16"/>
              </w:rPr>
              <w:t xml:space="preserve">– odnawialne, niekopalne źródła energii obejmujące energię wiatru, energię promieniowania słonecznego, energię </w:t>
            </w:r>
            <w:proofErr w:type="spellStart"/>
            <w:r w:rsidRPr="0099640D">
              <w:rPr>
                <w:rFonts w:asciiTheme="minorHAnsi" w:hAnsiTheme="minorHAnsi"/>
                <w:sz w:val="20"/>
                <w:szCs w:val="16"/>
              </w:rPr>
              <w:t>aerotermalną</w:t>
            </w:r>
            <w:proofErr w:type="spellEnd"/>
            <w:r w:rsidRPr="0099640D">
              <w:rPr>
                <w:rFonts w:asciiTheme="minorHAnsi" w:hAnsiTheme="minorHAnsi"/>
                <w:sz w:val="20"/>
                <w:szCs w:val="16"/>
              </w:rPr>
              <w:t xml:space="preserve">, energię geotermalną, energię hydrotermalną, hydroenergię, energię fal, prądów i pływów morskich, energię otrzymywaną z biomasy, biogazu, biogazu rolniczego oraz z </w:t>
            </w:r>
            <w:proofErr w:type="spellStart"/>
            <w:r w:rsidRPr="0099640D">
              <w:rPr>
                <w:rFonts w:asciiTheme="minorHAnsi" w:hAnsiTheme="minorHAnsi"/>
                <w:sz w:val="20"/>
                <w:szCs w:val="16"/>
              </w:rPr>
              <w:t>biopłynów</w:t>
            </w:r>
            <w:proofErr w:type="spellEnd"/>
            <w:r w:rsidRPr="0099640D">
              <w:rPr>
                <w:rFonts w:asciiTheme="minorHAnsi" w:hAnsiTheme="minorHAnsi"/>
                <w:sz w:val="20"/>
                <w:szCs w:val="16"/>
              </w:rPr>
              <w:t xml:space="preserve"> (art. 2 pkt 22 ustawy z dnia 20 lutego 2015 r. o odnawialnych źródłach energii). </w:t>
            </w:r>
          </w:p>
          <w:p w:rsidR="00724FAB" w:rsidRDefault="00724FAB" w:rsidP="00724FAB">
            <w:pPr>
              <w:jc w:val="both"/>
              <w:rPr>
                <w:i/>
                <w:color w:val="C00000"/>
                <w:sz w:val="20"/>
                <w:szCs w:val="20"/>
              </w:rPr>
            </w:pPr>
            <w:r w:rsidRPr="0099640D">
              <w:rPr>
                <w:i/>
                <w:iCs/>
                <w:sz w:val="20"/>
                <w:szCs w:val="16"/>
              </w:rPr>
              <w:t xml:space="preserve">Wytwarzanie </w:t>
            </w:r>
            <w:r w:rsidRPr="0099640D">
              <w:rPr>
                <w:sz w:val="20"/>
                <w:szCs w:val="16"/>
              </w:rPr>
              <w:t>– produkcja paliw lub energii w procesie energetycznym (art. 3 pkt 45 ustawy z dnia 10 kwietnia 1997 r. Prawo energetyczne).</w:t>
            </w:r>
          </w:p>
          <w:p w:rsidR="00724FAB" w:rsidRPr="0076032A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color w:val="C00000"/>
                <w:sz w:val="20"/>
                <w:szCs w:val="20"/>
              </w:rPr>
            </w:pPr>
            <w:r w:rsidRPr="00C116C0">
              <w:rPr>
                <w:i/>
                <w:color w:val="000000" w:themeColor="text1"/>
                <w:sz w:val="20"/>
                <w:szCs w:val="20"/>
              </w:rPr>
              <w:t>[Definicja opracowana przez IZ RPO WO 2014-2020]</w:t>
            </w:r>
          </w:p>
        </w:tc>
      </w:tr>
      <w:tr w:rsidR="00724FAB" w:rsidRPr="004A2391" w:rsidTr="00942B70">
        <w:trPr>
          <w:trHeight w:val="974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283" w:type="dxa"/>
            <w:vAlign w:val="center"/>
          </w:tcPr>
          <w:p w:rsidR="00724FAB" w:rsidRPr="002174D7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2174D7">
              <w:rPr>
                <w:rFonts w:eastAsia="Times New Roman" w:cs="Arial"/>
                <w:i/>
                <w:sz w:val="20"/>
              </w:rPr>
              <w:t>Produkcja energii elektrycznej z nowych mocy wytwórczych instalacji wykorzystujących OZE</w:t>
            </w:r>
          </w:p>
        </w:tc>
        <w:tc>
          <w:tcPr>
            <w:tcW w:w="1134" w:type="dxa"/>
            <w:vAlign w:val="center"/>
          </w:tcPr>
          <w:p w:rsidR="00724FAB" w:rsidRPr="002174D7" w:rsidRDefault="00724FAB" w:rsidP="00724FAB">
            <w:pPr>
              <w:jc w:val="center"/>
              <w:rPr>
                <w:rFonts w:cs="Arial"/>
                <w:sz w:val="20"/>
              </w:rPr>
            </w:pPr>
            <w:proofErr w:type="spellStart"/>
            <w:r w:rsidRPr="002174D7">
              <w:rPr>
                <w:rFonts w:cs="Arial"/>
                <w:sz w:val="20"/>
              </w:rPr>
              <w:t>MWhe</w:t>
            </w:r>
            <w:proofErr w:type="spellEnd"/>
            <w:r w:rsidRPr="002174D7">
              <w:rPr>
                <w:rFonts w:cs="Arial"/>
                <w:sz w:val="20"/>
              </w:rPr>
              <w:t>/rok</w:t>
            </w:r>
          </w:p>
        </w:tc>
        <w:tc>
          <w:tcPr>
            <w:tcW w:w="1275" w:type="dxa"/>
            <w:vAlign w:val="center"/>
          </w:tcPr>
          <w:p w:rsidR="00724FAB" w:rsidRPr="002174D7" w:rsidRDefault="00724FAB" w:rsidP="00724FAB">
            <w:pPr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724FAB" w:rsidRPr="00C116C0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000000" w:themeColor="text1"/>
                <w:sz w:val="20"/>
                <w:szCs w:val="16"/>
              </w:rPr>
            </w:pPr>
            <w:r w:rsidRPr="00C116C0">
              <w:rPr>
                <w:rFonts w:asciiTheme="minorHAnsi" w:hAnsiTheme="minorHAnsi"/>
                <w:color w:val="000000" w:themeColor="text1"/>
                <w:sz w:val="20"/>
                <w:szCs w:val="16"/>
              </w:rPr>
              <w:t xml:space="preserve">Wskaźnik mierzy roczną wielkość produkcji energii elektrycznej z nowych mocy wytwórczych (istniejących instalacji) wykorzystujących odnawialne źródła energii. </w:t>
            </w:r>
          </w:p>
          <w:p w:rsidR="00724FAB" w:rsidRPr="00C116C0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000000" w:themeColor="text1"/>
                <w:sz w:val="20"/>
                <w:szCs w:val="16"/>
              </w:rPr>
            </w:pPr>
            <w:r w:rsidRPr="00C116C0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16"/>
              </w:rPr>
              <w:t xml:space="preserve">Energia </w:t>
            </w:r>
            <w:r w:rsidRPr="00C116C0">
              <w:rPr>
                <w:rFonts w:asciiTheme="minorHAnsi" w:hAnsiTheme="minorHAnsi"/>
                <w:color w:val="000000" w:themeColor="text1"/>
                <w:sz w:val="20"/>
                <w:szCs w:val="16"/>
              </w:rPr>
              <w:t xml:space="preserve">– energia przetworzona w dowolnej postaci (art. 3 pkt 1 ustawy z dnia 10 kwietnia 1997 r. Prawo energetyczne). </w:t>
            </w:r>
          </w:p>
          <w:p w:rsidR="00724FAB" w:rsidRPr="00C116C0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000000" w:themeColor="text1"/>
                <w:sz w:val="20"/>
                <w:szCs w:val="16"/>
              </w:rPr>
            </w:pPr>
            <w:r w:rsidRPr="00C116C0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16"/>
              </w:rPr>
              <w:t xml:space="preserve">Instalacja odnawialnego źródła energii </w:t>
            </w:r>
            <w:r w:rsidRPr="00C116C0">
              <w:rPr>
                <w:rFonts w:asciiTheme="minorHAnsi" w:hAnsiTheme="minorHAnsi"/>
                <w:color w:val="000000" w:themeColor="text1"/>
                <w:sz w:val="20"/>
                <w:szCs w:val="16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724FAB" w:rsidRPr="00C116C0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000000" w:themeColor="text1"/>
                <w:sz w:val="20"/>
                <w:szCs w:val="16"/>
              </w:rPr>
            </w:pPr>
            <w:r w:rsidRPr="00C116C0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16"/>
              </w:rPr>
              <w:t xml:space="preserve">Odnawialne źródło energii </w:t>
            </w:r>
            <w:r w:rsidRPr="00C116C0">
              <w:rPr>
                <w:rFonts w:asciiTheme="minorHAnsi" w:hAnsiTheme="minorHAnsi"/>
                <w:color w:val="000000" w:themeColor="text1"/>
                <w:sz w:val="20"/>
                <w:szCs w:val="16"/>
              </w:rPr>
              <w:t xml:space="preserve">– odnawialne, niekopalne źródła energii obejmujące energię wiatru, energię promieniowania słonecznego, energię </w:t>
            </w:r>
            <w:proofErr w:type="spellStart"/>
            <w:r w:rsidRPr="00C116C0">
              <w:rPr>
                <w:rFonts w:asciiTheme="minorHAnsi" w:hAnsiTheme="minorHAnsi"/>
                <w:color w:val="000000" w:themeColor="text1"/>
                <w:sz w:val="20"/>
                <w:szCs w:val="16"/>
              </w:rPr>
              <w:t>aerotermalną</w:t>
            </w:r>
            <w:proofErr w:type="spellEnd"/>
            <w:r w:rsidRPr="00C116C0">
              <w:rPr>
                <w:rFonts w:asciiTheme="minorHAnsi" w:hAnsiTheme="minorHAnsi"/>
                <w:color w:val="000000" w:themeColor="text1"/>
                <w:sz w:val="20"/>
                <w:szCs w:val="16"/>
              </w:rPr>
              <w:t xml:space="preserve">, energię geotermalną, energię hydrotermalną, hydroenergię, energię fal, prądów i pływów morskich, energię otrzymywaną z biomasy, biogazu, biogazu rolniczego oraz z </w:t>
            </w:r>
            <w:proofErr w:type="spellStart"/>
            <w:r w:rsidRPr="00C116C0">
              <w:rPr>
                <w:rFonts w:asciiTheme="minorHAnsi" w:hAnsiTheme="minorHAnsi"/>
                <w:color w:val="000000" w:themeColor="text1"/>
                <w:sz w:val="20"/>
                <w:szCs w:val="16"/>
              </w:rPr>
              <w:t>biopłynów</w:t>
            </w:r>
            <w:proofErr w:type="spellEnd"/>
            <w:r w:rsidRPr="00C116C0">
              <w:rPr>
                <w:rFonts w:asciiTheme="minorHAnsi" w:hAnsiTheme="minorHAnsi"/>
                <w:color w:val="000000" w:themeColor="text1"/>
                <w:sz w:val="20"/>
                <w:szCs w:val="16"/>
              </w:rPr>
              <w:t xml:space="preserve"> (art. 2 pkt 22 ustawy z dnia 20 lutego 2015 r. o odnawialnych źródłach energii). </w:t>
            </w:r>
          </w:p>
          <w:p w:rsidR="00724FAB" w:rsidRPr="00C116C0" w:rsidRDefault="00724FAB" w:rsidP="00724FA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16C0">
              <w:rPr>
                <w:i/>
                <w:iCs/>
                <w:color w:val="000000" w:themeColor="text1"/>
                <w:sz w:val="20"/>
                <w:szCs w:val="16"/>
              </w:rPr>
              <w:t xml:space="preserve">Wytwarzanie </w:t>
            </w:r>
            <w:r w:rsidRPr="00C116C0">
              <w:rPr>
                <w:color w:val="000000" w:themeColor="text1"/>
                <w:sz w:val="20"/>
                <w:szCs w:val="16"/>
              </w:rPr>
              <w:t>– produkcja paliw lub energii w procesie energetycznym (art. 3 pkt 45 ustawy z dnia 10 kwietnia 1997 r. Prawo energetyczne).</w:t>
            </w:r>
          </w:p>
          <w:p w:rsidR="00724FAB" w:rsidRPr="00C116C0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16C0">
              <w:rPr>
                <w:i/>
                <w:color w:val="000000" w:themeColor="text1"/>
                <w:sz w:val="20"/>
                <w:szCs w:val="20"/>
              </w:rPr>
              <w:t>[Definicja opracowana przez IZ RPO WO 2014-2020]</w:t>
            </w:r>
          </w:p>
        </w:tc>
      </w:tr>
      <w:tr w:rsidR="00724FAB" w:rsidRPr="004A2391" w:rsidTr="00942B70">
        <w:trPr>
          <w:trHeight w:val="992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283" w:type="dxa"/>
            <w:vAlign w:val="center"/>
          </w:tcPr>
          <w:p w:rsidR="00724FAB" w:rsidRPr="002174D7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2174D7">
              <w:rPr>
                <w:rFonts w:eastAsia="Times New Roman" w:cs="Arial"/>
                <w:i/>
                <w:sz w:val="20"/>
              </w:rPr>
              <w:t>Produkcja energii cieplnej z nowo wybudowanych instalacji wykorzystujących OZE</w:t>
            </w:r>
          </w:p>
        </w:tc>
        <w:tc>
          <w:tcPr>
            <w:tcW w:w="1134" w:type="dxa"/>
            <w:vAlign w:val="center"/>
          </w:tcPr>
          <w:p w:rsidR="00724FAB" w:rsidRPr="002174D7" w:rsidRDefault="00724FAB" w:rsidP="00724FAB">
            <w:pPr>
              <w:jc w:val="center"/>
              <w:rPr>
                <w:rFonts w:cs="Arial"/>
                <w:sz w:val="20"/>
              </w:rPr>
            </w:pPr>
            <w:proofErr w:type="spellStart"/>
            <w:r w:rsidRPr="002174D7">
              <w:rPr>
                <w:rFonts w:cs="Arial"/>
                <w:sz w:val="20"/>
              </w:rPr>
              <w:t>MWh</w:t>
            </w:r>
            <w:r>
              <w:rPr>
                <w:rFonts w:cs="Arial"/>
                <w:sz w:val="20"/>
              </w:rPr>
              <w:t>t</w:t>
            </w:r>
            <w:proofErr w:type="spellEnd"/>
            <w:r w:rsidRPr="002174D7">
              <w:rPr>
                <w:rFonts w:cs="Arial"/>
                <w:sz w:val="20"/>
              </w:rPr>
              <w:t>/rok</w:t>
            </w:r>
          </w:p>
        </w:tc>
        <w:tc>
          <w:tcPr>
            <w:tcW w:w="1275" w:type="dxa"/>
            <w:vAlign w:val="center"/>
          </w:tcPr>
          <w:p w:rsidR="00724FAB" w:rsidRPr="002174D7" w:rsidRDefault="00724FAB" w:rsidP="00724FAB">
            <w:pPr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sz w:val="20"/>
                <w:szCs w:val="16"/>
              </w:rPr>
              <w:t xml:space="preserve">Wskaźnik mierzy roczną wielkość produkcji energii cieplnej z nowo wybudowanych instalacji odnawialnego źródła energii.  </w:t>
            </w:r>
          </w:p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i/>
                <w:iCs/>
                <w:sz w:val="20"/>
                <w:szCs w:val="16"/>
              </w:rPr>
              <w:t xml:space="preserve">Ciepło </w:t>
            </w:r>
            <w:r w:rsidRPr="0099640D">
              <w:rPr>
                <w:rFonts w:asciiTheme="minorHAnsi" w:hAnsiTheme="minorHAnsi"/>
                <w:sz w:val="20"/>
                <w:szCs w:val="16"/>
              </w:rPr>
              <w:t xml:space="preserve">– energia cieplna w wodzie gorącej, parze lub w innych nośnikach (art. 3 pkt 2 ustawy z dnia 10 kwietnia 1997 r. Prawo energetyczne). </w:t>
            </w:r>
          </w:p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i/>
                <w:iCs/>
                <w:sz w:val="20"/>
                <w:szCs w:val="16"/>
              </w:rPr>
              <w:t xml:space="preserve">Instalacja odnawialnego źródła energii </w:t>
            </w:r>
            <w:r w:rsidRPr="0099640D">
              <w:rPr>
                <w:rFonts w:asciiTheme="minorHAnsi" w:hAnsiTheme="minorHAnsi"/>
                <w:sz w:val="20"/>
                <w:szCs w:val="16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i/>
                <w:iCs/>
                <w:sz w:val="20"/>
                <w:szCs w:val="16"/>
              </w:rPr>
              <w:t xml:space="preserve">Odnawialne źródło energii </w:t>
            </w:r>
            <w:r w:rsidRPr="0099640D">
              <w:rPr>
                <w:rFonts w:asciiTheme="minorHAnsi" w:hAnsiTheme="minorHAnsi"/>
                <w:sz w:val="20"/>
                <w:szCs w:val="16"/>
              </w:rPr>
              <w:t xml:space="preserve">– odnawialne, niekopalne źródła energii obejmujące energię wiatru, energię promieniowania słonecznego, energię </w:t>
            </w:r>
            <w:proofErr w:type="spellStart"/>
            <w:r w:rsidRPr="0099640D">
              <w:rPr>
                <w:rFonts w:asciiTheme="minorHAnsi" w:hAnsiTheme="minorHAnsi"/>
                <w:sz w:val="20"/>
                <w:szCs w:val="16"/>
              </w:rPr>
              <w:t>aerotermalną</w:t>
            </w:r>
            <w:proofErr w:type="spellEnd"/>
            <w:r w:rsidRPr="0099640D">
              <w:rPr>
                <w:rFonts w:asciiTheme="minorHAnsi" w:hAnsiTheme="minorHAnsi"/>
                <w:sz w:val="20"/>
                <w:szCs w:val="16"/>
              </w:rPr>
              <w:t xml:space="preserve">, energię geotermalną, energię hydrotermalną, hydroenergię, energię fal, prądów i pływów morskich, energię otrzymywaną z biomasy, biogazu, biogazu rolniczego oraz z </w:t>
            </w:r>
            <w:proofErr w:type="spellStart"/>
            <w:r w:rsidRPr="0099640D">
              <w:rPr>
                <w:rFonts w:asciiTheme="minorHAnsi" w:hAnsiTheme="minorHAnsi"/>
                <w:sz w:val="20"/>
                <w:szCs w:val="16"/>
              </w:rPr>
              <w:t>biopłynów</w:t>
            </w:r>
            <w:proofErr w:type="spellEnd"/>
            <w:r w:rsidRPr="0099640D">
              <w:rPr>
                <w:rFonts w:asciiTheme="minorHAnsi" w:hAnsiTheme="minorHAnsi"/>
                <w:sz w:val="20"/>
                <w:szCs w:val="16"/>
              </w:rPr>
              <w:t xml:space="preserve"> (art. 2 pkt 22 ustawy z dnia 20 lutego 2015 r. o odnawialnych źródłach energii). </w:t>
            </w:r>
          </w:p>
          <w:p w:rsidR="00724FAB" w:rsidRPr="0099640D" w:rsidRDefault="00724FAB" w:rsidP="00724FAB">
            <w:pPr>
              <w:jc w:val="both"/>
              <w:rPr>
                <w:sz w:val="20"/>
                <w:szCs w:val="16"/>
              </w:rPr>
            </w:pPr>
            <w:r w:rsidRPr="0099640D">
              <w:rPr>
                <w:i/>
                <w:iCs/>
                <w:sz w:val="20"/>
                <w:szCs w:val="16"/>
              </w:rPr>
              <w:t xml:space="preserve">Wytwarzanie </w:t>
            </w:r>
            <w:r w:rsidRPr="0099640D">
              <w:rPr>
                <w:sz w:val="20"/>
                <w:szCs w:val="16"/>
              </w:rPr>
              <w:t>– produkcja paliw lub energii w procesie energetycznym (art. 3 pkt 45 ustawy z dnia 10 kwietnia 1997 r. Prawo energetyczne).</w:t>
            </w:r>
          </w:p>
          <w:p w:rsidR="00724FAB" w:rsidRPr="0076032A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color w:val="C00000"/>
                <w:sz w:val="20"/>
                <w:szCs w:val="20"/>
              </w:rPr>
            </w:pPr>
            <w:r w:rsidRPr="00C116C0">
              <w:rPr>
                <w:i/>
                <w:color w:val="000000" w:themeColor="text1"/>
                <w:sz w:val="20"/>
                <w:szCs w:val="20"/>
              </w:rPr>
              <w:t>[Definicja opracowana przez IZ RPO WO 2014-2020]</w:t>
            </w:r>
          </w:p>
        </w:tc>
      </w:tr>
      <w:tr w:rsidR="00724FAB" w:rsidRPr="004A2391" w:rsidTr="00942B70">
        <w:trPr>
          <w:trHeight w:val="978"/>
        </w:trPr>
        <w:tc>
          <w:tcPr>
            <w:tcW w:w="530" w:type="dxa"/>
            <w:vAlign w:val="center"/>
          </w:tcPr>
          <w:p w:rsidR="00724FAB" w:rsidRPr="00A41F51" w:rsidRDefault="00724FAB" w:rsidP="00724FA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283" w:type="dxa"/>
            <w:vAlign w:val="center"/>
          </w:tcPr>
          <w:p w:rsidR="00724FAB" w:rsidRPr="002174D7" w:rsidRDefault="00724FAB" w:rsidP="00724FAB">
            <w:pPr>
              <w:rPr>
                <w:rFonts w:eastAsia="Times New Roman" w:cs="Arial"/>
                <w:i/>
                <w:sz w:val="20"/>
              </w:rPr>
            </w:pPr>
            <w:r w:rsidRPr="002174D7">
              <w:rPr>
                <w:rFonts w:eastAsia="Times New Roman" w:cs="Arial"/>
                <w:i/>
                <w:sz w:val="20"/>
              </w:rPr>
              <w:t>Produkcja energii cieplnej z nowych mocy wytwórczych instalacji wykorzystujących OZE</w:t>
            </w:r>
          </w:p>
        </w:tc>
        <w:tc>
          <w:tcPr>
            <w:tcW w:w="1134" w:type="dxa"/>
            <w:vAlign w:val="center"/>
          </w:tcPr>
          <w:p w:rsidR="00724FAB" w:rsidRPr="002174D7" w:rsidRDefault="00724FAB" w:rsidP="00724FAB">
            <w:pPr>
              <w:jc w:val="center"/>
              <w:rPr>
                <w:rFonts w:cs="Arial"/>
                <w:sz w:val="20"/>
              </w:rPr>
            </w:pPr>
            <w:proofErr w:type="spellStart"/>
            <w:r w:rsidRPr="002174D7">
              <w:rPr>
                <w:rFonts w:cs="Arial"/>
                <w:sz w:val="20"/>
              </w:rPr>
              <w:t>MWh</w:t>
            </w:r>
            <w:r>
              <w:rPr>
                <w:rFonts w:cs="Arial"/>
                <w:sz w:val="20"/>
              </w:rPr>
              <w:t>t</w:t>
            </w:r>
            <w:proofErr w:type="spellEnd"/>
            <w:r w:rsidRPr="002174D7">
              <w:rPr>
                <w:rFonts w:cs="Arial"/>
                <w:sz w:val="20"/>
              </w:rPr>
              <w:t>/rok</w:t>
            </w:r>
          </w:p>
        </w:tc>
        <w:tc>
          <w:tcPr>
            <w:tcW w:w="1275" w:type="dxa"/>
            <w:vAlign w:val="center"/>
          </w:tcPr>
          <w:p w:rsidR="00724FAB" w:rsidRPr="002174D7" w:rsidRDefault="00724FAB" w:rsidP="00724FAB">
            <w:pPr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rezultat</w:t>
            </w:r>
          </w:p>
        </w:tc>
        <w:tc>
          <w:tcPr>
            <w:tcW w:w="1418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kluczowy</w:t>
            </w:r>
          </w:p>
        </w:tc>
        <w:tc>
          <w:tcPr>
            <w:tcW w:w="1164" w:type="dxa"/>
            <w:vAlign w:val="center"/>
          </w:tcPr>
          <w:p w:rsidR="00724FAB" w:rsidRPr="002174D7" w:rsidRDefault="00724FAB" w:rsidP="00724FA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174D7">
              <w:rPr>
                <w:sz w:val="20"/>
                <w:szCs w:val="20"/>
              </w:rPr>
              <w:t>-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sz w:val="20"/>
                <w:szCs w:val="16"/>
              </w:rPr>
              <w:t xml:space="preserve">Wskaźnik mierzy roczną wielkość produkcji energii cieplnej z nowych mocy wytwórczych (istniejących instalacji) wykorzystujących odnawialne źródła energii. </w:t>
            </w:r>
          </w:p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i/>
                <w:iCs/>
                <w:sz w:val="20"/>
                <w:szCs w:val="16"/>
              </w:rPr>
              <w:t xml:space="preserve">Ciepło </w:t>
            </w:r>
            <w:r w:rsidRPr="0099640D">
              <w:rPr>
                <w:rFonts w:asciiTheme="minorHAnsi" w:hAnsiTheme="minorHAnsi"/>
                <w:sz w:val="20"/>
                <w:szCs w:val="16"/>
              </w:rPr>
              <w:t xml:space="preserve">– energia cieplna w wodzie gorącej, parze lub w innych nośnikach (art. 3 pkt 2 ustawy z dnia 10 kwietnia 1997 r. Prawo energetyczne). </w:t>
            </w:r>
          </w:p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i/>
                <w:iCs/>
                <w:sz w:val="20"/>
                <w:szCs w:val="16"/>
              </w:rPr>
              <w:t xml:space="preserve">Instalacja odnawialnego źródła energii </w:t>
            </w:r>
            <w:r w:rsidRPr="0099640D">
              <w:rPr>
                <w:rFonts w:asciiTheme="minorHAnsi" w:hAnsiTheme="minorHAnsi"/>
                <w:sz w:val="20"/>
                <w:szCs w:val="16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724FAB" w:rsidRPr="0099640D" w:rsidRDefault="00724FAB" w:rsidP="00724FAB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99640D">
              <w:rPr>
                <w:rFonts w:asciiTheme="minorHAnsi" w:hAnsiTheme="minorHAnsi"/>
                <w:i/>
                <w:iCs/>
                <w:sz w:val="20"/>
                <w:szCs w:val="16"/>
              </w:rPr>
              <w:t xml:space="preserve">Odnawialne źródło energii </w:t>
            </w:r>
            <w:r w:rsidRPr="0099640D">
              <w:rPr>
                <w:rFonts w:asciiTheme="minorHAnsi" w:hAnsiTheme="minorHAnsi"/>
                <w:sz w:val="20"/>
                <w:szCs w:val="16"/>
              </w:rPr>
              <w:t xml:space="preserve">– odnawialne, niekopalne źródła energii obejmujące energię wiatru, energię promieniowania słonecznego, energię </w:t>
            </w:r>
            <w:proofErr w:type="spellStart"/>
            <w:r w:rsidRPr="0099640D">
              <w:rPr>
                <w:rFonts w:asciiTheme="minorHAnsi" w:hAnsiTheme="minorHAnsi"/>
                <w:sz w:val="20"/>
                <w:szCs w:val="16"/>
              </w:rPr>
              <w:t>aerotermalną</w:t>
            </w:r>
            <w:proofErr w:type="spellEnd"/>
            <w:r w:rsidRPr="0099640D">
              <w:rPr>
                <w:rFonts w:asciiTheme="minorHAnsi" w:hAnsiTheme="minorHAnsi"/>
                <w:sz w:val="20"/>
                <w:szCs w:val="16"/>
              </w:rPr>
              <w:t xml:space="preserve">, energię geotermalną, energię hydrotermalną, hydroenergię, energię fal, prądów i pływów morskich, energię otrzymywaną z biomasy, biogazu, biogazu rolniczego oraz z </w:t>
            </w:r>
            <w:proofErr w:type="spellStart"/>
            <w:r w:rsidRPr="0099640D">
              <w:rPr>
                <w:rFonts w:asciiTheme="minorHAnsi" w:hAnsiTheme="minorHAnsi"/>
                <w:sz w:val="20"/>
                <w:szCs w:val="16"/>
              </w:rPr>
              <w:t>biopłynów</w:t>
            </w:r>
            <w:proofErr w:type="spellEnd"/>
            <w:r w:rsidRPr="0099640D">
              <w:rPr>
                <w:rFonts w:asciiTheme="minorHAnsi" w:hAnsiTheme="minorHAnsi"/>
                <w:sz w:val="20"/>
                <w:szCs w:val="16"/>
              </w:rPr>
              <w:t xml:space="preserve"> (art. 2 pkt 22 ustawy z dnia 20 lutego 2015 r. o odnawialnych źródłach energii). </w:t>
            </w:r>
          </w:p>
          <w:p w:rsidR="00724FAB" w:rsidRDefault="00724FAB" w:rsidP="00724FAB">
            <w:pPr>
              <w:jc w:val="both"/>
              <w:rPr>
                <w:sz w:val="20"/>
                <w:szCs w:val="16"/>
              </w:rPr>
            </w:pPr>
            <w:r w:rsidRPr="0099640D">
              <w:rPr>
                <w:i/>
                <w:iCs/>
                <w:sz w:val="20"/>
                <w:szCs w:val="16"/>
              </w:rPr>
              <w:t xml:space="preserve">Wytwarzanie </w:t>
            </w:r>
            <w:r w:rsidRPr="0099640D">
              <w:rPr>
                <w:sz w:val="20"/>
                <w:szCs w:val="16"/>
              </w:rPr>
              <w:t>– produkcja paliw lub energii w procesie energetycznym (art. 3 pkt 45 ustawy z dnia 10 kwietnia 1997 r. Prawo energetyczne).</w:t>
            </w:r>
          </w:p>
          <w:p w:rsidR="00724FAB" w:rsidRPr="0076032A" w:rsidRDefault="00724FAB" w:rsidP="00724F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color w:val="C00000"/>
                <w:sz w:val="20"/>
                <w:szCs w:val="20"/>
              </w:rPr>
            </w:pPr>
            <w:r w:rsidRPr="0099640D">
              <w:rPr>
                <w:i/>
                <w:sz w:val="20"/>
                <w:szCs w:val="16"/>
              </w:rPr>
              <w:t>[Definicja opracowana przez IZ RPO WO 2014-2020]</w:t>
            </w:r>
          </w:p>
        </w:tc>
      </w:tr>
    </w:tbl>
    <w:p w:rsidR="00ED1091" w:rsidRDefault="00ED1091" w:rsidP="00355D2E">
      <w:pPr>
        <w:spacing w:after="0" w:line="240" w:lineRule="auto"/>
        <w:jc w:val="both"/>
        <w:rPr>
          <w:b/>
          <w:sz w:val="20"/>
        </w:rPr>
      </w:pPr>
    </w:p>
    <w:p w:rsidR="00355D2E" w:rsidRDefault="00355D2E" w:rsidP="00355D2E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UWAGA:</w:t>
      </w:r>
    </w:p>
    <w:p w:rsidR="001D3621" w:rsidRPr="00942B70" w:rsidRDefault="00355D2E" w:rsidP="00942B7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Dla wskaźników </w:t>
      </w:r>
      <w:proofErr w:type="spellStart"/>
      <w:r>
        <w:rPr>
          <w:i/>
          <w:sz w:val="20"/>
        </w:rPr>
        <w:t>Common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Indicators</w:t>
      </w:r>
      <w:proofErr w:type="spellEnd"/>
      <w:r>
        <w:rPr>
          <w:rStyle w:val="Odwoanieprzypisudolnego"/>
          <w:sz w:val="20"/>
        </w:rPr>
        <w:footnoteReference w:id="2"/>
      </w:r>
      <w:r>
        <w:rPr>
          <w:i/>
          <w:sz w:val="20"/>
        </w:rPr>
        <w:t xml:space="preserve"> </w:t>
      </w:r>
      <w:r>
        <w:rPr>
          <w:sz w:val="20"/>
        </w:rPr>
        <w:t xml:space="preserve">przedstawione definicje są roboczym tłumaczeniem IZ RPO WO 2014-2020. Oryginalne definicje (w języku angielskim) znajdują się </w:t>
      </w:r>
      <w:r w:rsidR="009F0E49">
        <w:rPr>
          <w:sz w:val="20"/>
        </w:rPr>
        <w:br/>
      </w:r>
      <w:r>
        <w:rPr>
          <w:sz w:val="20"/>
        </w:rPr>
        <w:t xml:space="preserve">w dokumencie </w:t>
      </w:r>
      <w:r>
        <w:rPr>
          <w:i/>
          <w:sz w:val="20"/>
        </w:rPr>
        <w:t xml:space="preserve">The </w:t>
      </w:r>
      <w:proofErr w:type="spellStart"/>
      <w:r>
        <w:rPr>
          <w:i/>
          <w:sz w:val="20"/>
        </w:rPr>
        <w:t>programming</w:t>
      </w:r>
      <w:proofErr w:type="spellEnd"/>
      <w:r>
        <w:rPr>
          <w:i/>
          <w:sz w:val="20"/>
        </w:rPr>
        <w:t xml:space="preserve"> period 2014-2020. </w:t>
      </w:r>
      <w:r>
        <w:rPr>
          <w:i/>
          <w:sz w:val="20"/>
          <w:lang w:val="en-US"/>
        </w:rPr>
        <w:t xml:space="preserve">Guidance document on monitoring and evaluation. European Cohesion Fund. European Regional Development Fund. </w:t>
      </w:r>
      <w:proofErr w:type="spellStart"/>
      <w:r>
        <w:rPr>
          <w:i/>
          <w:sz w:val="20"/>
        </w:rPr>
        <w:t>Concepts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Recommendations</w:t>
      </w:r>
      <w:proofErr w:type="spellEnd"/>
      <w:r>
        <w:rPr>
          <w:i/>
          <w:sz w:val="20"/>
        </w:rPr>
        <w:t>. March 2014</w:t>
      </w:r>
      <w:r>
        <w:rPr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dostępnym na stronie inte</w:t>
      </w:r>
      <w:r w:rsidR="009F0E49">
        <w:rPr>
          <w:sz w:val="20"/>
        </w:rPr>
        <w:t xml:space="preserve">rnetowej Komisji Europejskiej: </w:t>
      </w:r>
      <w:hyperlink r:id="rId9" w:anchor="1" w:history="1">
        <w:r>
          <w:rPr>
            <w:rStyle w:val="Hipercze"/>
            <w:i/>
            <w:sz w:val="20"/>
          </w:rPr>
          <w:t>http://ec.europa.eu/regional_policy/pl/policy/evaluations/guidance/#1</w:t>
        </w:r>
      </w:hyperlink>
    </w:p>
    <w:sectPr w:rsidR="001D3621" w:rsidRPr="00942B70" w:rsidSect="00B50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962" w:bottom="1418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29" w:rsidRDefault="00E27129" w:rsidP="00A11280">
      <w:pPr>
        <w:spacing w:after="0" w:line="240" w:lineRule="auto"/>
      </w:pPr>
      <w:r>
        <w:separator/>
      </w:r>
    </w:p>
  </w:endnote>
  <w:endnote w:type="continuationSeparator" w:id="0">
    <w:p w:rsidR="00E27129" w:rsidRDefault="00E27129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29" w:rsidRDefault="00052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180119589"/>
      <w:docPartObj>
        <w:docPartGallery w:val="Page Numbers (Bottom of Page)"/>
        <w:docPartUnique/>
      </w:docPartObj>
    </w:sdtPr>
    <w:sdtEndPr/>
    <w:sdtContent>
      <w:p w:rsidR="00E27129" w:rsidRPr="00D47A5A" w:rsidRDefault="00E27129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5D7B05">
          <w:rPr>
            <w:noProof/>
            <w:sz w:val="20"/>
          </w:rPr>
          <w:t>2</w:t>
        </w:r>
        <w:r w:rsidRPr="00D47A5A">
          <w:rPr>
            <w:sz w:val="20"/>
          </w:rPr>
          <w:fldChar w:fldCharType="end"/>
        </w:r>
      </w:p>
    </w:sdtContent>
  </w:sdt>
  <w:p w:rsidR="00E27129" w:rsidRDefault="00E271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29" w:rsidRDefault="00052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29" w:rsidRDefault="00E27129" w:rsidP="00A11280">
      <w:pPr>
        <w:spacing w:after="0" w:line="240" w:lineRule="auto"/>
      </w:pPr>
      <w:r>
        <w:separator/>
      </w:r>
    </w:p>
  </w:footnote>
  <w:footnote w:type="continuationSeparator" w:id="0">
    <w:p w:rsidR="00E27129" w:rsidRDefault="00E27129" w:rsidP="00A11280">
      <w:pPr>
        <w:spacing w:after="0" w:line="240" w:lineRule="auto"/>
      </w:pPr>
      <w:r>
        <w:continuationSeparator/>
      </w:r>
    </w:p>
  </w:footnote>
  <w:footnote w:id="1">
    <w:p w:rsidR="00350EEC" w:rsidRPr="00137AD2" w:rsidRDefault="00350EEC">
      <w:pPr>
        <w:pStyle w:val="Tekstprzypisudolnego"/>
      </w:pPr>
      <w:r>
        <w:rPr>
          <w:rStyle w:val="Odwoanieprzypisudolnego"/>
        </w:rPr>
        <w:footnoteRef/>
      </w:r>
      <w:r>
        <w:t xml:space="preserve"> Wskaźniki 5, 5a i 5b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  <w:footnote w:id="2">
    <w:p w:rsidR="00E27129" w:rsidRDefault="00E27129" w:rsidP="00355D2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Są to wskaźniki określone w Załączniku I do </w:t>
      </w:r>
      <w:r>
        <w:rPr>
          <w:i/>
          <w:sz w:val="18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29" w:rsidRDefault="00052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89A" w:rsidRDefault="0075189A" w:rsidP="0075189A">
    <w:pPr>
      <w:spacing w:after="0" w:line="240" w:lineRule="auto"/>
      <w:jc w:val="right"/>
      <w:rPr>
        <w:i/>
        <w:sz w:val="20"/>
        <w:szCs w:val="24"/>
      </w:rPr>
    </w:pPr>
    <w:r>
      <w:rPr>
        <w:b/>
        <w:i/>
        <w:sz w:val="20"/>
        <w:szCs w:val="24"/>
      </w:rPr>
      <w:t xml:space="preserve">Załącznik nr 8 </w:t>
    </w:r>
    <w:r>
      <w:rPr>
        <w:i/>
        <w:sz w:val="20"/>
        <w:szCs w:val="24"/>
      </w:rPr>
      <w:t>do Regulaminu Konkursu</w:t>
    </w:r>
  </w:p>
  <w:p w:rsidR="0075189A" w:rsidRDefault="0075189A" w:rsidP="0075189A">
    <w:pPr>
      <w:spacing w:after="0" w:line="240" w:lineRule="auto"/>
      <w:jc w:val="right"/>
      <w:rPr>
        <w:i/>
        <w:sz w:val="20"/>
        <w:szCs w:val="24"/>
      </w:rPr>
    </w:pPr>
    <w:r>
      <w:rPr>
        <w:i/>
        <w:sz w:val="20"/>
        <w:szCs w:val="24"/>
      </w:rPr>
      <w:t xml:space="preserve">Poddziałanie 3.2.2. Efektywność energetyczna w budynkach publicznych Aglomeracji Opolskiej </w:t>
    </w:r>
  </w:p>
  <w:p w:rsidR="0075189A" w:rsidRDefault="0075189A" w:rsidP="0075189A">
    <w:pPr>
      <w:spacing w:after="0" w:line="240" w:lineRule="auto"/>
      <w:jc w:val="right"/>
      <w:rPr>
        <w:i/>
        <w:sz w:val="20"/>
        <w:szCs w:val="24"/>
      </w:rPr>
    </w:pPr>
    <w:r>
      <w:rPr>
        <w:i/>
        <w:sz w:val="20"/>
        <w:szCs w:val="24"/>
      </w:rPr>
      <w:t xml:space="preserve"> w ramach RPO WO 2014-2020 Nabór II</w:t>
    </w:r>
  </w:p>
  <w:p w:rsidR="0075189A" w:rsidRDefault="0075189A" w:rsidP="0075189A">
    <w:pPr>
      <w:spacing w:after="0" w:line="240" w:lineRule="auto"/>
      <w:jc w:val="center"/>
      <w:rPr>
        <w:i/>
        <w:sz w:val="20"/>
        <w:szCs w:val="24"/>
      </w:rPr>
    </w:pPr>
    <w:r>
      <w:rPr>
        <w:i/>
        <w:sz w:val="20"/>
      </w:rPr>
      <w:tab/>
    </w:r>
    <w:r>
      <w:rPr>
        <w:i/>
        <w:sz w:val="20"/>
      </w:rPr>
      <w:tab/>
      <w:t xml:space="preserve">     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  </w:t>
    </w:r>
    <w:r w:rsidR="00052829">
      <w:rPr>
        <w:i/>
        <w:sz w:val="20"/>
      </w:rPr>
      <w:t xml:space="preserve">         </w:t>
    </w:r>
    <w:bookmarkStart w:id="0" w:name="_GoBack"/>
    <w:bookmarkEnd w:id="0"/>
    <w:r>
      <w:rPr>
        <w:i/>
        <w:sz w:val="20"/>
      </w:rPr>
      <w:t xml:space="preserve">   Wersja nr 1, </w:t>
    </w:r>
    <w:r w:rsidR="00052829">
      <w:rPr>
        <w:i/>
        <w:sz w:val="20"/>
      </w:rPr>
      <w:t>grudzień</w:t>
    </w:r>
    <w:r>
      <w:rPr>
        <w:i/>
        <w:sz w:val="20"/>
      </w:rPr>
      <w:t xml:space="preserve"> 2017 r.</w:t>
    </w:r>
  </w:p>
  <w:p w:rsidR="005F154E" w:rsidRPr="0075189A" w:rsidRDefault="005F154E" w:rsidP="007518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F1" w:rsidRDefault="004A54F1" w:rsidP="004A54F1">
    <w:pPr>
      <w:spacing w:after="0" w:line="240" w:lineRule="auto"/>
      <w:jc w:val="right"/>
      <w:rPr>
        <w:i/>
        <w:sz w:val="20"/>
        <w:szCs w:val="24"/>
      </w:rPr>
    </w:pPr>
    <w:r>
      <w:rPr>
        <w:b/>
        <w:i/>
        <w:sz w:val="20"/>
        <w:szCs w:val="24"/>
      </w:rPr>
      <w:t xml:space="preserve">Załącznik nr 8 </w:t>
    </w:r>
    <w:r>
      <w:rPr>
        <w:i/>
        <w:sz w:val="20"/>
        <w:szCs w:val="24"/>
      </w:rPr>
      <w:t>do Regulaminu Konkursu</w:t>
    </w:r>
  </w:p>
  <w:p w:rsidR="004A54F1" w:rsidRDefault="004A54F1" w:rsidP="004A54F1">
    <w:pPr>
      <w:spacing w:after="0" w:line="240" w:lineRule="auto"/>
      <w:jc w:val="right"/>
      <w:rPr>
        <w:i/>
        <w:sz w:val="20"/>
        <w:szCs w:val="24"/>
      </w:rPr>
    </w:pPr>
    <w:r>
      <w:rPr>
        <w:i/>
        <w:sz w:val="20"/>
        <w:szCs w:val="24"/>
      </w:rPr>
      <w:t xml:space="preserve">Poddziałanie 3.2.2. Efektywność energetyczna w budynkach publicznych Aglomeracji Opolskiej </w:t>
    </w:r>
  </w:p>
  <w:p w:rsidR="004A54F1" w:rsidRDefault="004A54F1" w:rsidP="004A54F1">
    <w:pPr>
      <w:spacing w:after="0" w:line="240" w:lineRule="auto"/>
      <w:jc w:val="right"/>
      <w:rPr>
        <w:i/>
        <w:sz w:val="20"/>
        <w:szCs w:val="24"/>
      </w:rPr>
    </w:pPr>
    <w:r>
      <w:rPr>
        <w:i/>
        <w:sz w:val="20"/>
        <w:szCs w:val="24"/>
      </w:rPr>
      <w:t xml:space="preserve"> w ramach RPO WO 2014-2020 Nabór II</w:t>
    </w:r>
  </w:p>
  <w:p w:rsidR="004A54F1" w:rsidRDefault="004A54F1" w:rsidP="004A54F1">
    <w:pPr>
      <w:spacing w:after="0" w:line="240" w:lineRule="auto"/>
      <w:jc w:val="center"/>
      <w:rPr>
        <w:i/>
        <w:sz w:val="20"/>
        <w:szCs w:val="24"/>
      </w:rPr>
    </w:pPr>
    <w:r>
      <w:rPr>
        <w:i/>
        <w:sz w:val="20"/>
      </w:rPr>
      <w:tab/>
    </w:r>
    <w:r>
      <w:rPr>
        <w:i/>
        <w:sz w:val="20"/>
      </w:rPr>
      <w:tab/>
      <w:t xml:space="preserve">     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    </w:t>
    </w:r>
    <w:r w:rsidR="00052829">
      <w:rPr>
        <w:i/>
        <w:sz w:val="20"/>
      </w:rPr>
      <w:t xml:space="preserve">         </w:t>
    </w:r>
    <w:r>
      <w:rPr>
        <w:i/>
        <w:sz w:val="20"/>
      </w:rPr>
      <w:t xml:space="preserve"> Wersja nr 1, </w:t>
    </w:r>
    <w:r w:rsidR="00052829">
      <w:rPr>
        <w:i/>
        <w:sz w:val="20"/>
      </w:rPr>
      <w:t>grudzień</w:t>
    </w:r>
    <w:r>
      <w:rPr>
        <w:i/>
        <w:sz w:val="20"/>
      </w:rPr>
      <w:t xml:space="preserve"> 2017 r.</w:t>
    </w:r>
  </w:p>
  <w:p w:rsidR="00E27129" w:rsidRPr="004A54F1" w:rsidRDefault="00E27129" w:rsidP="004A5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1"/>
  </w:num>
  <w:num w:numId="5">
    <w:abstractNumId w:val="20"/>
  </w:num>
  <w:num w:numId="6">
    <w:abstractNumId w:val="18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A52"/>
    <w:rsid w:val="00005649"/>
    <w:rsid w:val="00006354"/>
    <w:rsid w:val="00007B56"/>
    <w:rsid w:val="00011B8E"/>
    <w:rsid w:val="00015583"/>
    <w:rsid w:val="00015DEA"/>
    <w:rsid w:val="000168FD"/>
    <w:rsid w:val="00031554"/>
    <w:rsid w:val="000319A0"/>
    <w:rsid w:val="0003254D"/>
    <w:rsid w:val="00033A13"/>
    <w:rsid w:val="00033DB6"/>
    <w:rsid w:val="00035EA1"/>
    <w:rsid w:val="00041C35"/>
    <w:rsid w:val="000513EE"/>
    <w:rsid w:val="00052829"/>
    <w:rsid w:val="0005308B"/>
    <w:rsid w:val="00055EE7"/>
    <w:rsid w:val="00056BBD"/>
    <w:rsid w:val="00057CCC"/>
    <w:rsid w:val="00062C8B"/>
    <w:rsid w:val="00063C1C"/>
    <w:rsid w:val="00063E65"/>
    <w:rsid w:val="000653E0"/>
    <w:rsid w:val="00083072"/>
    <w:rsid w:val="00083B3C"/>
    <w:rsid w:val="00086315"/>
    <w:rsid w:val="000908A9"/>
    <w:rsid w:val="00092958"/>
    <w:rsid w:val="000A0476"/>
    <w:rsid w:val="000A12A2"/>
    <w:rsid w:val="000A34FA"/>
    <w:rsid w:val="000A4AD5"/>
    <w:rsid w:val="000A65EF"/>
    <w:rsid w:val="000B2A7F"/>
    <w:rsid w:val="000C3CA1"/>
    <w:rsid w:val="000C624D"/>
    <w:rsid w:val="000D0CAC"/>
    <w:rsid w:val="000D1802"/>
    <w:rsid w:val="000D4701"/>
    <w:rsid w:val="000D53AC"/>
    <w:rsid w:val="000E1053"/>
    <w:rsid w:val="000E521A"/>
    <w:rsid w:val="000E67E8"/>
    <w:rsid w:val="000F7226"/>
    <w:rsid w:val="00104C40"/>
    <w:rsid w:val="00112769"/>
    <w:rsid w:val="001137A4"/>
    <w:rsid w:val="00113F1F"/>
    <w:rsid w:val="001140C9"/>
    <w:rsid w:val="00114285"/>
    <w:rsid w:val="00114A0B"/>
    <w:rsid w:val="00116F45"/>
    <w:rsid w:val="00140E83"/>
    <w:rsid w:val="00142E61"/>
    <w:rsid w:val="00144712"/>
    <w:rsid w:val="001455D7"/>
    <w:rsid w:val="00151AFA"/>
    <w:rsid w:val="00152204"/>
    <w:rsid w:val="0015374E"/>
    <w:rsid w:val="00153BE9"/>
    <w:rsid w:val="00157848"/>
    <w:rsid w:val="00157ED6"/>
    <w:rsid w:val="0017178D"/>
    <w:rsid w:val="00173EA5"/>
    <w:rsid w:val="0018259B"/>
    <w:rsid w:val="00195DF3"/>
    <w:rsid w:val="00195E0A"/>
    <w:rsid w:val="0019614F"/>
    <w:rsid w:val="001A2230"/>
    <w:rsid w:val="001A32D2"/>
    <w:rsid w:val="001A7097"/>
    <w:rsid w:val="001C0B0B"/>
    <w:rsid w:val="001D2995"/>
    <w:rsid w:val="001D2DFD"/>
    <w:rsid w:val="001D3621"/>
    <w:rsid w:val="001D577F"/>
    <w:rsid w:val="001D5EF7"/>
    <w:rsid w:val="001E3C79"/>
    <w:rsid w:val="002000C8"/>
    <w:rsid w:val="00203C38"/>
    <w:rsid w:val="0020483D"/>
    <w:rsid w:val="00205CB0"/>
    <w:rsid w:val="00207688"/>
    <w:rsid w:val="0021204C"/>
    <w:rsid w:val="00215234"/>
    <w:rsid w:val="002165FB"/>
    <w:rsid w:val="00216A64"/>
    <w:rsid w:val="002174D7"/>
    <w:rsid w:val="00223C52"/>
    <w:rsid w:val="00223F9A"/>
    <w:rsid w:val="0022603F"/>
    <w:rsid w:val="00227418"/>
    <w:rsid w:val="00231CD3"/>
    <w:rsid w:val="00241BB5"/>
    <w:rsid w:val="002444C3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4A5D"/>
    <w:rsid w:val="00281EF9"/>
    <w:rsid w:val="00286A51"/>
    <w:rsid w:val="00286FEE"/>
    <w:rsid w:val="00292A71"/>
    <w:rsid w:val="00293876"/>
    <w:rsid w:val="002A2D17"/>
    <w:rsid w:val="002A4294"/>
    <w:rsid w:val="002A5161"/>
    <w:rsid w:val="002B6EAB"/>
    <w:rsid w:val="002C166D"/>
    <w:rsid w:val="002C2993"/>
    <w:rsid w:val="002D1FFD"/>
    <w:rsid w:val="002E195D"/>
    <w:rsid w:val="002E41A2"/>
    <w:rsid w:val="002E46F4"/>
    <w:rsid w:val="002F24F9"/>
    <w:rsid w:val="002F3149"/>
    <w:rsid w:val="002F33BC"/>
    <w:rsid w:val="003073B4"/>
    <w:rsid w:val="00307EDB"/>
    <w:rsid w:val="003139D0"/>
    <w:rsid w:val="00320459"/>
    <w:rsid w:val="003317C9"/>
    <w:rsid w:val="0033221C"/>
    <w:rsid w:val="00335B0D"/>
    <w:rsid w:val="003414F1"/>
    <w:rsid w:val="00342EC8"/>
    <w:rsid w:val="00350EEC"/>
    <w:rsid w:val="00350F73"/>
    <w:rsid w:val="0035163A"/>
    <w:rsid w:val="00355D2E"/>
    <w:rsid w:val="0036037A"/>
    <w:rsid w:val="00365665"/>
    <w:rsid w:val="00367BF2"/>
    <w:rsid w:val="00370E0C"/>
    <w:rsid w:val="00386AE6"/>
    <w:rsid w:val="00392470"/>
    <w:rsid w:val="00392E28"/>
    <w:rsid w:val="00396A00"/>
    <w:rsid w:val="003A0EBC"/>
    <w:rsid w:val="003A1F2D"/>
    <w:rsid w:val="003B3940"/>
    <w:rsid w:val="003B4F9A"/>
    <w:rsid w:val="003C02D6"/>
    <w:rsid w:val="003C6DBA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456DF"/>
    <w:rsid w:val="0044584A"/>
    <w:rsid w:val="00447566"/>
    <w:rsid w:val="004515CA"/>
    <w:rsid w:val="004578AB"/>
    <w:rsid w:val="00460BDF"/>
    <w:rsid w:val="004620F2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7185"/>
    <w:rsid w:val="004A0D76"/>
    <w:rsid w:val="004A2391"/>
    <w:rsid w:val="004A54F1"/>
    <w:rsid w:val="004A6707"/>
    <w:rsid w:val="004B158F"/>
    <w:rsid w:val="004B6AE1"/>
    <w:rsid w:val="004C3662"/>
    <w:rsid w:val="004D48D9"/>
    <w:rsid w:val="004E1993"/>
    <w:rsid w:val="004E311C"/>
    <w:rsid w:val="004E5215"/>
    <w:rsid w:val="004E5F90"/>
    <w:rsid w:val="004F4063"/>
    <w:rsid w:val="004F6E63"/>
    <w:rsid w:val="004F6F1C"/>
    <w:rsid w:val="004F7079"/>
    <w:rsid w:val="00502D55"/>
    <w:rsid w:val="005111F8"/>
    <w:rsid w:val="00511DBB"/>
    <w:rsid w:val="00512467"/>
    <w:rsid w:val="00514EDC"/>
    <w:rsid w:val="00517B7D"/>
    <w:rsid w:val="005213CE"/>
    <w:rsid w:val="00540C82"/>
    <w:rsid w:val="00541616"/>
    <w:rsid w:val="005425C2"/>
    <w:rsid w:val="005436B1"/>
    <w:rsid w:val="0054723E"/>
    <w:rsid w:val="00552E0D"/>
    <w:rsid w:val="00562F75"/>
    <w:rsid w:val="00566E22"/>
    <w:rsid w:val="0057438E"/>
    <w:rsid w:val="00575609"/>
    <w:rsid w:val="00576345"/>
    <w:rsid w:val="00582F36"/>
    <w:rsid w:val="00584FD2"/>
    <w:rsid w:val="00587391"/>
    <w:rsid w:val="005900E5"/>
    <w:rsid w:val="00594165"/>
    <w:rsid w:val="005A482D"/>
    <w:rsid w:val="005A6868"/>
    <w:rsid w:val="005B053A"/>
    <w:rsid w:val="005B10D2"/>
    <w:rsid w:val="005B1FDC"/>
    <w:rsid w:val="005B23E6"/>
    <w:rsid w:val="005C2170"/>
    <w:rsid w:val="005C418D"/>
    <w:rsid w:val="005C4BA2"/>
    <w:rsid w:val="005D05E1"/>
    <w:rsid w:val="005D7B05"/>
    <w:rsid w:val="005E2761"/>
    <w:rsid w:val="005E27C3"/>
    <w:rsid w:val="005E30B8"/>
    <w:rsid w:val="005E3578"/>
    <w:rsid w:val="005E7406"/>
    <w:rsid w:val="005F112B"/>
    <w:rsid w:val="005F154E"/>
    <w:rsid w:val="005F1948"/>
    <w:rsid w:val="005F64F6"/>
    <w:rsid w:val="00601A79"/>
    <w:rsid w:val="00617E85"/>
    <w:rsid w:val="00625468"/>
    <w:rsid w:val="00627DDB"/>
    <w:rsid w:val="0063106F"/>
    <w:rsid w:val="0063254B"/>
    <w:rsid w:val="00635E43"/>
    <w:rsid w:val="0064192E"/>
    <w:rsid w:val="00641F8D"/>
    <w:rsid w:val="0065404E"/>
    <w:rsid w:val="00657817"/>
    <w:rsid w:val="00657EC9"/>
    <w:rsid w:val="00662786"/>
    <w:rsid w:val="00662B00"/>
    <w:rsid w:val="006733B1"/>
    <w:rsid w:val="0067563E"/>
    <w:rsid w:val="00677E9F"/>
    <w:rsid w:val="00682236"/>
    <w:rsid w:val="0068373D"/>
    <w:rsid w:val="00687E5A"/>
    <w:rsid w:val="00691091"/>
    <w:rsid w:val="00691C14"/>
    <w:rsid w:val="006A1730"/>
    <w:rsid w:val="006A3A60"/>
    <w:rsid w:val="006A44E5"/>
    <w:rsid w:val="006A7698"/>
    <w:rsid w:val="006A7E5A"/>
    <w:rsid w:val="006B0AD6"/>
    <w:rsid w:val="006B13AA"/>
    <w:rsid w:val="006B2D2B"/>
    <w:rsid w:val="006B6D0A"/>
    <w:rsid w:val="006B6E11"/>
    <w:rsid w:val="006B6E44"/>
    <w:rsid w:val="006C1039"/>
    <w:rsid w:val="006C178D"/>
    <w:rsid w:val="006C452F"/>
    <w:rsid w:val="006D162A"/>
    <w:rsid w:val="006D307B"/>
    <w:rsid w:val="006D6C70"/>
    <w:rsid w:val="006F57DD"/>
    <w:rsid w:val="00700637"/>
    <w:rsid w:val="00702EF1"/>
    <w:rsid w:val="007055BC"/>
    <w:rsid w:val="00706A63"/>
    <w:rsid w:val="007109A7"/>
    <w:rsid w:val="00711603"/>
    <w:rsid w:val="00713693"/>
    <w:rsid w:val="0072197A"/>
    <w:rsid w:val="00722E29"/>
    <w:rsid w:val="00723497"/>
    <w:rsid w:val="00724FAB"/>
    <w:rsid w:val="00725343"/>
    <w:rsid w:val="007315C9"/>
    <w:rsid w:val="00733355"/>
    <w:rsid w:val="00735B8E"/>
    <w:rsid w:val="0074087F"/>
    <w:rsid w:val="007411F6"/>
    <w:rsid w:val="00742DC9"/>
    <w:rsid w:val="007435C8"/>
    <w:rsid w:val="0075189A"/>
    <w:rsid w:val="00761C40"/>
    <w:rsid w:val="0076425E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C0A"/>
    <w:rsid w:val="007D4131"/>
    <w:rsid w:val="007D4C96"/>
    <w:rsid w:val="007D57BB"/>
    <w:rsid w:val="007E0180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245BD"/>
    <w:rsid w:val="00831BFC"/>
    <w:rsid w:val="00842F3A"/>
    <w:rsid w:val="008455F7"/>
    <w:rsid w:val="00846033"/>
    <w:rsid w:val="008465CF"/>
    <w:rsid w:val="008478D9"/>
    <w:rsid w:val="00856DFC"/>
    <w:rsid w:val="00857429"/>
    <w:rsid w:val="0086008B"/>
    <w:rsid w:val="008601B4"/>
    <w:rsid w:val="00876AB5"/>
    <w:rsid w:val="00881365"/>
    <w:rsid w:val="00881689"/>
    <w:rsid w:val="00883C42"/>
    <w:rsid w:val="00892C4D"/>
    <w:rsid w:val="008950B0"/>
    <w:rsid w:val="008971CC"/>
    <w:rsid w:val="008A243D"/>
    <w:rsid w:val="008A2D2C"/>
    <w:rsid w:val="008B24BB"/>
    <w:rsid w:val="008B46A5"/>
    <w:rsid w:val="008B5374"/>
    <w:rsid w:val="008B712F"/>
    <w:rsid w:val="008B7F87"/>
    <w:rsid w:val="008C3081"/>
    <w:rsid w:val="008D3539"/>
    <w:rsid w:val="008D6830"/>
    <w:rsid w:val="008D7B42"/>
    <w:rsid w:val="008F0D0F"/>
    <w:rsid w:val="008F5666"/>
    <w:rsid w:val="0091369F"/>
    <w:rsid w:val="00914AB9"/>
    <w:rsid w:val="009225BC"/>
    <w:rsid w:val="00926866"/>
    <w:rsid w:val="009344F5"/>
    <w:rsid w:val="00935463"/>
    <w:rsid w:val="00936AE6"/>
    <w:rsid w:val="00942B70"/>
    <w:rsid w:val="00943756"/>
    <w:rsid w:val="009513F8"/>
    <w:rsid w:val="009536C3"/>
    <w:rsid w:val="00955A24"/>
    <w:rsid w:val="009566FF"/>
    <w:rsid w:val="00956722"/>
    <w:rsid w:val="00956B26"/>
    <w:rsid w:val="0097558C"/>
    <w:rsid w:val="009757CF"/>
    <w:rsid w:val="00977EB6"/>
    <w:rsid w:val="00980388"/>
    <w:rsid w:val="009820C9"/>
    <w:rsid w:val="00983E81"/>
    <w:rsid w:val="00985C49"/>
    <w:rsid w:val="00987B6C"/>
    <w:rsid w:val="009902EE"/>
    <w:rsid w:val="00992F7F"/>
    <w:rsid w:val="00994397"/>
    <w:rsid w:val="00994ABE"/>
    <w:rsid w:val="009A000A"/>
    <w:rsid w:val="009A4E00"/>
    <w:rsid w:val="009A4E3E"/>
    <w:rsid w:val="009B1058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537D"/>
    <w:rsid w:val="00A166D4"/>
    <w:rsid w:val="00A21B3F"/>
    <w:rsid w:val="00A21E6D"/>
    <w:rsid w:val="00A22820"/>
    <w:rsid w:val="00A30643"/>
    <w:rsid w:val="00A30932"/>
    <w:rsid w:val="00A326AC"/>
    <w:rsid w:val="00A335D1"/>
    <w:rsid w:val="00A37C82"/>
    <w:rsid w:val="00A41F51"/>
    <w:rsid w:val="00A425B6"/>
    <w:rsid w:val="00A42BB9"/>
    <w:rsid w:val="00A445AC"/>
    <w:rsid w:val="00A44759"/>
    <w:rsid w:val="00A46E50"/>
    <w:rsid w:val="00A5539C"/>
    <w:rsid w:val="00A55607"/>
    <w:rsid w:val="00A566FE"/>
    <w:rsid w:val="00A57F23"/>
    <w:rsid w:val="00A610C3"/>
    <w:rsid w:val="00A64DF5"/>
    <w:rsid w:val="00A67B81"/>
    <w:rsid w:val="00A717A6"/>
    <w:rsid w:val="00A729B2"/>
    <w:rsid w:val="00A73F94"/>
    <w:rsid w:val="00A74410"/>
    <w:rsid w:val="00A74978"/>
    <w:rsid w:val="00A77BAB"/>
    <w:rsid w:val="00A8023F"/>
    <w:rsid w:val="00A91E48"/>
    <w:rsid w:val="00A92156"/>
    <w:rsid w:val="00A93409"/>
    <w:rsid w:val="00AA02ED"/>
    <w:rsid w:val="00AA17E8"/>
    <w:rsid w:val="00AA2DA2"/>
    <w:rsid w:val="00AA5ABD"/>
    <w:rsid w:val="00AA6D21"/>
    <w:rsid w:val="00AA7891"/>
    <w:rsid w:val="00AA7AA1"/>
    <w:rsid w:val="00AB1813"/>
    <w:rsid w:val="00AC40E9"/>
    <w:rsid w:val="00AC42C2"/>
    <w:rsid w:val="00AC7D5D"/>
    <w:rsid w:val="00AD561C"/>
    <w:rsid w:val="00AD7BF3"/>
    <w:rsid w:val="00AE20BA"/>
    <w:rsid w:val="00AE29BF"/>
    <w:rsid w:val="00AE492F"/>
    <w:rsid w:val="00AE6A13"/>
    <w:rsid w:val="00AF6E20"/>
    <w:rsid w:val="00AF7918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3686E"/>
    <w:rsid w:val="00B42BF9"/>
    <w:rsid w:val="00B43D17"/>
    <w:rsid w:val="00B47991"/>
    <w:rsid w:val="00B50A44"/>
    <w:rsid w:val="00B5189D"/>
    <w:rsid w:val="00B5464B"/>
    <w:rsid w:val="00B54AF4"/>
    <w:rsid w:val="00B55249"/>
    <w:rsid w:val="00B56563"/>
    <w:rsid w:val="00B627EE"/>
    <w:rsid w:val="00B67239"/>
    <w:rsid w:val="00B70521"/>
    <w:rsid w:val="00B72C55"/>
    <w:rsid w:val="00B7401B"/>
    <w:rsid w:val="00B816C0"/>
    <w:rsid w:val="00B86856"/>
    <w:rsid w:val="00B901DE"/>
    <w:rsid w:val="00B9288D"/>
    <w:rsid w:val="00B95CC5"/>
    <w:rsid w:val="00BA3F96"/>
    <w:rsid w:val="00BB359B"/>
    <w:rsid w:val="00BC52C6"/>
    <w:rsid w:val="00BC6511"/>
    <w:rsid w:val="00BC7EE3"/>
    <w:rsid w:val="00BD3741"/>
    <w:rsid w:val="00BD623F"/>
    <w:rsid w:val="00BE34E0"/>
    <w:rsid w:val="00BE78D2"/>
    <w:rsid w:val="00BF3654"/>
    <w:rsid w:val="00BF5BE4"/>
    <w:rsid w:val="00C013F9"/>
    <w:rsid w:val="00C04951"/>
    <w:rsid w:val="00C13E93"/>
    <w:rsid w:val="00C169AD"/>
    <w:rsid w:val="00C23DD6"/>
    <w:rsid w:val="00C3041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71130"/>
    <w:rsid w:val="00C71AEF"/>
    <w:rsid w:val="00C77EF3"/>
    <w:rsid w:val="00C83731"/>
    <w:rsid w:val="00C8445E"/>
    <w:rsid w:val="00C92AB6"/>
    <w:rsid w:val="00C95296"/>
    <w:rsid w:val="00C9690F"/>
    <w:rsid w:val="00CA0118"/>
    <w:rsid w:val="00CA1A8B"/>
    <w:rsid w:val="00CA46CD"/>
    <w:rsid w:val="00CA4F1D"/>
    <w:rsid w:val="00CB07A2"/>
    <w:rsid w:val="00CB4183"/>
    <w:rsid w:val="00CB63F2"/>
    <w:rsid w:val="00CB7CC5"/>
    <w:rsid w:val="00CC3D02"/>
    <w:rsid w:val="00CD24D6"/>
    <w:rsid w:val="00CD4756"/>
    <w:rsid w:val="00CD784C"/>
    <w:rsid w:val="00CE24BD"/>
    <w:rsid w:val="00CE4515"/>
    <w:rsid w:val="00CE7C90"/>
    <w:rsid w:val="00CE7C94"/>
    <w:rsid w:val="00CF1305"/>
    <w:rsid w:val="00CF3A1F"/>
    <w:rsid w:val="00CF63B0"/>
    <w:rsid w:val="00D01C11"/>
    <w:rsid w:val="00D06A27"/>
    <w:rsid w:val="00D10227"/>
    <w:rsid w:val="00D15791"/>
    <w:rsid w:val="00D21207"/>
    <w:rsid w:val="00D26BE8"/>
    <w:rsid w:val="00D27432"/>
    <w:rsid w:val="00D307DB"/>
    <w:rsid w:val="00D30972"/>
    <w:rsid w:val="00D4097D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4914"/>
    <w:rsid w:val="00D80AAE"/>
    <w:rsid w:val="00D80C14"/>
    <w:rsid w:val="00D83E2E"/>
    <w:rsid w:val="00D84269"/>
    <w:rsid w:val="00D84B6C"/>
    <w:rsid w:val="00D91C0E"/>
    <w:rsid w:val="00D96AEF"/>
    <w:rsid w:val="00D96CA8"/>
    <w:rsid w:val="00DA1CBC"/>
    <w:rsid w:val="00DB5AA4"/>
    <w:rsid w:val="00DB5E30"/>
    <w:rsid w:val="00DD77C6"/>
    <w:rsid w:val="00DD7F68"/>
    <w:rsid w:val="00DE039B"/>
    <w:rsid w:val="00DE04C3"/>
    <w:rsid w:val="00DE29A8"/>
    <w:rsid w:val="00DE5893"/>
    <w:rsid w:val="00DE744D"/>
    <w:rsid w:val="00DF2D9B"/>
    <w:rsid w:val="00DF3CDE"/>
    <w:rsid w:val="00DF5A0A"/>
    <w:rsid w:val="00E00A28"/>
    <w:rsid w:val="00E018AE"/>
    <w:rsid w:val="00E152F7"/>
    <w:rsid w:val="00E1605C"/>
    <w:rsid w:val="00E21CC8"/>
    <w:rsid w:val="00E2310F"/>
    <w:rsid w:val="00E24B44"/>
    <w:rsid w:val="00E267B7"/>
    <w:rsid w:val="00E26B68"/>
    <w:rsid w:val="00E27129"/>
    <w:rsid w:val="00E30318"/>
    <w:rsid w:val="00E31654"/>
    <w:rsid w:val="00E34FD6"/>
    <w:rsid w:val="00E41444"/>
    <w:rsid w:val="00E43283"/>
    <w:rsid w:val="00E43E7A"/>
    <w:rsid w:val="00E47908"/>
    <w:rsid w:val="00E503EA"/>
    <w:rsid w:val="00E50DE7"/>
    <w:rsid w:val="00E63D0A"/>
    <w:rsid w:val="00E80B69"/>
    <w:rsid w:val="00E858A9"/>
    <w:rsid w:val="00E907E9"/>
    <w:rsid w:val="00E91CF9"/>
    <w:rsid w:val="00E937B1"/>
    <w:rsid w:val="00E97FDF"/>
    <w:rsid w:val="00EC77B0"/>
    <w:rsid w:val="00ED1091"/>
    <w:rsid w:val="00ED303E"/>
    <w:rsid w:val="00EF2909"/>
    <w:rsid w:val="00EF46B8"/>
    <w:rsid w:val="00F00ADF"/>
    <w:rsid w:val="00F122C5"/>
    <w:rsid w:val="00F149AD"/>
    <w:rsid w:val="00F174E4"/>
    <w:rsid w:val="00F26B43"/>
    <w:rsid w:val="00F308AB"/>
    <w:rsid w:val="00F353FE"/>
    <w:rsid w:val="00F4348E"/>
    <w:rsid w:val="00F5104E"/>
    <w:rsid w:val="00F51C2E"/>
    <w:rsid w:val="00F64BD9"/>
    <w:rsid w:val="00F66EF8"/>
    <w:rsid w:val="00F71A63"/>
    <w:rsid w:val="00F71F5D"/>
    <w:rsid w:val="00F76C8B"/>
    <w:rsid w:val="00F82B6A"/>
    <w:rsid w:val="00F830CC"/>
    <w:rsid w:val="00F841E4"/>
    <w:rsid w:val="00F85758"/>
    <w:rsid w:val="00F90331"/>
    <w:rsid w:val="00FA1A10"/>
    <w:rsid w:val="00FB3A48"/>
    <w:rsid w:val="00FB43CA"/>
    <w:rsid w:val="00FD3825"/>
    <w:rsid w:val="00FD4489"/>
    <w:rsid w:val="00FD5BA3"/>
    <w:rsid w:val="00FE40F7"/>
    <w:rsid w:val="00FE5B82"/>
    <w:rsid w:val="00FE5CFF"/>
    <w:rsid w:val="00FE6610"/>
    <w:rsid w:val="00FE6B66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basedOn w:val="Normalny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EE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A9F1-A0AB-4E7B-AE6D-0191C180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22</Pages>
  <Words>4618</Words>
  <Characters>27712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Patrycja Bień</cp:lastModifiedBy>
  <cp:revision>16</cp:revision>
  <cp:lastPrinted>2017-07-13T07:16:00Z</cp:lastPrinted>
  <dcterms:created xsi:type="dcterms:W3CDTF">2017-07-13T06:26:00Z</dcterms:created>
  <dcterms:modified xsi:type="dcterms:W3CDTF">2017-12-07T08:48:00Z</dcterms:modified>
</cp:coreProperties>
</file>