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1A2ED4" w:rsidRPr="00C6186A" w:rsidTr="00BF2068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1A2ED4" w:rsidRPr="00C6186A" w:rsidTr="00BF2068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1A2ED4" w:rsidRPr="0073524C" w:rsidTr="00BF2068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A2ED4" w:rsidRPr="00C6186A" w:rsidTr="00BF2068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1A2ED4" w:rsidRPr="009A56F4" w:rsidRDefault="001A2ED4" w:rsidP="00BF2068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EB07DF" w:rsidRDefault="001A2ED4" w:rsidP="00BF2068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8A16C5" w:rsidRDefault="001A2ED4" w:rsidP="00BF2068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1A2ED4" w:rsidRPr="00B85BE6" w:rsidRDefault="001A2ED4" w:rsidP="00BF2068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1A2ED4" w:rsidRPr="00B85BE6" w:rsidRDefault="001A2ED4" w:rsidP="00BF2068">
            <w:pPr>
              <w:spacing w:after="0"/>
            </w:pPr>
            <w:r w:rsidRPr="00B85BE6">
              <w:t>o dofinansowanie na podstawie: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1A2ED4" w:rsidRPr="009A56F4" w:rsidRDefault="001A2ED4" w:rsidP="00BF2068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1A2ED4" w:rsidRPr="00C6186A" w:rsidTr="00BF2068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1A2ED4" w:rsidRPr="009A56F4" w:rsidRDefault="001A2ED4" w:rsidP="00BF2068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8A16C5" w:rsidRDefault="001A2ED4" w:rsidP="00BF2068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1A2ED4" w:rsidRPr="00C53AAA" w:rsidRDefault="001A2ED4" w:rsidP="00BF2068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1A2ED4" w:rsidRPr="00C6186A" w:rsidTr="00BF2068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Dodatkowe limity (jeśli dotyczy)</w:t>
            </w:r>
            <w:r w:rsidRPr="00EB07DF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1A2ED4" w:rsidRPr="008A16C5" w:rsidRDefault="001A2ED4" w:rsidP="00BF2068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D87D4D" w:rsidRDefault="00D87D4D" w:rsidP="00D87D4D">
            <w:pPr>
              <w:spacing w:after="0" w:line="240" w:lineRule="auto"/>
            </w:pPr>
            <w:r>
              <w:t>Projekt spełnia dodatkowe limity określone dla działań/poddziałań:</w:t>
            </w:r>
          </w:p>
          <w:p w:rsidR="00D87D4D" w:rsidRDefault="00D87D4D" w:rsidP="00D87D4D">
            <w:pPr>
              <w:spacing w:after="0" w:line="240" w:lineRule="auto"/>
            </w:pPr>
            <w:r>
              <w:t xml:space="preserve">2.1.4 </w:t>
            </w:r>
            <w:r>
              <w:rPr>
                <w:i/>
              </w:rPr>
              <w:t>Inwestycje dla Podmiotów Ekonomii Społecznej</w:t>
            </w:r>
            <w:r>
              <w:t xml:space="preserve"> – wartość dofinansowania nie może przekroczyć 800 tyś PLN;</w:t>
            </w:r>
          </w:p>
          <w:p w:rsidR="00D87D4D" w:rsidRDefault="00D87D4D" w:rsidP="00D87D4D">
            <w:pPr>
              <w:spacing w:after="0" w:line="240" w:lineRule="auto"/>
            </w:pPr>
            <w:r>
              <w:t xml:space="preserve">3.2.2 </w:t>
            </w:r>
            <w:r>
              <w:rPr>
                <w:i/>
              </w:rPr>
              <w:t>Efektywność energetyczna w budynkach publicznych Aglomeracji Opolskiej</w:t>
            </w:r>
            <w:r>
              <w:t xml:space="preserve"> – kwota dofinansowania nie może przekroczyć 1 200 000 PLN;</w:t>
            </w:r>
          </w:p>
          <w:p w:rsidR="00D87D4D" w:rsidRDefault="00D87D4D" w:rsidP="00D87D4D">
            <w:pPr>
              <w:spacing w:after="0" w:line="240" w:lineRule="auto"/>
            </w:pPr>
            <w:r>
              <w:t xml:space="preserve">5.2 </w:t>
            </w:r>
            <w:r>
              <w:rPr>
                <w:i/>
              </w:rPr>
              <w:t>Poprawa gospodarowania odpadami komunalnymi</w:t>
            </w:r>
            <w:r>
              <w:t xml:space="preserve"> – kwota dofinansowania dla projektów dot. działań informacyjno-edukacyjnych nie może przekroczyć 2 500 000 PLN na jedną kampanię, natomiast dla projektów dot. PSZOK kwota dofinansowania nie może przekroczyć 1 000 000,00 PLN na jeden PSZOK. </w:t>
            </w:r>
          </w:p>
          <w:p w:rsidR="00D87D4D" w:rsidRDefault="00D87D4D" w:rsidP="00D87D4D">
            <w:pPr>
              <w:spacing w:after="0" w:line="240" w:lineRule="auto"/>
            </w:pPr>
          </w:p>
          <w:p w:rsidR="001A2ED4" w:rsidRPr="009A56F4" w:rsidRDefault="00D87D4D" w:rsidP="00D87D4D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1A2ED4" w:rsidRDefault="001A2ED4" w:rsidP="00BF2068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RPr="007F71AC" w:rsidRDefault="001A2ED4" w:rsidP="00BF2068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 xml:space="preserve">dofinansowania nie może zostać wybrany projekt, który </w:t>
            </w:r>
            <w:r w:rsidRPr="001015B8">
              <w:lastRenderedPageBreak/>
              <w:t>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1A2ED4" w:rsidRDefault="001A2ED4" w:rsidP="00BF2068">
            <w:pPr>
              <w:spacing w:after="0"/>
              <w:jc w:val="center"/>
            </w:pPr>
            <w:r w:rsidRPr="001015B8">
              <w:lastRenderedPageBreak/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1A2ED4" w:rsidRDefault="001A2ED4" w:rsidP="00BF2068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7A580F" w:rsidRDefault="001A2ED4" w:rsidP="00BF2068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1A2ED4" w:rsidRPr="001015B8" w:rsidRDefault="001A2ED4" w:rsidP="00BF2068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1015B8" w:rsidRDefault="001A2ED4" w:rsidP="00BF2068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Pr="001015B8" w:rsidRDefault="001A2ED4" w:rsidP="00BF2068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9623FC" w:rsidRDefault="001A2ED4" w:rsidP="00BF2068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1A2ED4" w:rsidRPr="00F13886" w:rsidRDefault="001A2ED4" w:rsidP="00BF2068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7A580F" w:rsidRDefault="001A2ED4" w:rsidP="00BF2068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9623FC" w:rsidRDefault="001A2ED4" w:rsidP="00BF2068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1A2ED4" w:rsidRPr="00F13886" w:rsidRDefault="001A2ED4" w:rsidP="00BF2068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7A580F" w:rsidRDefault="001A2ED4" w:rsidP="00BF2068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1A2ED4" w:rsidRPr="00C6186A" w:rsidTr="00BF2068">
        <w:trPr>
          <w:trHeight w:val="307"/>
        </w:trPr>
        <w:tc>
          <w:tcPr>
            <w:tcW w:w="5000" w:type="pct"/>
            <w:gridSpan w:val="8"/>
            <w:noWrap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A2ED4" w:rsidRPr="00C6186A" w:rsidTr="00BF2068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1A2ED4" w:rsidRPr="00B85BE6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1A2ED4" w:rsidRPr="00C6186A" w:rsidTr="00BF2068">
        <w:trPr>
          <w:trHeight w:val="307"/>
        </w:trPr>
        <w:tc>
          <w:tcPr>
            <w:tcW w:w="225" w:type="pct"/>
            <w:noWrap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1A2ED4" w:rsidRDefault="001A2ED4" w:rsidP="001A2ED4">
      <w:pPr>
        <w:rPr>
          <w:b/>
          <w:color w:val="000099"/>
          <w:sz w:val="24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A2ED4" w:rsidRDefault="001A2ED4" w:rsidP="001A2ED4">
      <w:pPr>
        <w:rPr>
          <w:b/>
          <w:sz w:val="36"/>
          <w:szCs w:val="36"/>
        </w:rPr>
      </w:pPr>
    </w:p>
    <w:p w:rsidR="001A2ED4" w:rsidRDefault="001A2ED4" w:rsidP="001A2ED4">
      <w:pPr>
        <w:rPr>
          <w:b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2908"/>
        <w:gridCol w:w="1567"/>
        <w:gridCol w:w="2124"/>
        <w:gridCol w:w="7031"/>
      </w:tblGrid>
      <w:tr w:rsidR="001A2ED4" w:rsidRPr="00C6186A" w:rsidTr="00BF2068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1A2ED4" w:rsidRPr="00C6186A" w:rsidTr="00BF2068">
        <w:trPr>
          <w:trHeight w:val="595"/>
        </w:trPr>
        <w:tc>
          <w:tcPr>
            <w:tcW w:w="124" w:type="pct"/>
            <w:noWrap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3" w:type="pct"/>
            <w:noWrap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4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8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1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1A2ED4" w:rsidRPr="00C6186A" w:rsidTr="00BF2068">
        <w:trPr>
          <w:trHeight w:val="255"/>
        </w:trPr>
        <w:tc>
          <w:tcPr>
            <w:tcW w:w="124" w:type="pct"/>
            <w:noWrap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3" w:type="pct"/>
            <w:noWrap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4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8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1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1A2ED4" w:rsidRPr="00C6186A" w:rsidTr="00BF2068">
        <w:trPr>
          <w:trHeight w:val="477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 w:rsidRPr="009A56F4">
              <w:t>1.</w:t>
            </w:r>
          </w:p>
        </w:tc>
        <w:tc>
          <w:tcPr>
            <w:tcW w:w="1033" w:type="pct"/>
          </w:tcPr>
          <w:p w:rsidR="001A2ED4" w:rsidRPr="009A56F4" w:rsidRDefault="001A2ED4" w:rsidP="00BF2068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1A2ED4" w:rsidRPr="00C6186A" w:rsidTr="00BF2068">
        <w:trPr>
          <w:trHeight w:val="85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 w:rsidRPr="009A56F4">
              <w:t>2.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 xml:space="preserve">Wykonalność  i efektywność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</w:pPr>
            <w:r w:rsidRPr="009A56F4">
              <w:t>Bada się wykonalność projektu wg: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1A2ED4" w:rsidRPr="009A56F4" w:rsidRDefault="001A2ED4" w:rsidP="00BF2068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2014-2020;</w:t>
            </w:r>
          </w:p>
          <w:p w:rsidR="001A2ED4" w:rsidRPr="009A56F4" w:rsidRDefault="001A2ED4" w:rsidP="00BF2068">
            <w:pPr>
              <w:spacing w:after="0" w:line="240" w:lineRule="auto"/>
              <w:ind w:left="72"/>
            </w:pPr>
            <w:r>
              <w:t>Ponadto bada się: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poprawność przedstawionych analiz finansowych</w:t>
            </w:r>
            <w:r>
              <w:t xml:space="preserve"> i ekonomicznych (np. </w:t>
            </w:r>
            <w:r>
              <w:br/>
              <w:t>w zakresie prawidłowości wyliczenia luki finansowej, rekompensaty);</w:t>
            </w:r>
            <w:r w:rsidRPr="009A56F4">
              <w:t xml:space="preserve"> 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 xml:space="preserve"> </w:t>
            </w:r>
            <w:r w:rsidRPr="009A56F4">
              <w:t>efektywność i wykonalność finansową projektu.</w:t>
            </w:r>
          </w:p>
          <w:p w:rsidR="001A2ED4" w:rsidRPr="009A56F4" w:rsidRDefault="001A2ED4" w:rsidP="00BF2068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85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3.</w:t>
            </w:r>
          </w:p>
        </w:tc>
        <w:tc>
          <w:tcPr>
            <w:tcW w:w="1033" w:type="pct"/>
          </w:tcPr>
          <w:p w:rsidR="001A2ED4" w:rsidRPr="009A56F4" w:rsidRDefault="001A2ED4" w:rsidP="00BF2068">
            <w:r>
              <w:t>Kwalifikowalność wydatków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>
              <w:t>Wniosek wraz z załącznikami</w:t>
            </w:r>
          </w:p>
        </w:tc>
        <w:tc>
          <w:tcPr>
            <w:tcW w:w="768" w:type="pct"/>
          </w:tcPr>
          <w:p w:rsidR="001A2ED4" w:rsidRPr="003152F6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106EDC" w:rsidRDefault="001A2ED4" w:rsidP="00BF2068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1A2ED4" w:rsidRPr="00106EDC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kwalifikowalności wydatków zgodnie z Wytycznymi</w:t>
            </w:r>
            <w:r w:rsidRPr="00106EDC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1A2ED4" w:rsidRPr="00106EDC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czy wydatki nie są zawyżone w stosunku do cen rynkowych;</w:t>
            </w:r>
          </w:p>
          <w:p w:rsidR="001A2ED4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prawidłowości wyliczenia stawek jednostkowych lub ryczałtowych/kwot ryczałtowych;</w:t>
            </w:r>
          </w:p>
          <w:p w:rsidR="001A2ED4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1A2ED4" w:rsidRPr="009A56F4" w:rsidRDefault="001A2ED4" w:rsidP="00BF2068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644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4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>Projekt spełnia zasady udzielania pomocy publicznej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  <w:noWrap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1A2ED4" w:rsidRDefault="001A2ED4" w:rsidP="00BF2068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1A2ED4" w:rsidRPr="009A56F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479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5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 xml:space="preserve">Trwałość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</w:pPr>
            <w:r w:rsidRPr="009A56F4">
              <w:t>Bada się trwałość projektu: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 xml:space="preserve"> finansową,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1A2ED4" w:rsidRDefault="001A2ED4" w:rsidP="00BF2068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1A2ED4" w:rsidRPr="009A56F4" w:rsidRDefault="001A2ED4" w:rsidP="00BF2068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370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Default="001A2ED4" w:rsidP="00BF2068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1A2ED4" w:rsidRDefault="001A2ED4" w:rsidP="00BF2068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1A2ED4" w:rsidRPr="009A56F4" w:rsidRDefault="001A2ED4" w:rsidP="00BF2068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564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7.</w:t>
            </w:r>
          </w:p>
        </w:tc>
        <w:tc>
          <w:tcPr>
            <w:tcW w:w="1033" w:type="pct"/>
          </w:tcPr>
          <w:p w:rsidR="001A2ED4" w:rsidRPr="00331F29" w:rsidRDefault="001A2ED4" w:rsidP="00BF2068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4" w:type="pct"/>
          </w:tcPr>
          <w:p w:rsidR="001A2ED4" w:rsidRPr="00331F29" w:rsidRDefault="001A2ED4" w:rsidP="00BF2068">
            <w:pPr>
              <w:spacing w:after="0"/>
              <w:jc w:val="center"/>
            </w:pPr>
            <w:r w:rsidRPr="00331F29">
              <w:t>Wniosek wraz 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1A2ED4" w:rsidRDefault="001A2ED4" w:rsidP="00BF2068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1A2ED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8.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1A2ED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9.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1A2ED4" w:rsidRDefault="001A2ED4" w:rsidP="00BF2068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10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</w:pPr>
            <w:r>
              <w:t>Termin realizacji projektu</w:t>
            </w:r>
            <w:r>
              <w:br/>
              <w:t>(jeśli dotyczy)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Pr="001E5FEC" w:rsidRDefault="001A2ED4" w:rsidP="00BF2068">
            <w:r>
              <w:rPr>
                <w:rFonts w:cs="Calibri"/>
              </w:rPr>
              <w:t xml:space="preserve">W przypadku działań/poddziałań: </w:t>
            </w:r>
            <w:r>
              <w:rPr>
                <w:rFonts w:cs="Calibri"/>
              </w:rPr>
              <w:br/>
            </w:r>
            <w:r>
              <w:t xml:space="preserve">2.1.4 </w:t>
            </w:r>
            <w:r>
              <w:rPr>
                <w:i/>
              </w:rPr>
              <w:t>Inwestycje dla Podmiotów Ekonomii Społecznej</w:t>
            </w:r>
            <w:r>
              <w:t xml:space="preserve">, </w:t>
            </w:r>
            <w:r>
              <w:br/>
              <w:t xml:space="preserve">6.1 </w:t>
            </w:r>
            <w:r>
              <w:rPr>
                <w:i/>
              </w:rPr>
              <w:t>Infrastruktura drogowa</w:t>
            </w:r>
            <w:r>
              <w:t xml:space="preserve">, </w:t>
            </w:r>
            <w:r>
              <w:br/>
              <w:t xml:space="preserve">3.1.1 </w:t>
            </w:r>
            <w:r>
              <w:rPr>
                <w:i/>
              </w:rPr>
              <w:t>Strategie niskoemisyjne w miastach subregionalnych</w:t>
            </w:r>
            <w:r>
              <w:t xml:space="preserve">, </w:t>
            </w:r>
            <w:r>
              <w:br/>
              <w:t xml:space="preserve">3.2.2 </w:t>
            </w:r>
            <w:r>
              <w:rPr>
                <w:i/>
              </w:rPr>
              <w:t>Efektywność energetyczna w budynkach publicznych Aglomeracji Opolskiej</w:t>
            </w:r>
            <w:r>
              <w:t>:</w:t>
            </w:r>
          </w:p>
          <w:p w:rsidR="001A2ED4" w:rsidRDefault="001A2ED4" w:rsidP="00BF206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1A2ED4" w:rsidRDefault="001A2ED4" w:rsidP="00BF2068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1A2ED4" w:rsidRDefault="001A2ED4" w:rsidP="001A2ED4">
      <w:pPr>
        <w:jc w:val="center"/>
        <w:rPr>
          <w:b/>
          <w:sz w:val="36"/>
          <w:szCs w:val="36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741012" w:rsidRPr="001015B8" w:rsidRDefault="00741012" w:rsidP="00741012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741012" w:rsidRPr="00FF79BE" w:rsidRDefault="00741012" w:rsidP="0074101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741012" w:rsidRPr="00B64FA6" w:rsidTr="00BF2068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741012" w:rsidRPr="00B64FA6" w:rsidTr="00BF2068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741012" w:rsidRPr="00B64FA6" w:rsidTr="00BF2068"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B64FA6" w:rsidTr="00741012">
        <w:trPr>
          <w:trHeight w:val="5866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741012" w:rsidRPr="00B64FA6" w:rsidRDefault="00741012" w:rsidP="00BF2068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741012" w:rsidRPr="00B64FA6" w:rsidRDefault="00741012" w:rsidP="00BF2068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4452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741012" w:rsidRPr="00B64FA6" w:rsidRDefault="00741012" w:rsidP="00BF2068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741012" w:rsidRPr="00B64FA6" w:rsidRDefault="00741012" w:rsidP="00BF2068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741012" w:rsidRPr="00B64FA6" w:rsidTr="00741012">
        <w:trPr>
          <w:trHeight w:val="3199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741012" w:rsidRPr="00B64FA6" w:rsidRDefault="00741012" w:rsidP="00BF2068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</w:tc>
      </w:tr>
      <w:tr w:rsidR="00741012" w:rsidRPr="00B64FA6" w:rsidTr="00BF2068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440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741012" w:rsidRPr="00B64FA6" w:rsidTr="00BF2068">
        <w:trPr>
          <w:trHeight w:val="2611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741012" w:rsidRPr="00B64FA6" w:rsidTr="00741012">
        <w:trPr>
          <w:trHeight w:val="2498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981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741012" w:rsidRPr="00B64FA6" w:rsidTr="00BF2068">
        <w:trPr>
          <w:trHeight w:val="1958"/>
        </w:trPr>
        <w:tc>
          <w:tcPr>
            <w:tcW w:w="534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741012" w:rsidRPr="00B64FA6" w:rsidTr="00BF2068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741012" w:rsidRPr="00B64FA6" w:rsidTr="00BF2068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1012" w:rsidRPr="00E46895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E46895" w:rsidRDefault="00741012" w:rsidP="00BF2068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B64FA6" w:rsidTr="00BF2068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741012" w:rsidRPr="00E46895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E46895" w:rsidRDefault="00741012" w:rsidP="00BF2068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805"/>
        </w:trPr>
        <w:tc>
          <w:tcPr>
            <w:tcW w:w="534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741012" w:rsidRPr="00673958" w:rsidRDefault="00741012" w:rsidP="00BF206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673958" w:rsidRDefault="00741012" w:rsidP="00BF2068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741012" w:rsidRPr="00673958" w:rsidRDefault="00741012" w:rsidP="00BF2068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741012" w:rsidRDefault="00741012" w:rsidP="00741012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741012" w:rsidRPr="00B64FA6" w:rsidTr="00BF2068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741012" w:rsidRPr="00B64FA6" w:rsidTr="00BF2068"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B64FA6" w:rsidTr="00BF2068">
        <w:trPr>
          <w:trHeight w:val="1355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741012" w:rsidRPr="00B64FA6" w:rsidTr="00BF2068">
        <w:trPr>
          <w:trHeight w:val="1416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741012" w:rsidRPr="00B64FA6" w:rsidTr="00BF2068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1100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741012" w:rsidRPr="00B64FA6" w:rsidTr="00BF2068">
        <w:trPr>
          <w:trHeight w:val="1696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185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741012" w:rsidRPr="00B64FA6" w:rsidTr="00BF2068">
        <w:trPr>
          <w:trHeight w:val="3675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741012" w:rsidRPr="00B64FA6" w:rsidTr="00BF2068">
        <w:trPr>
          <w:trHeight w:val="254"/>
        </w:trPr>
        <w:tc>
          <w:tcPr>
            <w:tcW w:w="534" w:type="dxa"/>
            <w:vAlign w:val="center"/>
          </w:tcPr>
          <w:p w:rsidR="00741012" w:rsidRPr="00D75DD1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741012" w:rsidRPr="00D75DD1" w:rsidRDefault="00741012" w:rsidP="00BF2068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D75DD1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D75DD1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Pr="00D75DD1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741012" w:rsidRPr="00D75DD1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741012" w:rsidRPr="00D75DD1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741012" w:rsidRPr="00D75DD1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741012" w:rsidRPr="00D75DD1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741012">
        <w:trPr>
          <w:trHeight w:val="2780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741012" w:rsidRPr="00B64FA6" w:rsidTr="00741012">
        <w:trPr>
          <w:trHeight w:val="1827"/>
        </w:trPr>
        <w:tc>
          <w:tcPr>
            <w:tcW w:w="534" w:type="dxa"/>
            <w:vAlign w:val="center"/>
          </w:tcPr>
          <w:p w:rsidR="00741012" w:rsidRPr="00B64FA6" w:rsidDel="004548CF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741012" w:rsidRPr="00B64FA6" w:rsidDel="002768D1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741012" w:rsidRPr="00B64FA6" w:rsidTr="00741012">
        <w:trPr>
          <w:trHeight w:val="2278"/>
        </w:trPr>
        <w:tc>
          <w:tcPr>
            <w:tcW w:w="534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741012" w:rsidRDefault="00741012" w:rsidP="00741012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741012" w:rsidRPr="00B64FA6" w:rsidTr="00BF2068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741012" w:rsidRPr="00B64FA6" w:rsidTr="00BF2068">
        <w:tc>
          <w:tcPr>
            <w:tcW w:w="46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46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B64FA6" w:rsidTr="00BF2068">
        <w:trPr>
          <w:trHeight w:val="3165"/>
        </w:trPr>
        <w:tc>
          <w:tcPr>
            <w:tcW w:w="46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741012">
        <w:trPr>
          <w:trHeight w:val="2109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741012" w:rsidRPr="00B64FA6" w:rsidTr="00BF2068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B64FA6" w:rsidTr="00BF2068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564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741012" w:rsidRPr="00B64FA6" w:rsidTr="00BF2068">
        <w:trPr>
          <w:trHeight w:val="1551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741012" w:rsidRPr="00B64FA6" w:rsidTr="00BF2068">
        <w:trPr>
          <w:trHeight w:val="1687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741012" w:rsidRPr="00B64FA6" w:rsidTr="00741012">
        <w:trPr>
          <w:trHeight w:val="2009"/>
        </w:trPr>
        <w:tc>
          <w:tcPr>
            <w:tcW w:w="534" w:type="dxa"/>
            <w:gridSpan w:val="2"/>
            <w:vAlign w:val="center"/>
          </w:tcPr>
          <w:p w:rsidR="00741012" w:rsidRPr="00B64FA6" w:rsidDel="004A1C19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326"/>
        </w:trPr>
        <w:tc>
          <w:tcPr>
            <w:tcW w:w="534" w:type="dxa"/>
            <w:gridSpan w:val="2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741012" w:rsidRPr="00B64FA6" w:rsidTr="00BF2068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2427B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741012" w:rsidRPr="00B64FA6" w:rsidTr="00BF2068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D24D49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741012" w:rsidRPr="00D24D49" w:rsidRDefault="00741012" w:rsidP="00BF2068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B64FA6" w:rsidTr="00BF2068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D24D49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741012" w:rsidRPr="00D24D49" w:rsidRDefault="00741012" w:rsidP="00BF2068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741012">
        <w:trPr>
          <w:trHeight w:val="3113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741012" w:rsidRPr="00AB6DC1" w:rsidRDefault="00741012" w:rsidP="00BF2068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741012" w:rsidRPr="00AB6DC1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  <w:b w:val="0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741012" w:rsidRDefault="00741012" w:rsidP="00741012"/>
    <w:p w:rsidR="00741012" w:rsidRDefault="00741012" w:rsidP="00741012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741012" w:rsidRPr="00B64FA6" w:rsidTr="00BF2068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741012" w:rsidRDefault="00741012" w:rsidP="00BF20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741012" w:rsidRPr="00B64FA6" w:rsidTr="00BF2068">
        <w:tc>
          <w:tcPr>
            <w:tcW w:w="46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46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B64FA6" w:rsidTr="00BF2068">
        <w:trPr>
          <w:trHeight w:val="1840"/>
        </w:trPr>
        <w:tc>
          <w:tcPr>
            <w:tcW w:w="46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741012" w:rsidRPr="00B64FA6" w:rsidTr="00BF2068">
        <w:trPr>
          <w:trHeight w:val="2250"/>
        </w:trPr>
        <w:tc>
          <w:tcPr>
            <w:tcW w:w="46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741012" w:rsidRPr="00620FE6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1530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741012" w:rsidRPr="00B33F11" w:rsidRDefault="00741012" w:rsidP="00BF2068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741012" w:rsidRPr="00B33F11" w:rsidRDefault="00741012" w:rsidP="00BF2068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741012" w:rsidRPr="00B33F11" w:rsidRDefault="00741012" w:rsidP="00BF2068">
            <w:pPr>
              <w:spacing w:after="0"/>
            </w:pPr>
            <w:r w:rsidRPr="00B33F11">
              <w:t>2 pkt – dwie grupy (np. dzieci i młodzież)</w:t>
            </w:r>
          </w:p>
          <w:p w:rsidR="00741012" w:rsidRPr="00B64FA6" w:rsidRDefault="00741012" w:rsidP="00BF2068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741012">
        <w:trPr>
          <w:trHeight w:val="1505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741012" w:rsidRPr="00B64FA6" w:rsidTr="00BF2068">
        <w:trPr>
          <w:trHeight w:val="3117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741012" w:rsidRPr="00F03537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741012" w:rsidRPr="00F03537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741012" w:rsidRPr="00F03537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741012" w:rsidRPr="00B64FA6" w:rsidTr="00741012">
        <w:trPr>
          <w:trHeight w:val="2976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986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741012" w:rsidRPr="00B33F11" w:rsidRDefault="00741012" w:rsidP="00BF2068">
            <w:pPr>
              <w:spacing w:after="40"/>
            </w:pPr>
            <w:r w:rsidRPr="00B33F11">
              <w:t>Punkty będą przyznawane:</w:t>
            </w:r>
          </w:p>
          <w:p w:rsidR="00741012" w:rsidRDefault="00741012" w:rsidP="00BF2068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741012" w:rsidRDefault="00741012" w:rsidP="00BF2068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741012" w:rsidRPr="00B64FA6" w:rsidDel="000F2F85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741012" w:rsidRPr="00B64FA6" w:rsidTr="00BF2068">
        <w:trPr>
          <w:trHeight w:val="986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741012" w:rsidRPr="00B64FA6" w:rsidTr="00BF2068">
        <w:trPr>
          <w:trHeight w:val="986"/>
        </w:trPr>
        <w:tc>
          <w:tcPr>
            <w:tcW w:w="534" w:type="dxa"/>
            <w:gridSpan w:val="2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741012" w:rsidRDefault="00741012" w:rsidP="00741012">
      <w:pPr>
        <w:rPr>
          <w:rFonts w:ascii="Times New Roman" w:hAnsi="Times New Roman"/>
          <w:b/>
          <w:sz w:val="36"/>
          <w:szCs w:val="36"/>
        </w:rPr>
      </w:pPr>
    </w:p>
    <w:p w:rsidR="00741012" w:rsidRDefault="00741012" w:rsidP="00741012">
      <w:pPr>
        <w:rPr>
          <w:rFonts w:ascii="Times New Roman" w:hAnsi="Times New Roman"/>
          <w:b/>
          <w:sz w:val="36"/>
          <w:szCs w:val="36"/>
        </w:rPr>
      </w:pPr>
    </w:p>
    <w:p w:rsidR="00741012" w:rsidRDefault="00741012" w:rsidP="001A2ED4">
      <w:pPr>
        <w:jc w:val="center"/>
        <w:rPr>
          <w:b/>
          <w:sz w:val="36"/>
          <w:szCs w:val="36"/>
        </w:rPr>
      </w:pPr>
    </w:p>
    <w:p w:rsidR="00741012" w:rsidRDefault="00741012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741012" w:rsidRDefault="00741012" w:rsidP="007410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1012" w:rsidRPr="00F14B87" w:rsidRDefault="00741012" w:rsidP="0074101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741012" w:rsidRPr="0020393A" w:rsidTr="00BF2068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741012" w:rsidRPr="0020393A" w:rsidTr="00BF2068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741012" w:rsidRPr="0020393A" w:rsidTr="00BF2068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741012" w:rsidRPr="00BF532C" w:rsidTr="00BF2068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741012" w:rsidRPr="0020393A" w:rsidTr="00BF2068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20393A" w:rsidTr="00BF2068">
        <w:trPr>
          <w:trHeight w:val="1695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</w:tc>
      </w:tr>
      <w:tr w:rsidR="00741012" w:rsidRPr="0020393A" w:rsidTr="00BF2068">
        <w:trPr>
          <w:trHeight w:val="850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Del="00E46505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741012" w:rsidRPr="0020393A" w:rsidTr="00BF2068">
        <w:trPr>
          <w:trHeight w:val="744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Del="00E46505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4141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 xml:space="preserve">2 pkt – wypełnia luki w sieci dróg pomiędzy ośrodkami wojewódzkimi, pomiędzy miastami nie będącymi stolicami województw (regionalnymi i </w:t>
            </w:r>
            <w:proofErr w:type="spellStart"/>
            <w:r w:rsidRPr="0020393A">
              <w:rPr>
                <w:color w:val="000000"/>
                <w:spacing w:val="-4"/>
                <w:lang w:eastAsia="pl-PL"/>
              </w:rPr>
              <w:t>subregionalnymi</w:t>
            </w:r>
            <w:proofErr w:type="spellEnd"/>
            <w:r w:rsidRPr="0020393A">
              <w:rPr>
                <w:color w:val="000000"/>
                <w:spacing w:val="-4"/>
                <w:lang w:eastAsia="pl-PL"/>
              </w:rPr>
              <w:t>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741012" w:rsidRPr="00BF532C" w:rsidRDefault="00741012" w:rsidP="00BF2068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regionu.</w:t>
            </w:r>
          </w:p>
        </w:tc>
      </w:tr>
      <w:tr w:rsidR="00741012" w:rsidRPr="0020393A" w:rsidTr="00BF2068">
        <w:trPr>
          <w:trHeight w:val="1489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741012" w:rsidRPr="0020393A" w:rsidRDefault="00741012" w:rsidP="00BF2068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741012" w:rsidRPr="0020393A" w:rsidTr="00BF2068">
        <w:trPr>
          <w:trHeight w:val="1732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741012" w:rsidRPr="0020393A" w:rsidTr="00BF2068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2582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50108B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741012" w:rsidRPr="0050108B" w:rsidRDefault="00741012" w:rsidP="00BF2068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741012" w:rsidRPr="0020393A" w:rsidTr="00BF2068">
        <w:trPr>
          <w:trHeight w:val="4518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50108B" w:rsidDel="0026380A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741012" w:rsidRPr="0050108B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741012" w:rsidRPr="0050108B" w:rsidRDefault="00741012" w:rsidP="00BF2068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741012" w:rsidRPr="0020393A" w:rsidTr="00BF2068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7260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 wzdłuż całego odcinka objętego inwestycją</w:t>
            </w:r>
            <w:r w:rsidRPr="0020393A"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 wzdłuż całego odcinka objętego inwestycją;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</w:tc>
      </w:tr>
      <w:tr w:rsidR="00741012" w:rsidRPr="0020393A" w:rsidTr="00BF2068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3857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741012" w:rsidRPr="00A5578D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741012" w:rsidRPr="0020393A" w:rsidRDefault="00741012" w:rsidP="00BF2068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741012" w:rsidRPr="0020393A" w:rsidTr="00BF2068">
        <w:trPr>
          <w:trHeight w:val="3372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7B7EBA" w:rsidRDefault="00741012" w:rsidP="00BF2068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2211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741012" w:rsidRPr="007B7EBA" w:rsidRDefault="00741012" w:rsidP="00BF2068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741012" w:rsidRPr="0020393A" w:rsidTr="00BF2068">
        <w:trPr>
          <w:trHeight w:val="254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741012" w:rsidRPr="00D26769" w:rsidRDefault="00741012" w:rsidP="00BF206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741012" w:rsidRPr="00D26769" w:rsidRDefault="00741012" w:rsidP="00BF206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741012" w:rsidRPr="00D26769" w:rsidRDefault="00741012" w:rsidP="00BF206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741012" w:rsidRPr="00D26769" w:rsidRDefault="00741012" w:rsidP="00BF206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41012" w:rsidRPr="00191DCB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665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741012" w:rsidRPr="0020393A" w:rsidTr="00BF2068">
        <w:trPr>
          <w:trHeight w:val="396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741012" w:rsidRPr="0020393A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741012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741012" w:rsidRPr="0020393A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1139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B33F11" w:rsidRDefault="00741012" w:rsidP="00BF2068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741012" w:rsidRPr="00B33F11" w:rsidRDefault="00741012" w:rsidP="00BF2068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DE41F8" w:rsidRDefault="00741012" w:rsidP="00BF2068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DE41F8" w:rsidRDefault="00741012" w:rsidP="00BF2068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741012" w:rsidRDefault="00741012" w:rsidP="00BF2068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741012" w:rsidRDefault="00741012" w:rsidP="00BF2068">
            <w:pPr>
              <w:spacing w:after="40"/>
            </w:pPr>
            <w:r w:rsidRPr="00B33F11">
              <w:t xml:space="preserve">1 pkt - projekt z jednym partnerem </w:t>
            </w:r>
          </w:p>
          <w:p w:rsidR="00741012" w:rsidRPr="00B33F11" w:rsidRDefault="00741012" w:rsidP="00BF2068">
            <w:pPr>
              <w:spacing w:after="40"/>
            </w:pPr>
            <w:r w:rsidRPr="00B33F11">
              <w:t>0 pkt - brak partnerstwa</w:t>
            </w:r>
          </w:p>
        </w:tc>
      </w:tr>
      <w:tr w:rsidR="00741012" w:rsidRPr="0020393A" w:rsidTr="00BF2068">
        <w:trPr>
          <w:trHeight w:val="510"/>
        </w:trPr>
        <w:tc>
          <w:tcPr>
            <w:tcW w:w="531" w:type="dxa"/>
            <w:noWrap/>
            <w:vAlign w:val="center"/>
          </w:tcPr>
          <w:p w:rsidR="00741012" w:rsidRPr="00673958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673958" w:rsidRDefault="00741012" w:rsidP="00BF2068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741012" w:rsidRPr="00673958" w:rsidRDefault="00741012" w:rsidP="00BF2068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741012" w:rsidRPr="00673958" w:rsidRDefault="00741012" w:rsidP="00BF2068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673958" w:rsidRDefault="00741012" w:rsidP="00BF2068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741012" w:rsidRPr="00673958" w:rsidRDefault="00741012" w:rsidP="00BF2068">
            <w:pPr>
              <w:spacing w:after="40"/>
            </w:pPr>
            <w:r w:rsidRPr="00673958">
              <w:t>Wkład własny wyższy od minimalnego:</w:t>
            </w:r>
          </w:p>
          <w:p w:rsidR="00741012" w:rsidRDefault="00741012" w:rsidP="00BF2068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741012" w:rsidRDefault="00741012" w:rsidP="00BF2068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741012" w:rsidRDefault="00741012" w:rsidP="00BF2068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741012" w:rsidRDefault="00741012" w:rsidP="00BF2068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741012" w:rsidRPr="00673958" w:rsidRDefault="00741012" w:rsidP="00BF2068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741012" w:rsidRDefault="00741012" w:rsidP="00741012">
      <w:pPr>
        <w:ind w:left="-142"/>
        <w:rPr>
          <w:b/>
        </w:rPr>
      </w:pPr>
    </w:p>
    <w:p w:rsidR="00741012" w:rsidRPr="0020393A" w:rsidRDefault="00741012" w:rsidP="00741012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741012" w:rsidRPr="0020393A" w:rsidRDefault="00741012" w:rsidP="00741012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741012" w:rsidRPr="0020393A" w:rsidRDefault="00741012" w:rsidP="00741012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741012" w:rsidRPr="0020393A" w:rsidRDefault="00741012" w:rsidP="00741012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741012" w:rsidRPr="0073787C" w:rsidRDefault="00741012" w:rsidP="00741012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741012" w:rsidRPr="001015B8" w:rsidTr="00BF2068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741012" w:rsidRPr="001015B8" w:rsidTr="00BF2068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741012" w:rsidRPr="001015B8" w:rsidTr="00BF2068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741012" w:rsidRDefault="00741012" w:rsidP="00741012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741012" w:rsidRPr="0020393A" w:rsidTr="00BF2068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20393A" w:rsidTr="00BF2068">
        <w:trPr>
          <w:trHeight w:val="2582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lotniskami, terminalami towarowymi, centrami lub platformami logistycznymi, szlakami ruchu transgranicznego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673958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741012" w:rsidRPr="00B30B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W </w:t>
            </w:r>
            <w:r w:rsidRPr="00B30B12">
              <w:rPr>
                <w:lang w:eastAsia="pl-PL"/>
              </w:rPr>
              <w:t xml:space="preserve">przypadku drogowej sieci TEN-T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przypadku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-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wojewódzką.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741012" w:rsidRPr="001A78F0" w:rsidRDefault="00741012" w:rsidP="00BF2068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741012" w:rsidRPr="0020393A" w:rsidTr="00BF2068">
        <w:trPr>
          <w:trHeight w:val="1413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741012" w:rsidRPr="0020393A" w:rsidTr="00BF2068">
        <w:trPr>
          <w:trHeight w:val="2545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Del="00E46505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741012" w:rsidRDefault="00741012" w:rsidP="00741012"/>
    <w:p w:rsidR="00741012" w:rsidRDefault="00741012" w:rsidP="00741012"/>
    <w:p w:rsidR="00741012" w:rsidRDefault="00741012" w:rsidP="00741012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741012" w:rsidRPr="0020393A" w:rsidTr="00BF2068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741012" w:rsidRPr="00CC6711" w:rsidRDefault="00741012" w:rsidP="00BF2068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1371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741012" w:rsidRDefault="00741012" w:rsidP="00BF2068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741012" w:rsidRDefault="00741012" w:rsidP="00BF2068">
            <w:pPr>
              <w:spacing w:before="40" w:after="40"/>
            </w:pPr>
            <w:r>
              <w:t>Nośność:</w:t>
            </w:r>
          </w:p>
          <w:p w:rsidR="00741012" w:rsidRDefault="00741012" w:rsidP="00BF2068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741012" w:rsidRDefault="00741012" w:rsidP="00BF2068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741012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741012" w:rsidRPr="0020393A" w:rsidTr="00BF2068">
        <w:trPr>
          <w:trHeight w:val="3072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741012" w:rsidRDefault="00741012" w:rsidP="00BF2068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741012" w:rsidRDefault="00741012" w:rsidP="00BF2068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741012" w:rsidRDefault="00741012" w:rsidP="00BF2068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741012" w:rsidRDefault="00741012" w:rsidP="00BF2068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741012" w:rsidRPr="00BF532C" w:rsidRDefault="00741012" w:rsidP="00BF2068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741012" w:rsidRPr="0020393A" w:rsidTr="00BF2068">
        <w:trPr>
          <w:trHeight w:val="2239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741012" w:rsidRDefault="00741012" w:rsidP="00BF2068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741012" w:rsidRDefault="00741012" w:rsidP="00BF2068">
            <w:pPr>
              <w:spacing w:before="40" w:after="120" w:line="240" w:lineRule="auto"/>
              <w:rPr>
                <w:color w:val="000000"/>
                <w:lang w:eastAsia="pl-PL"/>
              </w:rPr>
            </w:pP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741012" w:rsidRPr="006E4E8F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2015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</w:tcPr>
          <w:p w:rsidR="00741012" w:rsidRPr="0020393A" w:rsidRDefault="00741012" w:rsidP="00BF2068">
            <w:pPr>
              <w:spacing w:after="40" w:line="240" w:lineRule="auto"/>
              <w:rPr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741012" w:rsidRPr="0020393A" w:rsidTr="00BF2068">
        <w:trPr>
          <w:trHeight w:val="3149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741012" w:rsidRPr="0050108B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741012" w:rsidRDefault="00741012" w:rsidP="00BF2068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741012" w:rsidRPr="0050108B" w:rsidRDefault="00741012" w:rsidP="00BF2068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741012" w:rsidRPr="0020393A" w:rsidTr="00741012">
        <w:trPr>
          <w:trHeight w:val="2093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741012" w:rsidRDefault="00741012" w:rsidP="00BF2068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741012" w:rsidRDefault="00741012" w:rsidP="00BF2068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396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741012" w:rsidRDefault="00741012" w:rsidP="00BF2068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741012" w:rsidRDefault="00741012" w:rsidP="00BF2068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741012" w:rsidRPr="0050108B" w:rsidRDefault="00741012" w:rsidP="00BF2068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741012" w:rsidRPr="0020393A" w:rsidTr="00741012">
        <w:trPr>
          <w:trHeight w:val="5966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741012" w:rsidRPr="0050108B" w:rsidDel="0026380A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741012" w:rsidRPr="0050108B" w:rsidRDefault="00741012" w:rsidP="00BF2068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741012" w:rsidRDefault="00741012" w:rsidP="00BF2068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741012" w:rsidRPr="00F12ED1" w:rsidRDefault="00741012" w:rsidP="00BF2068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741012" w:rsidRPr="0020393A" w:rsidTr="00BF2068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741012">
        <w:trPr>
          <w:trHeight w:val="7584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Pr="00A5578D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741012" w:rsidRPr="0020393A" w:rsidRDefault="00741012" w:rsidP="00BF2068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 wzdłuż całego odcinka objętego inwestycją;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 wzdłuż całego odcinka objętego inwestycją;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AB3DCF" w:rsidTr="00BF2068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741012" w:rsidRPr="009D4A1C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1012" w:rsidRPr="00144E1F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741012" w:rsidRPr="00F12ED1" w:rsidRDefault="00741012" w:rsidP="00BF206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741012" w:rsidRDefault="00741012" w:rsidP="00BF2068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741012" w:rsidRPr="00AB3DCF" w:rsidTr="00741012">
        <w:trPr>
          <w:trHeight w:val="4583"/>
        </w:trPr>
        <w:tc>
          <w:tcPr>
            <w:tcW w:w="531" w:type="dxa"/>
            <w:shd w:val="clear" w:color="auto" w:fill="auto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41012" w:rsidRPr="009D4A1C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012" w:rsidRPr="00144E1F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741012" w:rsidRDefault="00741012" w:rsidP="00BF2068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741012" w:rsidRDefault="00741012" w:rsidP="00BF2068">
            <w:pPr>
              <w:spacing w:after="120" w:line="240" w:lineRule="auto"/>
              <w:rPr>
                <w:lang w:eastAsia="pl-PL"/>
              </w:rPr>
            </w:pP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2015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741012" w:rsidRPr="0020393A" w:rsidRDefault="00741012" w:rsidP="00BF2068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741012" w:rsidRPr="0020393A" w:rsidTr="00741012">
        <w:trPr>
          <w:trHeight w:val="5403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741012" w:rsidRPr="0020393A" w:rsidRDefault="00741012" w:rsidP="00BF2068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741012" w:rsidRPr="0020393A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741012" w:rsidRPr="00191DCB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1139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741012" w:rsidRPr="0020393A" w:rsidTr="00741012">
        <w:trPr>
          <w:trHeight w:val="4399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741012" w:rsidRPr="00B33F11" w:rsidRDefault="00741012" w:rsidP="00BF2068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Pr="00DE41F8" w:rsidRDefault="00741012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741012" w:rsidRPr="0020393A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741012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741012" w:rsidRPr="00F12ED1" w:rsidRDefault="00741012" w:rsidP="00BF206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741012" w:rsidRPr="00B33F11" w:rsidRDefault="00741012" w:rsidP="00BF2068">
            <w:pPr>
              <w:spacing w:before="40" w:after="40"/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510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741012" w:rsidRDefault="00741012" w:rsidP="00BF2068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741012" w:rsidRDefault="00741012" w:rsidP="00BF2068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741012" w:rsidRPr="00673958" w:rsidRDefault="00741012" w:rsidP="00BF2068">
            <w:pPr>
              <w:spacing w:before="120" w:after="120"/>
            </w:pPr>
            <w:r w:rsidRPr="00673958">
              <w:t>Wkład własny wyższy od minimalnego:</w:t>
            </w:r>
          </w:p>
          <w:p w:rsidR="00741012" w:rsidRDefault="00741012" w:rsidP="00BF2068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741012" w:rsidRDefault="00741012" w:rsidP="00BF2068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741012" w:rsidRDefault="00741012" w:rsidP="00BF2068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741012" w:rsidRDefault="00741012" w:rsidP="00BF2068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741012" w:rsidRDefault="00741012" w:rsidP="00BF2068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741012" w:rsidRPr="0020393A" w:rsidTr="00BF2068">
        <w:trPr>
          <w:trHeight w:val="510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741012" w:rsidRDefault="00741012" w:rsidP="00BF2068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741012" w:rsidRDefault="00741012" w:rsidP="00BF2068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741012" w:rsidRPr="00D16CE9" w:rsidRDefault="00741012" w:rsidP="00BF2068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741012" w:rsidRDefault="00741012" w:rsidP="00BF2068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741012" w:rsidRDefault="00741012" w:rsidP="00741012">
      <w:pPr>
        <w:spacing w:after="0"/>
      </w:pPr>
    </w:p>
    <w:p w:rsidR="00741012" w:rsidRPr="0020393A" w:rsidRDefault="00741012" w:rsidP="00741012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741012" w:rsidRPr="0020393A" w:rsidRDefault="00741012" w:rsidP="00741012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741012" w:rsidRPr="0020393A" w:rsidRDefault="00741012" w:rsidP="00741012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741012" w:rsidRDefault="00741012" w:rsidP="00741012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C677CC" w:rsidRPr="00741012" w:rsidRDefault="00C677CC" w:rsidP="00741012">
      <w:pPr>
        <w:rPr>
          <w:b/>
          <w:sz w:val="36"/>
          <w:szCs w:val="36"/>
        </w:rPr>
      </w:pPr>
    </w:p>
    <w:sectPr w:rsidR="00C677CC" w:rsidRPr="00741012" w:rsidSect="001A2E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D7" w:rsidRDefault="005F5FD7" w:rsidP="005F5FD7">
      <w:pPr>
        <w:spacing w:after="0" w:line="240" w:lineRule="auto"/>
      </w:pPr>
      <w:r>
        <w:separator/>
      </w:r>
    </w:p>
  </w:endnote>
  <w:endnote w:type="continuationSeparator" w:id="0">
    <w:p w:rsidR="005F5FD7" w:rsidRDefault="005F5FD7" w:rsidP="005F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D7" w:rsidRDefault="005F5FD7" w:rsidP="005F5FD7">
      <w:pPr>
        <w:spacing w:after="0" w:line="240" w:lineRule="auto"/>
      </w:pPr>
      <w:r>
        <w:separator/>
      </w:r>
    </w:p>
  </w:footnote>
  <w:footnote w:type="continuationSeparator" w:id="0">
    <w:p w:rsidR="005F5FD7" w:rsidRDefault="005F5FD7" w:rsidP="005F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D7" w:rsidRPr="005F5FD7" w:rsidRDefault="005F5FD7" w:rsidP="005F5FD7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146</w:t>
    </w:r>
    <w:r w:rsidRPr="005F5FD7">
      <w:rPr>
        <w:i/>
      </w:rPr>
      <w:t>/2017 KM RPO WO 2014-2020</w:t>
    </w:r>
  </w:p>
  <w:p w:rsidR="005F5FD7" w:rsidRPr="005F5FD7" w:rsidRDefault="005F5FD7" w:rsidP="005F5FD7">
    <w:pPr>
      <w:tabs>
        <w:tab w:val="center" w:pos="4536"/>
        <w:tab w:val="right" w:pos="9072"/>
      </w:tabs>
      <w:spacing w:after="60" w:line="240" w:lineRule="auto"/>
      <w:jc w:val="right"/>
    </w:pPr>
    <w:r w:rsidRPr="005F5FD7">
      <w:rPr>
        <w:i/>
      </w:rPr>
      <w:t>z dnia 27 października 2017 r.</w:t>
    </w:r>
  </w:p>
  <w:p w:rsidR="005F5FD7" w:rsidRDefault="005F5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1A2ED4"/>
    <w:rsid w:val="005F5FD7"/>
    <w:rsid w:val="00741012"/>
    <w:rsid w:val="00857374"/>
    <w:rsid w:val="00C677CC"/>
    <w:rsid w:val="00D87D4D"/>
    <w:rsid w:val="00E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FD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F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7235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2017-10-24T11:53:00Z</dcterms:created>
  <dcterms:modified xsi:type="dcterms:W3CDTF">2017-10-27T12:09:00Z</dcterms:modified>
</cp:coreProperties>
</file>